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0D1B2A"/>
          <w:sz w:val="40"/>
        </w:rPr>
        <w:t>PRIVATE CREDIT MANAGER</w:t>
        <w:br/>
        <w:t>DUE DILIGENCE FRAMEWORK</w:t>
      </w:r>
    </w:p>
    <w:p>
      <w:r>
        <w:rPr>
          <w:i/>
        </w:rPr>
        <w:t>75-Question Comprehensive Checklist for Evaluating Private Credit Managers</w:t>
      </w:r>
    </w:p>
    <w:p>
      <w:r>
        <w:t>Version 1.0 | March 2025 | The Private Credit Intelligence Toolkit</w:t>
      </w:r>
    </w:p>
    <w:p>
      <w:r>
        <w:t>Designed for: Independent RIAs | Family Office Analysts | Private Wealth Managers | Alternative Investment Allocators</w:t>
      </w: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28"/>
        </w:rPr>
        <w:t>HOW TO USE THIS FRAMEWORK</w:t>
      </w:r>
    </w:p>
    <w:p>
      <w:r>
        <w:t>Score each question on a 1–5 scale where 1 = Unacceptable, 3 = Adequate, 5 = Exceptional. Multiply section scores by section weights to calculate the composite manager score. A score below 60% of the maximum should trigger further investigation or pass. Red flag items marked with ⚠️ are automatic disqualifiers regardless of total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Section</w:t>
            </w:r>
          </w:p>
        </w:tc>
        <w:tc>
          <w:tcPr>
            <w:tcW w:type="dxa" w:w="3135"/>
          </w:tcPr>
          <w:p>
            <w:r>
              <w:t>Questions</w:t>
            </w:r>
          </w:p>
        </w:tc>
        <w:tc>
          <w:tcPr>
            <w:tcW w:type="dxa" w:w="3135"/>
          </w:tcPr>
          <w:p>
            <w:r>
              <w:t>Weight</w:t>
            </w:r>
          </w:p>
        </w:tc>
      </w:tr>
      <w:tr>
        <w:tc>
          <w:tcPr>
            <w:tcW w:type="dxa" w:w="3135"/>
          </w:tcPr>
          <w:p>
            <w:r>
              <w:t>1. Strategy &amp; Philosophy</w:t>
            </w:r>
          </w:p>
        </w:tc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20%</w:t>
            </w:r>
          </w:p>
        </w:tc>
      </w:tr>
      <w:tr>
        <w:tc>
          <w:tcPr>
            <w:tcW w:type="dxa" w:w="3135"/>
          </w:tcPr>
          <w:p>
            <w:r>
              <w:t>2. Team &amp; Organization</w:t>
            </w:r>
          </w:p>
        </w:tc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20%</w:t>
            </w:r>
          </w:p>
        </w:tc>
      </w:tr>
      <w:tr>
        <w:tc>
          <w:tcPr>
            <w:tcW w:type="dxa" w:w="3135"/>
          </w:tcPr>
          <w:p>
            <w:r>
              <w:t>3. Track Record &amp; Performance</w:t>
            </w:r>
          </w:p>
        </w:tc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25%</w:t>
            </w:r>
          </w:p>
        </w:tc>
      </w:tr>
      <w:tr>
        <w:tc>
          <w:tcPr>
            <w:tcW w:type="dxa" w:w="3135"/>
          </w:tcPr>
          <w:p>
            <w:r>
              <w:t>4. Operations &amp; Risk Management</w:t>
            </w:r>
          </w:p>
        </w:tc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20%</w:t>
            </w:r>
          </w:p>
        </w:tc>
      </w:tr>
      <w:tr>
        <w:tc>
          <w:tcPr>
            <w:tcW w:type="dxa" w:w="3135"/>
          </w:tcPr>
          <w:p>
            <w:r>
              <w:t>5. Terms &amp; Alignment</w:t>
            </w:r>
          </w:p>
        </w:tc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15%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b/>
          <w:color w:val="1B4F72"/>
          <w:sz w:val="28"/>
        </w:rPr>
        <w:t>SECTION 1: STRATEGY &amp; PHILOSOPHY (Weight: 20%)</w:t>
      </w:r>
    </w:p>
    <w:p>
      <w:pPr>
        <w:spacing w:before="240" w:after="80"/>
      </w:pPr>
      <w:r>
        <w:rPr>
          <w:b/>
          <w:color w:val="2E86C1"/>
          <w:sz w:val="24"/>
        </w:rPr>
        <w:t>1.1 Investment Strategy Definition</w:t>
      </w:r>
    </w:p>
    <w:p>
      <w:pPr>
        <w:pStyle w:val="ListBullet"/>
      </w:pPr>
      <w:r>
        <w:rPr>
          <w:b/>
          <w:color w:val="0D1B2A"/>
          <w:sz w:val="20"/>
        </w:rPr>
        <w:t xml:space="preserve">Q01. </w:t>
      </w:r>
      <w:r>
        <w:rPr>
          <w:b/>
          <w:sz w:val="20"/>
        </w:rPr>
        <w:t>Describe the fund's primary investment strategy and target market segment.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Look for: specificity (senior secured, mezz, distressed), target company EBITDA range, sector focus. Vague answers = red flag.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Q02. </w:t>
      </w:r>
      <w:r>
        <w:rPr>
          <w:b/>
          <w:sz w:val="20"/>
        </w:rPr>
        <w:t>What is the target portfolio composition by seniority (first lien, unitranche, second lien, mezz, equity co-invest)?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Expected: 70%+ senior secured for a 'direct lending' manager. Higher mezz/equity = higher risk profile, validate against stated strategy.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Q03. </w:t>
      </w:r>
      <w:r>
        <w:rPr>
          <w:b/>
          <w:sz w:val="20"/>
        </w:rPr>
        <w:t>What types of borrowers do you target? (Sponsor-backed vs. non-sponsored, size, sector)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Sponsor-backed portfolios have historically had lower default and higher recovery rates. Note concentration by sponsor.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Q04. </w:t>
      </w:r>
      <w:r>
        <w:rPr>
          <w:b/>
          <w:sz w:val="20"/>
        </w:rPr>
        <w:t>How does your strategy differ from index or commodity capital? What is your sourcing edge?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Look for: proprietary deal flow, relationship advantages, sector expertise. Generic answers indicate a commoditized approach.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Q05. </w:t>
      </w:r>
      <w:r>
        <w:rPr>
          <w:b/>
          <w:sz w:val="20"/>
        </w:rPr>
        <w:t>What is the fund's target gross and net return? How has this evolved over time?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Verify stated targets are realistic given current rate environment. Net return should reflect actual fees, not optimistic estimates.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spacing w:before="0" w:after="80"/>
      </w:pPr>
      <w:r>
        <w:rPr>
          <w:b/>
          <w:color w:val="C0392B"/>
          <w:sz w:val="18"/>
        </w:rPr>
        <w:t>⚠️  RED FLAG: Manager cannot clearly articulate what makes their deal flow proprietary or differentiated.</w:t>
      </w:r>
    </w:p>
    <w:p>
      <w:pPr>
        <w:spacing w:before="240" w:after="80"/>
      </w:pPr>
      <w:r>
        <w:rPr>
          <w:b/>
          <w:color w:val="2E86C1"/>
          <w:sz w:val="24"/>
        </w:rPr>
        <w:t>1.2 Market Cycle Awareness</w:t>
      </w:r>
    </w:p>
    <w:p>
      <w:pPr>
        <w:pStyle w:val="ListBullet"/>
      </w:pPr>
      <w:r>
        <w:rPr>
          <w:b/>
          <w:color w:val="0D1B2A"/>
          <w:sz w:val="20"/>
        </w:rPr>
        <w:t xml:space="preserve">Q06. </w:t>
      </w:r>
      <w:r>
        <w:rPr>
          <w:b/>
          <w:sz w:val="20"/>
        </w:rPr>
        <w:t>How has your strategy performed across different credit cycles? (2008, 2020 COVID, 2022 rate shock)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Ask for specific vintage performance. Fund that launched after 2020 has no cycle-tested track record.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Q07. </w:t>
      </w:r>
      <w:r>
        <w:rPr>
          <w:b/>
          <w:sz w:val="20"/>
        </w:rPr>
        <w:t>How do you adjust portfolio construction in a late-cycle environment?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Better managers: shorter duration, higher quality covenants, lower leverage. Generic answers = passive management.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Q08. </w:t>
      </w:r>
      <w:r>
        <w:rPr>
          <w:b/>
          <w:sz w:val="20"/>
        </w:rPr>
        <w:t>What is your view on the current private credit market (spreads, leverage, covenant quality)?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Sophisticated managers should acknowledge spread compression and covenant erosion and explain how they're adapting.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Q09. </w:t>
      </w:r>
      <w:r>
        <w:rPr>
          <w:b/>
          <w:sz w:val="20"/>
        </w:rPr>
        <w:t>What is your maximum leverage multiple target at origination? Has this changed over the past 3 years?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Creeping leverage (moving from 5x to 6.5x average) is a late-cycle warning signal.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Q10. </w:t>
      </w:r>
      <w:r>
        <w:rPr>
          <w:b/>
          <w:sz w:val="20"/>
        </w:rPr>
        <w:t>How do you think about duration risk and interest rate sensitivity in your portfolio?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Most private credit is floating rate (SOFR-linked) which is positive in a rising rate environment but creates borrower stress.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spacing w:before="240" w:after="80"/>
      </w:pPr>
      <w:r>
        <w:rPr>
          <w:b/>
          <w:color w:val="2E86C1"/>
          <w:sz w:val="24"/>
        </w:rPr>
        <w:t>1.3 Co-Investment &amp; Side Pockets</w:t>
      </w:r>
    </w:p>
    <w:p>
      <w:pPr>
        <w:pStyle w:val="ListBullet"/>
      </w:pPr>
      <w:r>
        <w:rPr>
          <w:b/>
          <w:color w:val="0D1B2A"/>
          <w:sz w:val="20"/>
        </w:rPr>
        <w:t xml:space="preserve">Q11. </w:t>
      </w:r>
      <w:r>
        <w:rPr>
          <w:b/>
          <w:sz w:val="20"/>
        </w:rPr>
        <w:t>What is your co-investment policy? Are LPs offered co-investment rights?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Pro-rata co-investment rights for LPs is a positive alignment signal. First-come-first-served is less favorable.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Q12. </w:t>
      </w:r>
      <w:r>
        <w:rPr>
          <w:b/>
          <w:sz w:val="20"/>
        </w:rPr>
        <w:t>Do you use side pocket vehicles? Under what circumstances?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Side pockets for legacy problem assets require scrutiny. What assets are currently in side pockets?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Q13. </w:t>
      </w:r>
      <w:r>
        <w:rPr>
          <w:b/>
          <w:sz w:val="20"/>
        </w:rPr>
        <w:t>How do you handle conflict of interest between fund vehicles when allocating deals?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Should have a written allocation policy. First-come-first-served or pro-rata are most transparent.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Q14. </w:t>
      </w:r>
      <w:r>
        <w:rPr>
          <w:b/>
          <w:sz w:val="20"/>
        </w:rPr>
        <w:t>What is the maximum single name concentration in the fund?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Best practice: no single name &gt; 5% of NAV. &gt; 10% concentration requires justification.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Q15. </w:t>
      </w:r>
      <w:r>
        <w:rPr>
          <w:b/>
          <w:sz w:val="20"/>
        </w:rPr>
        <w:t>Do you use any leverage at the fund vehicle level (NAV facilities, subscription lines)?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Subscription lines inflate IRR by 100–300bps. Ask for IRR excluding subscription line benefits.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spacing w:before="0" w:after="80"/>
      </w:pPr>
      <w:r>
        <w:rPr>
          <w:b/>
          <w:color w:val="C0392B"/>
          <w:sz w:val="18"/>
        </w:rPr>
        <w:t>⚠️  RED FLAG: Manager uses NAV facility leverage but does not disclose its IRR impact to LPs.</w:t>
      </w: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28"/>
        </w:rPr>
        <w:t>SECTION 2: TEAM &amp; ORGANIZATION (Weight: 20%)</w:t>
      </w:r>
    </w:p>
    <w:p>
      <w:pPr>
        <w:spacing w:before="240" w:after="80"/>
      </w:pPr>
      <w:r>
        <w:rPr>
          <w:b/>
          <w:color w:val="2E86C1"/>
          <w:sz w:val="24"/>
        </w:rPr>
        <w:t>2.1 Investment Team Quality</w:t>
      </w:r>
    </w:p>
    <w:p>
      <w:pPr>
        <w:pStyle w:val="ListBullet"/>
      </w:pPr>
      <w:r>
        <w:rPr>
          <w:b/>
          <w:color w:val="0D1B2A"/>
          <w:sz w:val="20"/>
        </w:rPr>
        <w:t xml:space="preserve">Q16. </w:t>
      </w:r>
      <w:r>
        <w:rPr>
          <w:b/>
          <w:sz w:val="20"/>
        </w:rPr>
        <w:t>Provide biographies for all investment professionals with deal responsibility.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Look for: prior lending experience (bank, BDC, direct lender), not just private equity backgrounds. Equity-background-only teams underwrite credit differently.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Q17. </w:t>
      </w:r>
      <w:r>
        <w:rPr>
          <w:b/>
          <w:sz w:val="20"/>
        </w:rPr>
        <w:t>What is the average tenure of the investment team? What key person departures have there been?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Teams with 3+ years average tenure and no key departures are meaningfully stronger. Ask for departure details.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Q18. </w:t>
      </w:r>
      <w:r>
        <w:rPr>
          <w:b/>
          <w:sz w:val="20"/>
        </w:rPr>
        <w:t>Is there a key man clause? What happens if the key man departs?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Key man clause should include fund suspension/LP consent. Verify who is named and what triggers it.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Q19. </w:t>
      </w:r>
      <w:r>
        <w:rPr>
          <w:b/>
          <w:sz w:val="20"/>
        </w:rPr>
        <w:t>How is the investment committee structured? Who has veto rights?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IC should include senior credit officers, not just deal originators. Originator-dominated ICs are a red flag.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Q20. </w:t>
      </w:r>
      <w:r>
        <w:rPr>
          <w:b/>
          <w:sz w:val="20"/>
        </w:rPr>
        <w:t>How do you develop junior talent and what is your attrition rate at the associate/VP level?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High junior attrition signals culture or compensation problems. Strong programs indicate institutional durability.</w:t>
      </w:r>
    </w:p>
    <w:p>
      <w:pPr>
        <w:spacing w:before="0" w:after="120"/>
      </w:pPr>
      <w:r>
        <w:rPr>
          <w:sz w:val="18"/>
        </w:rPr>
        <w:t xml:space="preserve">    Score: ___ / 3     Notes: ________________________________</w:t>
      </w:r>
    </w:p>
    <w:p>
      <w:pPr>
        <w:spacing w:before="0" w:after="80"/>
      </w:pPr>
      <w:r>
        <w:rPr>
          <w:b/>
          <w:color w:val="C0392B"/>
          <w:sz w:val="18"/>
        </w:rPr>
        <w:t>⚠️  RED FLAG: Key investment professionals have departed within the past 18 months and the manager is evasive about reasons.</w:t>
      </w:r>
    </w:p>
    <w:p>
      <w:pPr>
        <w:spacing w:before="240" w:after="80"/>
      </w:pPr>
      <w:r>
        <w:rPr>
          <w:b/>
          <w:color w:val="2E86C1"/>
          <w:sz w:val="24"/>
        </w:rPr>
        <w:t>2.2 Organizational Stability</w:t>
      </w:r>
    </w:p>
    <w:p>
      <w:pPr>
        <w:pStyle w:val="ListBullet"/>
      </w:pPr>
      <w:r>
        <w:rPr>
          <w:b/>
          <w:color w:val="0D1B2A"/>
          <w:sz w:val="20"/>
        </w:rPr>
        <w:t xml:space="preserve">Q21. </w:t>
      </w:r>
      <w:r>
        <w:rPr>
          <w:b/>
          <w:sz w:val="20"/>
        </w:rPr>
        <w:t>Is the firm independently owned or part of a larger parent organization? Has ownership changed recently?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Parent organization changes (PE buyouts of credit firms) often lead to strategy drift and talent attrition.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Q22. </w:t>
      </w:r>
      <w:r>
        <w:rPr>
          <w:b/>
          <w:sz w:val="20"/>
        </w:rPr>
        <w:t>What are the succession plans for senior leadership?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Best-in-class firms have documented succession plans. Founder-dependent firms with no plan present key-person risk.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Q23. </w:t>
      </w:r>
      <w:r>
        <w:rPr>
          <w:b/>
          <w:sz w:val="20"/>
        </w:rPr>
        <w:t>What is the total AUM and how many investment professionals support it? (AUM per professional metric)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Rule of thumb: &gt; $500M AUM per senior PM suggests understaffing. &lt; $150M may indicate lack of scale.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Q24. </w:t>
      </w:r>
      <w:r>
        <w:rPr>
          <w:b/>
          <w:sz w:val="20"/>
        </w:rPr>
        <w:t>Describe any regulatory investigations, lawsuits, or material compliance events.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Run background checks on principals. Any SEC enforcement actions, investor lawsuits, or regulatory sanctions.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Q25. </w:t>
      </w:r>
      <w:r>
        <w:rPr>
          <w:b/>
          <w:sz w:val="20"/>
        </w:rPr>
        <w:t>What percentage of firm revenue comes from this fund strategy vs. other products?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If this fund is &lt; 20% of firm revenue, it may not receive sufficient internal resources and attention.</w:t>
      </w:r>
    </w:p>
    <w:p>
      <w:pPr>
        <w:spacing w:before="0" w:after="120"/>
      </w:pPr>
      <w:r>
        <w:rPr>
          <w:sz w:val="18"/>
        </w:rPr>
        <w:t xml:space="preserve">    Score: ___ / 3     Notes: ________________________________</w:t>
      </w:r>
    </w:p>
    <w:p>
      <w:pPr>
        <w:spacing w:before="240" w:after="80"/>
      </w:pPr>
      <w:r>
        <w:rPr>
          <w:b/>
          <w:color w:val="2E86C1"/>
          <w:sz w:val="24"/>
        </w:rPr>
        <w:t>2.3 Culture &amp; Incentives</w:t>
      </w:r>
    </w:p>
    <w:p>
      <w:pPr>
        <w:pStyle w:val="ListBullet"/>
      </w:pPr>
      <w:r>
        <w:rPr>
          <w:b/>
          <w:color w:val="0D1B2A"/>
          <w:sz w:val="20"/>
        </w:rPr>
        <w:t xml:space="preserve">Q26. </w:t>
      </w:r>
      <w:r>
        <w:rPr>
          <w:b/>
          <w:sz w:val="20"/>
        </w:rPr>
        <w:t>How are deal professionals compensated? Is there deal-level carry vs. fund-level carry?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Fund-level carry incentivizes portfolio quality. Deal-level carry incentivizes origination volume.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Q27. </w:t>
      </w:r>
      <w:r>
        <w:rPr>
          <w:b/>
          <w:sz w:val="20"/>
        </w:rPr>
        <w:t>What percentage of AUM is invested by the GP/principals?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Meaningful GP co-investment (1%+ of fund size) is a strong alignment indicator.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Q28. </w:t>
      </w:r>
      <w:r>
        <w:rPr>
          <w:b/>
          <w:sz w:val="20"/>
        </w:rPr>
        <w:t>How does the firm handle a deal that the IC rejects vs. an originator who pushed for it?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Cultural answer: IC rejection is respected and there are no career consequences for rejected deals.</w:t>
      </w:r>
    </w:p>
    <w:p>
      <w:pPr>
        <w:spacing w:before="0" w:after="120"/>
      </w:pPr>
      <w:r>
        <w:rPr>
          <w:sz w:val="18"/>
        </w:rPr>
        <w:t xml:space="preserve">    Score: ___ / 3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Q29. </w:t>
      </w:r>
      <w:r>
        <w:rPr>
          <w:b/>
          <w:sz w:val="20"/>
        </w:rPr>
        <w:t>What is the firm's philosophy on workout situations — in-house vs. outsourcing?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In-house workout capabilities are a sign of operational maturity. Outsourcing to restructuring advisors is common but adds cost.</w:t>
      </w:r>
    </w:p>
    <w:p>
      <w:pPr>
        <w:spacing w:before="0" w:after="120"/>
      </w:pPr>
      <w:r>
        <w:rPr>
          <w:sz w:val="18"/>
        </w:rPr>
        <w:t xml:space="preserve">    Score: ___ / 3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Q30. </w:t>
      </w:r>
      <w:r>
        <w:rPr>
          <w:b/>
          <w:sz w:val="20"/>
        </w:rPr>
        <w:t>How transparent is the firm with LPs when portfolio companies face stress?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Ask for a specific example. Proactive disclosure of problems is the gold standard.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spacing w:before="0" w:after="80"/>
      </w:pPr>
      <w:r>
        <w:rPr>
          <w:b/>
          <w:color w:val="C0392B"/>
          <w:sz w:val="18"/>
        </w:rPr>
        <w:t>⚠️  RED FLAG: Manager is defensive or vague when asked about workout situations or impaired portfolio companies.</w:t>
      </w: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28"/>
        </w:rPr>
        <w:t>SECTION 3: TRACK RECORD &amp; PERFORMANCE (Weight: 25%)</w:t>
      </w:r>
    </w:p>
    <w:p>
      <w:pPr>
        <w:spacing w:before="240" w:after="80"/>
      </w:pPr>
      <w:r>
        <w:rPr>
          <w:b/>
          <w:color w:val="2E86C1"/>
          <w:sz w:val="24"/>
        </w:rPr>
        <w:t>3.1 Realized Performance</w:t>
      </w:r>
    </w:p>
    <w:p>
      <w:pPr>
        <w:pStyle w:val="ListBullet"/>
      </w:pPr>
      <w:r>
        <w:rPr>
          <w:b/>
          <w:color w:val="0D1B2A"/>
          <w:sz w:val="20"/>
        </w:rPr>
        <w:t xml:space="preserve">Q31. </w:t>
      </w:r>
      <w:r>
        <w:rPr>
          <w:b/>
          <w:sz w:val="20"/>
        </w:rPr>
        <w:t>Provide audited financial statements for all closed vintages.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Unaudited 'estimates' are not acceptable. Require Big 4 or nationally recognized auditor.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Q32. </w:t>
      </w:r>
      <w:r>
        <w:rPr>
          <w:b/>
          <w:sz w:val="20"/>
        </w:rPr>
        <w:t>What is the gross and net IRR by vintage? What is the DPI (Distributions to Paid-In)?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High IRR with low DPI means returns are unrealized. DPI &gt; 1.0x on vintages 4+ years old is the key metric.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Q33. </w:t>
      </w:r>
      <w:r>
        <w:rPr>
          <w:b/>
          <w:sz w:val="20"/>
        </w:rPr>
        <w:t>What has been the fund's historical default rate? Recovery rate on defaulted credits?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Industry benchmark: 1.5–3% default rate for senior direct lending; 65–80% recovery. Ask for actual, not modeled rates.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Q34. </w:t>
      </w:r>
      <w:r>
        <w:rPr>
          <w:b/>
          <w:sz w:val="20"/>
        </w:rPr>
        <w:t>Provide a full portfolio company list (current + realized) with entry/exit leverage and returns.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Concentration by sector, sponsor, geography. How many are on watchlist? What's the hold-period distribution?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Q35. </w:t>
      </w:r>
      <w:r>
        <w:rPr>
          <w:b/>
          <w:sz w:val="20"/>
        </w:rPr>
        <w:t>How many investments are currently on the internal watchlist or non-accrual?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Non-accrual rate above 3% of NAV is an elevated concern. Ask for trend over past 4 quarters.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spacing w:before="0" w:after="80"/>
      </w:pPr>
      <w:r>
        <w:rPr>
          <w:b/>
          <w:color w:val="C0392B"/>
          <w:sz w:val="18"/>
        </w:rPr>
        <w:t>⚠️  RED FLAG: Manager refuses to provide vintage-level performance attribution or default/recovery statistics.</w:t>
      </w:r>
    </w:p>
    <w:p>
      <w:pPr>
        <w:spacing w:before="240" w:after="80"/>
      </w:pPr>
      <w:r>
        <w:rPr>
          <w:b/>
          <w:color w:val="2E86C1"/>
          <w:sz w:val="24"/>
        </w:rPr>
        <w:t>3.2 Market Cycle Performance</w:t>
      </w:r>
    </w:p>
    <w:p>
      <w:pPr>
        <w:pStyle w:val="ListBullet"/>
      </w:pPr>
      <w:r>
        <w:rPr>
          <w:b/>
          <w:color w:val="0D1B2A"/>
          <w:sz w:val="20"/>
        </w:rPr>
        <w:t xml:space="preserve">Q36. </w:t>
      </w:r>
      <w:r>
        <w:rPr>
          <w:b/>
          <w:sz w:val="20"/>
        </w:rPr>
        <w:t>How did the portfolio perform during the March 2020 COVID shock?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Look for: which credits went on watchlist, how many required waivers/amendments, realized vs. unrealized losses.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Q37. </w:t>
      </w:r>
      <w:r>
        <w:rPr>
          <w:b/>
          <w:sz w:val="20"/>
        </w:rPr>
        <w:t>How did the portfolio perform during the 2022–2023 rate shock (SOFR from 0% to 5.3%)?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Rising rate = interest coverage compression. How many borrowers experienced EBITDA stress coinciding with rate increases?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Q38. </w:t>
      </w:r>
      <w:r>
        <w:rPr>
          <w:b/>
          <w:sz w:val="20"/>
        </w:rPr>
        <w:t>What amendments and waivers were granted across the portfolio in the past 24 months?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High amendment/waiver frequency (&gt;15% of portfolio per year) signals underlying credit stress.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Q39. </w:t>
      </w:r>
      <w:r>
        <w:rPr>
          <w:b/>
          <w:sz w:val="20"/>
        </w:rPr>
        <w:t>What is the MOIC distribution across realized investments? (What % were &gt; 1.2x, 1.0x–1.2x, &lt; 1.0x)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A skewed distribution toward 1.0x–1.2x (barely breaking even) suggests the yield is not compensating for risk.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Q40. </w:t>
      </w:r>
      <w:r>
        <w:rPr>
          <w:b/>
          <w:sz w:val="20"/>
        </w:rPr>
        <w:t>Provide a case study of your most challenging workout situation and its resolution.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Quality of answer reveals credit judgment, patience, and operational expertise in distressed situations.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spacing w:before="240" w:after="80"/>
      </w:pPr>
      <w:r>
        <w:rPr>
          <w:b/>
          <w:color w:val="2E86C1"/>
          <w:sz w:val="24"/>
        </w:rPr>
        <w:t>3.3 Benchmark Comparison</w:t>
      </w:r>
    </w:p>
    <w:p>
      <w:pPr>
        <w:pStyle w:val="ListBullet"/>
      </w:pPr>
      <w:r>
        <w:rPr>
          <w:b/>
          <w:color w:val="0D1B2A"/>
          <w:sz w:val="20"/>
        </w:rPr>
        <w:t xml:space="preserve">Q41. </w:t>
      </w:r>
      <w:r>
        <w:rPr>
          <w:b/>
          <w:sz w:val="20"/>
        </w:rPr>
        <w:t>How does your net IRR compare to the Cliffwater Direct Lending Index (CDLI) for the same vintage years?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CDLI is the industry benchmark for US direct lending. Consistent outperformance vs. CDLI is meaningful alpha.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Q42. </w:t>
      </w:r>
      <w:r>
        <w:rPr>
          <w:b/>
          <w:sz w:val="20"/>
        </w:rPr>
        <w:t>What is your target net return spread over the Bloomberg US Corporate HY Index?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Private credit should deliver 200–400bps over liquid HY for the illiquidity premium to be justified.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Q43. </w:t>
      </w:r>
      <w:r>
        <w:rPr>
          <w:b/>
          <w:sz w:val="20"/>
        </w:rPr>
        <w:t>How do you define and measure your portfolio's risk-adjusted return (Sharpe/Sortino or equivalent)?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Managers who think in risk-adjusted terms are more sophisticated than those who focus solely on gross yield.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Q44. </w:t>
      </w:r>
      <w:r>
        <w:rPr>
          <w:b/>
          <w:sz w:val="20"/>
        </w:rPr>
        <w:t>What is the NAV volatility of the fund vs. comparable liquid credit benchmarks?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Lower NAV volatility is partly a feature of private credit marking conventions. Ensure this is disclosed transparently.</w:t>
      </w:r>
    </w:p>
    <w:p>
      <w:pPr>
        <w:spacing w:before="0" w:after="120"/>
      </w:pPr>
      <w:r>
        <w:rPr>
          <w:sz w:val="18"/>
        </w:rPr>
        <w:t xml:space="preserve">    Score: ___ / 3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Q45. </w:t>
      </w:r>
      <w:r>
        <w:rPr>
          <w:b/>
          <w:sz w:val="20"/>
        </w:rPr>
        <w:t>What was the highest single-quarter drawdown in NAV? When and why?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Ask for explanation. Rapid marks-to-market during COVID revealed which managers had conservative vs. aggressive valuation policies.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28"/>
        </w:rPr>
        <w:t>SECTION 4: OPERATIONS &amp; RISK MANAGEMENT (Weight: 20%)</w:t>
      </w:r>
    </w:p>
    <w:p>
      <w:pPr>
        <w:spacing w:before="240" w:after="80"/>
      </w:pPr>
      <w:r>
        <w:rPr>
          <w:b/>
          <w:color w:val="2E86C1"/>
          <w:sz w:val="24"/>
        </w:rPr>
        <w:t>4.1 Valuation &amp; Reporting</w:t>
      </w:r>
    </w:p>
    <w:p>
      <w:pPr>
        <w:pStyle w:val="ListBullet"/>
      </w:pPr>
      <w:r>
        <w:rPr>
          <w:b/>
          <w:color w:val="0D1B2A"/>
          <w:sz w:val="20"/>
        </w:rPr>
        <w:t xml:space="preserve">Q46. </w:t>
      </w:r>
      <w:r>
        <w:rPr>
          <w:b/>
          <w:sz w:val="20"/>
        </w:rPr>
        <w:t>Who performs the quarterly valuation of portfolio companies and what methodology is used?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Independent third-party valuation of Level 3 assets (or robust internal process with IC oversight) is required.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Q47. </w:t>
      </w:r>
      <w:r>
        <w:rPr>
          <w:b/>
          <w:sz w:val="20"/>
        </w:rPr>
        <w:t>Do you use an independent fund administrator? Who?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SS&amp;C, Citco, State Street, or equivalent. Self-administered funds require additional scrutiny.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Q48. </w:t>
      </w:r>
      <w:r>
        <w:rPr>
          <w:b/>
          <w:sz w:val="20"/>
        </w:rPr>
        <w:t>What is your quarterly reporting package for LPs? Provide a sample.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Best practice: portfolio company performance metrics (EBITDA, leverage, coverage), watchlist status, NAV bridge.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Q49. </w:t>
      </w:r>
      <w:r>
        <w:rPr>
          <w:b/>
          <w:sz w:val="20"/>
        </w:rPr>
        <w:t>How do you handle conflicts of interest in the valuation of portfolio companies where you may have equity?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Should have formal COI policy reviewed by a valuation committee with independent members.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Q50. </w:t>
      </w:r>
      <w:r>
        <w:rPr>
          <w:b/>
          <w:sz w:val="20"/>
        </w:rPr>
        <w:t>What are your fund accounting systems? (Advent Geneva, Yardi, Investran, Propel, etc.)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Institutional-grade systems indicate operational maturity. Excel-based accounting in a &gt;$500M fund is a red flag.</w:t>
      </w:r>
    </w:p>
    <w:p>
      <w:pPr>
        <w:spacing w:before="0" w:after="120"/>
      </w:pPr>
      <w:r>
        <w:rPr>
          <w:sz w:val="18"/>
        </w:rPr>
        <w:t xml:space="preserve">    Score: ___ / 3     Notes: ________________________________</w:t>
      </w:r>
    </w:p>
    <w:p>
      <w:pPr>
        <w:spacing w:before="0" w:after="80"/>
      </w:pPr>
      <w:r>
        <w:rPr>
          <w:b/>
          <w:color w:val="C0392B"/>
          <w:sz w:val="18"/>
        </w:rPr>
        <w:t>⚠️  RED FLAG: Fund does not use an independent fund administrator for NAV calculation.</w:t>
      </w:r>
    </w:p>
    <w:p>
      <w:pPr>
        <w:spacing w:before="240" w:after="80"/>
      </w:pPr>
      <w:r>
        <w:rPr>
          <w:b/>
          <w:color w:val="2E86C1"/>
          <w:sz w:val="24"/>
        </w:rPr>
        <w:t>4.2 Risk Management Framework</w:t>
      </w:r>
    </w:p>
    <w:p>
      <w:pPr>
        <w:pStyle w:val="ListBullet"/>
      </w:pPr>
      <w:r>
        <w:rPr>
          <w:b/>
          <w:color w:val="0D1B2A"/>
          <w:sz w:val="20"/>
        </w:rPr>
        <w:t xml:space="preserve">Q51. </w:t>
      </w:r>
      <w:r>
        <w:rPr>
          <w:b/>
          <w:sz w:val="20"/>
        </w:rPr>
        <w:t>Describe your portfolio-level risk limits (concentration, sector, leverage, etc.).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Written risk limits in the LPA/investment guidelines are binding. Informal limits are not.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Q52. </w:t>
      </w:r>
      <w:r>
        <w:rPr>
          <w:b/>
          <w:sz w:val="20"/>
        </w:rPr>
        <w:t>What is your portfolio monitoring process for borrower financial performance?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Minimum: quarterly financials, covenant compliance certificates, management calls for watchlist credits.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Q53. </w:t>
      </w:r>
      <w:r>
        <w:rPr>
          <w:b/>
          <w:sz w:val="20"/>
        </w:rPr>
        <w:t>How do you stress test the portfolio? What scenarios do you model?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Look for: revenue decline scenarios, rate shock scenarios, sector-specific stress. Monthly vs. quarterly frequency.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Q54. </w:t>
      </w:r>
      <w:r>
        <w:rPr>
          <w:b/>
          <w:sz w:val="20"/>
        </w:rPr>
        <w:t>What is your ESG policy and how does it affect investment decisions?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Evolving area. Ask for specific examples of ESG-driven investment modifications or passes.</w:t>
      </w:r>
    </w:p>
    <w:p>
      <w:pPr>
        <w:spacing w:before="0" w:after="120"/>
      </w:pPr>
      <w:r>
        <w:rPr>
          <w:sz w:val="18"/>
        </w:rPr>
        <w:t xml:space="preserve">    Score: ___ / 3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Q55. </w:t>
      </w:r>
      <w:r>
        <w:rPr>
          <w:b/>
          <w:sz w:val="20"/>
        </w:rPr>
        <w:t>Describe your cybersecurity and data security protocols for portfolio company data.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Material consideration post-Colonial Pipeline and other ransomware events affecting portfolio companies.</w:t>
      </w:r>
    </w:p>
    <w:p>
      <w:pPr>
        <w:spacing w:before="0" w:after="120"/>
      </w:pPr>
      <w:r>
        <w:rPr>
          <w:sz w:val="18"/>
        </w:rPr>
        <w:t xml:space="preserve">    Score: ___ / 3     Notes: ________________________________</w:t>
      </w:r>
    </w:p>
    <w:p>
      <w:pPr>
        <w:spacing w:before="240" w:after="80"/>
      </w:pPr>
      <w:r>
        <w:rPr>
          <w:b/>
          <w:color w:val="2E86C1"/>
          <w:sz w:val="24"/>
        </w:rPr>
        <w:t>4.3 Legal &amp; Compliance</w:t>
      </w:r>
    </w:p>
    <w:p>
      <w:pPr>
        <w:pStyle w:val="ListBullet"/>
      </w:pPr>
      <w:r>
        <w:rPr>
          <w:b/>
          <w:color w:val="0D1B2A"/>
          <w:sz w:val="20"/>
        </w:rPr>
        <w:t xml:space="preserve">Q56. </w:t>
      </w:r>
      <w:r>
        <w:rPr>
          <w:b/>
          <w:sz w:val="20"/>
        </w:rPr>
        <w:t>Is the firm registered with the SEC as an investment adviser? Provide Form ADV.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All managers with &gt;$100M AUM must be registered. Review Form ADV for regulatory disclosures.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Q57. </w:t>
      </w:r>
      <w:r>
        <w:rPr>
          <w:b/>
          <w:sz w:val="20"/>
        </w:rPr>
        <w:t>Has the firm or any principal been subject to regulatory investigation, enforcement action, or civil litigation in the past 10 years?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Any yes answer requires full disclosure and explanation.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Q58. </w:t>
      </w:r>
      <w:r>
        <w:rPr>
          <w:b/>
          <w:sz w:val="20"/>
        </w:rPr>
        <w:t>What is the fund's liquidity structure? (Open-end, closed-end, interval fund?)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Closed-end is standard for direct lending. Open-end funds with illiquid assets create liquidity mismatch risk.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Q59. </w:t>
      </w:r>
      <w:r>
        <w:rPr>
          <w:b/>
          <w:sz w:val="20"/>
        </w:rPr>
        <w:t>Are there gates, side pockets, or suspension provisions in the fund documents?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Understand exactly what conditions trigger these provisions.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Q60. </w:t>
      </w:r>
      <w:r>
        <w:rPr>
          <w:b/>
          <w:sz w:val="20"/>
        </w:rPr>
        <w:t>Who is the fund's legal counsel and auditor?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Reputable counsel (Kirkland, Simpson Thacher, Debevoise) and Big 4 auditor are baseline institutional expectations.</w:t>
      </w:r>
    </w:p>
    <w:p>
      <w:pPr>
        <w:spacing w:before="0" w:after="120"/>
      </w:pPr>
      <w:r>
        <w:rPr>
          <w:sz w:val="18"/>
        </w:rPr>
        <w:t xml:space="preserve">    Score: ___ / 3     Notes: ________________________________</w:t>
      </w:r>
    </w:p>
    <w:p>
      <w:pPr>
        <w:spacing w:before="0" w:after="80"/>
      </w:pPr>
      <w:r>
        <w:rPr>
          <w:b/>
          <w:color w:val="C0392B"/>
          <w:sz w:val="18"/>
        </w:rPr>
        <w:t>⚠️  RED FLAG: Manager or any principal has unresolved SEC enforcement actions or material investor litigation.</w:t>
      </w: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28"/>
        </w:rPr>
        <w:t>SECTION 5: TERMS &amp; ALIGNMENT (Weight: 15%)</w:t>
      </w:r>
    </w:p>
    <w:p>
      <w:pPr>
        <w:spacing w:before="240" w:after="80"/>
      </w:pPr>
      <w:r>
        <w:rPr>
          <w:b/>
          <w:color w:val="2E86C1"/>
          <w:sz w:val="24"/>
        </w:rPr>
        <w:t>5.1 Fee Structure</w:t>
      </w:r>
    </w:p>
    <w:p>
      <w:pPr>
        <w:pStyle w:val="ListBullet"/>
      </w:pPr>
      <w:r>
        <w:rPr>
          <w:b/>
          <w:color w:val="0D1B2A"/>
          <w:sz w:val="20"/>
        </w:rPr>
        <w:t xml:space="preserve">Q61. </w:t>
      </w:r>
      <w:r>
        <w:rPr>
          <w:b/>
          <w:sz w:val="20"/>
        </w:rPr>
        <w:t>What is the management fee structure? Is it on committed or invested capital?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Industry standard: 1.0–1.5% on invested capital for direct lending. Management fee on committed capital during investment period inflates effective fees.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Q62. </w:t>
      </w:r>
      <w:r>
        <w:rPr>
          <w:b/>
          <w:sz w:val="20"/>
        </w:rPr>
        <w:t>What is the carried interest rate and hurdle rate?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Standard: 20% carry, 8% hurdle, with 100% catch-up. Higher hurdles (10%+) are more LP-friendly.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Q63. </w:t>
      </w:r>
      <w:r>
        <w:rPr>
          <w:b/>
          <w:sz w:val="20"/>
        </w:rPr>
        <w:t>Are there any transaction fees, monitoring fees, or deal fees? Are these shared with LPs?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Best practice: 100% of transaction fees offset management fee. Any fees retained by GP require scrutiny.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Q64. </w:t>
      </w:r>
      <w:r>
        <w:rPr>
          <w:b/>
          <w:sz w:val="20"/>
        </w:rPr>
        <w:t>What are the fund expenses charged to the portfolio vs. to the management company?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Watch for: formation expenses, legal costs, travel expenses being charged to the fund rather than the GP.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Q65. </w:t>
      </w:r>
      <w:r>
        <w:rPr>
          <w:b/>
          <w:sz w:val="20"/>
        </w:rPr>
        <w:t>What is the clawback provision and has the GP ever had to fund a clawback?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Strong clawback with escrowed carry is LP-friendly. Ask if any historical clawback has been triggered.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spacing w:before="0" w:after="80"/>
      </w:pPr>
      <w:r>
        <w:rPr>
          <w:b/>
          <w:color w:val="C0392B"/>
          <w:sz w:val="18"/>
        </w:rPr>
        <w:t>⚠️  RED FLAG: Transaction fees are retained by the GP and not shared with or offset against LP management fees.</w:t>
      </w:r>
    </w:p>
    <w:p>
      <w:pPr>
        <w:spacing w:before="240" w:after="80"/>
      </w:pPr>
      <w:r>
        <w:rPr>
          <w:b/>
          <w:color w:val="2E86C1"/>
          <w:sz w:val="24"/>
        </w:rPr>
        <w:t>5.2 LP Terms</w:t>
      </w:r>
    </w:p>
    <w:p>
      <w:pPr>
        <w:pStyle w:val="ListBullet"/>
      </w:pPr>
      <w:r>
        <w:rPr>
          <w:b/>
          <w:color w:val="0D1B2A"/>
          <w:sz w:val="20"/>
        </w:rPr>
        <w:t xml:space="preserve">Q66. </w:t>
      </w:r>
      <w:r>
        <w:rPr>
          <w:b/>
          <w:sz w:val="20"/>
        </w:rPr>
        <w:t>What are the minimum LP commitment sizes for this fund?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Institutional minimum ($5M–$25M) vs. accessible product ($250K–$1M) affects portfolio management priorities.</w:t>
      </w:r>
    </w:p>
    <w:p>
      <w:pPr>
        <w:spacing w:before="0" w:after="120"/>
      </w:pPr>
      <w:r>
        <w:rPr>
          <w:sz w:val="18"/>
        </w:rPr>
        <w:t xml:space="preserve">    Score: ___ / 3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Q67. </w:t>
      </w:r>
      <w:r>
        <w:rPr>
          <w:b/>
          <w:sz w:val="20"/>
        </w:rPr>
        <w:t>What is the fund's investor reporting frequency and format?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Quarterly reports with 45-day delivery are standard. Monthly with 30-day delivery is better.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Q68. </w:t>
      </w:r>
      <w:r>
        <w:rPr>
          <w:b/>
          <w:sz w:val="20"/>
        </w:rPr>
        <w:t>Are there Most Favored Nation (MFN) provisions for LPs? What triggers fee breaks?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LPs committing &gt; $25M or early-close LPs should request MFN or side letter protections.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Q69. </w:t>
      </w:r>
      <w:r>
        <w:rPr>
          <w:b/>
          <w:sz w:val="20"/>
        </w:rPr>
        <w:t>What are the LP advisory committee (LPAC) rights and composition?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LPAC should include representation from large LPs; should have authority to approve GP conflicts and related-party transactions.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Q70. </w:t>
      </w:r>
      <w:r>
        <w:rPr>
          <w:b/>
          <w:sz w:val="20"/>
        </w:rPr>
        <w:t>What is the fund's policy on secondaries and LP transfers?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Understand transferability restrictions. GP consent required is standard; unreasonable restrictions harm LP liquidity.</w:t>
      </w:r>
    </w:p>
    <w:p>
      <w:pPr>
        <w:spacing w:before="0" w:after="120"/>
      </w:pPr>
      <w:r>
        <w:rPr>
          <w:sz w:val="18"/>
        </w:rPr>
        <w:t xml:space="preserve">    Score: ___ / 3     Notes: ________________________________</w:t>
      </w:r>
    </w:p>
    <w:p>
      <w:pPr>
        <w:spacing w:before="240" w:after="80"/>
      </w:pPr>
      <w:r>
        <w:rPr>
          <w:b/>
          <w:color w:val="2E86C1"/>
          <w:sz w:val="24"/>
        </w:rPr>
        <w:t>5.3 Reference Checks &amp; Final Assessment</w:t>
      </w:r>
    </w:p>
    <w:p>
      <w:pPr>
        <w:pStyle w:val="ListBullet"/>
      </w:pPr>
      <w:r>
        <w:rPr>
          <w:b/>
          <w:color w:val="0D1B2A"/>
          <w:sz w:val="20"/>
        </w:rPr>
        <w:t xml:space="preserve">Q71. </w:t>
      </w:r>
      <w:r>
        <w:rPr>
          <w:b/>
          <w:sz w:val="20"/>
        </w:rPr>
        <w:t>Provide 5 LP references from current and prior funds, including at least 2 from LPs who declined to re-up.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Declined re-up references are the most valuable. Ask GPT: who would NOT recommend you and why?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Q72. </w:t>
      </w:r>
      <w:r>
        <w:rPr>
          <w:b/>
          <w:sz w:val="20"/>
        </w:rPr>
        <w:t>Provide 3 portfolio company CEO references.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Borrower references reveal speed of process, relationship quality, and behavior when borrowers are in stress.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Q73. </w:t>
      </w:r>
      <w:r>
        <w:rPr>
          <w:b/>
          <w:sz w:val="20"/>
        </w:rPr>
        <w:t>What would your toughest LP critic say is the biggest weakness of the fund?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Open-ended question. Quality of self-awareness in the answer is highly revealing.</w:t>
      </w:r>
    </w:p>
    <w:p>
      <w:pPr>
        <w:spacing w:before="0" w:after="120"/>
      </w:pPr>
      <w:r>
        <w:rPr>
          <w:sz w:val="18"/>
        </w:rPr>
        <w:t xml:space="preserve">    Score: ___ / 4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Q74. </w:t>
      </w:r>
      <w:r>
        <w:rPr>
          <w:b/>
          <w:sz w:val="20"/>
        </w:rPr>
        <w:t>What is the target fund size and first/final close timeline?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Oversized funds risk return dilution. Underfunded funds risk insufficient diversification.</w:t>
      </w:r>
    </w:p>
    <w:p>
      <w:pPr>
        <w:spacing w:before="0" w:after="120"/>
      </w:pPr>
      <w:r>
        <w:rPr>
          <w:sz w:val="18"/>
        </w:rPr>
        <w:t xml:space="preserve">    Score: ___ / 3     Notes: ________________________________</w:t>
      </w:r>
    </w:p>
    <w:p>
      <w:pPr>
        <w:pStyle w:val="ListBullet"/>
      </w:pPr>
      <w:r>
        <w:rPr>
          <w:b/>
          <w:color w:val="0D1B2A"/>
          <w:sz w:val="20"/>
        </w:rPr>
        <w:t xml:space="preserve">Q75. </w:t>
      </w:r>
      <w:r>
        <w:rPr>
          <w:b/>
          <w:sz w:val="20"/>
        </w:rPr>
        <w:t>Is there anything material about the fund, firm, or principals that you have not disclosed that a sophisticated investor would want to know?</w:t>
      </w:r>
    </w:p>
    <w:p>
      <w:pPr>
        <w:spacing w:before="0" w:after="40"/>
      </w:pPr>
      <w:r>
        <w:rPr>
          <w:i/>
          <w:color w:val="556B8D"/>
          <w:sz w:val="18"/>
        </w:rPr>
        <w:t xml:space="preserve">    Guidance: Standard catch-all question. The answer—and how it's delivered—is informative regardless of content.</w:t>
      </w:r>
    </w:p>
    <w:p>
      <w:pPr>
        <w:spacing w:before="0" w:after="120"/>
      </w:pPr>
      <w:r>
        <w:rPr>
          <w:sz w:val="18"/>
        </w:rPr>
        <w:t xml:space="preserve">    Score: ___ / 5     Notes: ________________________________</w:t>
      </w:r>
    </w:p>
    <w:p>
      <w:pPr>
        <w:spacing w:before="0" w:after="80"/>
      </w:pPr>
      <w:r>
        <w:rPr>
          <w:b/>
          <w:color w:val="C0392B"/>
          <w:sz w:val="18"/>
        </w:rPr>
        <w:t>⚠️  RED FLAG: Manager provides only 'happy path' LP references and refuses to provide any references from investors who chose not to re-commit.</w:t>
      </w:r>
    </w:p>
    <w:p>
      <w:r>
        <w:br w:type="page"/>
      </w:r>
    </w:p>
    <w:p>
      <w:pPr>
        <w:spacing w:before="240" w:after="80"/>
      </w:pPr>
      <w:r>
        <w:rPr>
          <w:b/>
          <w:color w:val="1B4F72"/>
          <w:sz w:val="28"/>
        </w:rPr>
        <w:t>SCORING SUMMARY</w:t>
      </w:r>
    </w:p>
    <w:p>
      <w:r>
        <w:t>Complete the table below after all questions have been answered.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1881"/>
          </w:tcPr>
          <w:p>
            <w:r>
              <w:rPr>
                <w:b/>
              </w:rPr>
              <w:t>Max Score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Your Score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% of Max</w:t>
            </w:r>
          </w:p>
        </w:tc>
        <w:tc>
          <w:tcPr>
            <w:tcW w:type="dxa" w:w="1881"/>
          </w:tcPr>
          <w:p>
            <w:r>
              <w:rPr>
                <w:b/>
              </w:rPr>
              <w:t>Rating</w:t>
            </w:r>
          </w:p>
        </w:tc>
      </w:tr>
      <w:tr>
        <w:tc>
          <w:tcPr>
            <w:tcW w:type="dxa" w:w="1881"/>
          </w:tcPr>
          <w:p>
            <w:r>
              <w:t>1. Strategy &amp; Philosophy</w:t>
            </w:r>
          </w:p>
        </w:tc>
        <w:tc>
          <w:tcPr>
            <w:tcW w:type="dxa" w:w="1881"/>
          </w:tcPr>
          <w:p>
            <w:r>
              <w:t>75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2. Team &amp; Organization</w:t>
            </w:r>
          </w:p>
        </w:tc>
        <w:tc>
          <w:tcPr>
            <w:tcW w:type="dxa" w:w="1881"/>
          </w:tcPr>
          <w:p>
            <w:r>
              <w:t>75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3. Track Record &amp; Performance</w:t>
            </w:r>
          </w:p>
        </w:tc>
        <w:tc>
          <w:tcPr>
            <w:tcW w:type="dxa" w:w="1881"/>
          </w:tcPr>
          <w:p>
            <w:r>
              <w:t>75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4. Operations &amp; Risk Management</w:t>
            </w:r>
          </w:p>
        </w:tc>
        <w:tc>
          <w:tcPr>
            <w:tcW w:type="dxa" w:w="1881"/>
          </w:tcPr>
          <w:p>
            <w:r>
              <w:t>75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5. Terms &amp; Alignment</w:t>
            </w:r>
          </w:p>
        </w:tc>
        <w:tc>
          <w:tcPr>
            <w:tcW w:type="dxa" w:w="1881"/>
          </w:tcPr>
          <w:p>
            <w:r>
              <w:t>75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TOTAL COMPOSITE</w:t>
            </w:r>
          </w:p>
        </w:tc>
        <w:tc>
          <w:tcPr>
            <w:tcW w:type="dxa" w:w="1881"/>
          </w:tcPr>
          <w:p>
            <w:r>
              <w:t>375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</w:tbl>
    <w:p/>
    <w:p>
      <w:r>
        <w:t>Rating Scale:</w:t>
      </w:r>
    </w:p>
    <w:p>
      <w:r>
        <w:rPr>
          <w:b/>
        </w:rPr>
        <w:t xml:space="preserve">🟢 85–100%: </w:t>
      </w:r>
      <w:r>
        <w:t xml:space="preserve">Recommend allocation | </w:t>
      </w:r>
      <w:r>
        <w:rPr>
          <w:b/>
        </w:rPr>
        <w:t xml:space="preserve">🟡 70–84%: </w:t>
      </w:r>
      <w:r>
        <w:t xml:space="preserve">Conditional — address specific concerns | </w:t>
      </w:r>
      <w:r>
        <w:rPr>
          <w:b/>
        </w:rPr>
        <w:t xml:space="preserve">🔴 &lt; 70%: </w:t>
      </w:r>
      <w:r>
        <w:t>Do not allocate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