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0D1B2A"/>
          <w:sz w:val="40"/>
        </w:rPr>
        <w:t>PRIVATE CREDIT GLOSSARY &amp; EDUCATION GUIDE</w:t>
      </w:r>
    </w:p>
    <w:p>
      <w:r>
        <w:t>150+ Terms | Strategy Comparison | Market Sizing | For Independent RIAs &amp; Family Office Analysts</w:t>
      </w:r>
    </w:p>
    <w:p>
      <w:r>
        <w:t>Version 1.0 | March 2025 | The Private Credit Intelligence Toolkit ($197)</w:t>
      </w:r>
    </w:p>
    <w:p>
      <w:r>
        <w:br w:type="page"/>
      </w:r>
    </w:p>
    <w:p>
      <w:pPr>
        <w:spacing w:before="200" w:after="60"/>
      </w:pPr>
      <w:r>
        <w:rPr>
          <w:rFonts w:ascii="Calibri" w:hAnsi="Calibri"/>
          <w:b/>
          <w:color w:val="1B4F72"/>
          <w:sz w:val="28"/>
        </w:rPr>
        <w:t>PART 1: MARKET OVERVIEW</w:t>
      </w:r>
    </w:p>
    <w:p>
      <w:pPr>
        <w:spacing w:before="200" w:after="60"/>
      </w:pPr>
      <w:r>
        <w:rPr>
          <w:rFonts w:ascii="Calibri" w:hAnsi="Calibri"/>
          <w:b/>
          <w:color w:val="2E86C1"/>
          <w:sz w:val="24"/>
        </w:rPr>
        <w:t>1.1 Private Credit Market Size &amp; Growth</w:t>
      </w:r>
    </w:p>
    <w:p>
      <w:r>
        <w:t>Private credit has become the fastest-growing asset class in alternatives, reaching approximately $1.7 trillion in AUM as of 2024 (Preqin estimates). The asset class grew from ~$500 billion in 2015, driven by bank retrenchment from middle-market lending following the Dodd-Frank Act, increased demand for yield in low-rate environments, and institutional recognition of the asset class's risk-adjusted return profile.</w:t>
        <w:br/>
        <w:br/>
        <w:t>Key growth drivers:</w:t>
        <w:br/>
        <w:t>• Bank regulatory capital constraints (Basel III/IV) reducing bank appetite for leveraged loans</w:t>
        <w:br/>
        <w:t>• Insurance company demand for floating-rate, investment-grade private credit</w:t>
        <w:br/>
        <w:t>• Defined-contribution pension funds increasing alternatives allocations</w:t>
        <w:br/>
        <w:t>• Family offices seeking yield above liquid credit markets</w:t>
        <w:br/>
        <w:t>• Retail democratization through BDCs, interval funds, and semi-liquid vehicles</w:t>
      </w:r>
    </w:p>
    <w:p>
      <w:pPr>
        <w:spacing w:before="200" w:after="60"/>
      </w:pPr>
      <w:r>
        <w:rPr>
          <w:rFonts w:ascii="Calibri" w:hAnsi="Calibri"/>
          <w:b/>
          <w:color w:val="2E86C1"/>
          <w:sz w:val="24"/>
        </w:rPr>
        <w:t>1.2 Private Credit Sub-Strategies at a Glance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Strategy</w:t>
            </w:r>
          </w:p>
        </w:tc>
        <w:tc>
          <w:tcPr>
            <w:tcW w:type="dxa" w:w="1881"/>
          </w:tcPr>
          <w:p>
            <w:r>
              <w:rPr>
                <w:b/>
              </w:rPr>
              <w:t>Risk Level</w:t>
            </w:r>
          </w:p>
        </w:tc>
        <w:tc>
          <w:tcPr>
            <w:tcW w:type="dxa" w:w="1881"/>
          </w:tcPr>
          <w:p>
            <w:r>
              <w:rPr>
                <w:b/>
              </w:rPr>
              <w:t>Target Return</w:t>
            </w:r>
          </w:p>
        </w:tc>
        <w:tc>
          <w:tcPr>
            <w:tcW w:type="dxa" w:w="1881"/>
          </w:tcPr>
          <w:p>
            <w:r>
              <w:rPr>
                <w:b/>
              </w:rPr>
              <w:t>Typical Leverage</w:t>
            </w:r>
          </w:p>
        </w:tc>
        <w:tc>
          <w:tcPr>
            <w:tcW w:type="dxa" w:w="1881"/>
          </w:tcPr>
          <w:p>
            <w:r>
              <w:rPr>
                <w:b/>
              </w:rPr>
              <w:t>Typical Use Case</w:t>
            </w:r>
          </w:p>
        </w:tc>
      </w:tr>
      <w:tr>
        <w:tc>
          <w:tcPr>
            <w:tcW w:type="dxa" w:w="1881"/>
          </w:tcPr>
          <w:p>
            <w:r>
              <w:t>Senior Secured / Direct Lending</w:t>
            </w:r>
          </w:p>
        </w:tc>
        <w:tc>
          <w:tcPr>
            <w:tcW w:type="dxa" w:w="1881"/>
          </w:tcPr>
          <w:p>
            <w:r>
              <w:t>Low–Medium</w:t>
            </w:r>
          </w:p>
        </w:tc>
        <w:tc>
          <w:tcPr>
            <w:tcW w:type="dxa" w:w="1881"/>
          </w:tcPr>
          <w:p>
            <w:r>
              <w:t>9–13% net</w:t>
            </w:r>
          </w:p>
        </w:tc>
        <w:tc>
          <w:tcPr>
            <w:tcW w:type="dxa" w:w="1881"/>
          </w:tcPr>
          <w:p>
            <w:r>
              <w:t>4–6x Debt/EBITDA</w:t>
            </w:r>
          </w:p>
        </w:tc>
        <w:tc>
          <w:tcPr>
            <w:tcW w:type="dxa" w:w="1881"/>
          </w:tcPr>
          <w:p>
            <w:r>
              <w:t>Sponsor-backed LBO/M&amp;A financing</w:t>
            </w:r>
          </w:p>
        </w:tc>
      </w:tr>
      <w:tr>
        <w:tc>
          <w:tcPr>
            <w:tcW w:type="dxa" w:w="1881"/>
          </w:tcPr>
          <w:p>
            <w:r>
              <w:t>Unitranche</w:t>
            </w:r>
          </w:p>
        </w:tc>
        <w:tc>
          <w:tcPr>
            <w:tcW w:type="dxa" w:w="1881"/>
          </w:tcPr>
          <w:p>
            <w:r>
              <w:t>Medium</w:t>
            </w:r>
          </w:p>
        </w:tc>
        <w:tc>
          <w:tcPr>
            <w:tcW w:type="dxa" w:w="1881"/>
          </w:tcPr>
          <w:p>
            <w:r>
              <w:t>11–15% net</w:t>
            </w:r>
          </w:p>
        </w:tc>
        <w:tc>
          <w:tcPr>
            <w:tcW w:type="dxa" w:w="1881"/>
          </w:tcPr>
          <w:p>
            <w:r>
              <w:t>5–7x Debt/EBITDA</w:t>
            </w:r>
          </w:p>
        </w:tc>
        <w:tc>
          <w:tcPr>
            <w:tcW w:type="dxa" w:w="1881"/>
          </w:tcPr>
          <w:p>
            <w:r>
              <w:t>One-stop acquisition financing</w:t>
            </w:r>
          </w:p>
        </w:tc>
      </w:tr>
      <w:tr>
        <w:tc>
          <w:tcPr>
            <w:tcW w:type="dxa" w:w="1881"/>
          </w:tcPr>
          <w:p>
            <w:r>
              <w:t>Mezzanine</w:t>
            </w:r>
          </w:p>
        </w:tc>
        <w:tc>
          <w:tcPr>
            <w:tcW w:type="dxa" w:w="1881"/>
          </w:tcPr>
          <w:p>
            <w:r>
              <w:t>Medium–High</w:t>
            </w:r>
          </w:p>
        </w:tc>
        <w:tc>
          <w:tcPr>
            <w:tcW w:type="dxa" w:w="1881"/>
          </w:tcPr>
          <w:p>
            <w:r>
              <w:t>13–18% net</w:t>
            </w:r>
          </w:p>
        </w:tc>
        <w:tc>
          <w:tcPr>
            <w:tcW w:type="dxa" w:w="1881"/>
          </w:tcPr>
          <w:p>
            <w:r>
              <w:t>6–8x Debt/EBITDA</w:t>
            </w:r>
          </w:p>
        </w:tc>
        <w:tc>
          <w:tcPr>
            <w:tcW w:type="dxa" w:w="1881"/>
          </w:tcPr>
          <w:p>
            <w:r>
              <w:t>Junior capital for buyouts</w:t>
            </w:r>
          </w:p>
        </w:tc>
      </w:tr>
      <w:tr>
        <w:tc>
          <w:tcPr>
            <w:tcW w:type="dxa" w:w="1881"/>
          </w:tcPr>
          <w:p>
            <w:r>
              <w:t>Distressed Credit</w:t>
            </w:r>
          </w:p>
        </w:tc>
        <w:tc>
          <w:tcPr>
            <w:tcW w:type="dxa" w:w="1881"/>
          </w:tcPr>
          <w:p>
            <w:r>
              <w:t>High</w:t>
            </w:r>
          </w:p>
        </w:tc>
        <w:tc>
          <w:tcPr>
            <w:tcW w:type="dxa" w:w="1881"/>
          </w:tcPr>
          <w:p>
            <w:r>
              <w:t>15–25% net</w:t>
            </w:r>
          </w:p>
        </w:tc>
        <w:tc>
          <w:tcPr>
            <w:tcW w:type="dxa" w:w="1881"/>
          </w:tcPr>
          <w:p>
            <w:r>
              <w:t>Variable</w:t>
            </w:r>
          </w:p>
        </w:tc>
        <w:tc>
          <w:tcPr>
            <w:tcW w:type="dxa" w:w="1881"/>
          </w:tcPr>
          <w:p>
            <w:r>
              <w:t>Buying debt at discount</w:t>
            </w:r>
          </w:p>
        </w:tc>
      </w:tr>
      <w:tr>
        <w:tc>
          <w:tcPr>
            <w:tcW w:type="dxa" w:w="1881"/>
          </w:tcPr>
          <w:p>
            <w:r>
              <w:t>Specialty Finance</w:t>
            </w:r>
          </w:p>
        </w:tc>
        <w:tc>
          <w:tcPr>
            <w:tcW w:type="dxa" w:w="1881"/>
          </w:tcPr>
          <w:p>
            <w:r>
              <w:t>Low–High</w:t>
            </w:r>
          </w:p>
        </w:tc>
        <w:tc>
          <w:tcPr>
            <w:tcW w:type="dxa" w:w="1881"/>
          </w:tcPr>
          <w:p>
            <w:r>
              <w:t>8–20% net</w:t>
            </w:r>
          </w:p>
        </w:tc>
        <w:tc>
          <w:tcPr>
            <w:tcW w:type="dxa" w:w="1881"/>
          </w:tcPr>
          <w:p>
            <w:r>
              <w:t>Varies</w:t>
            </w:r>
          </w:p>
        </w:tc>
        <w:tc>
          <w:tcPr>
            <w:tcW w:type="dxa" w:w="1881"/>
          </w:tcPr>
          <w:p>
            <w:r>
              <w:t>Asset-backed, royalties, NAV lending</w:t>
            </w:r>
          </w:p>
        </w:tc>
      </w:tr>
      <w:tr>
        <w:tc>
          <w:tcPr>
            <w:tcW w:type="dxa" w:w="1881"/>
          </w:tcPr>
          <w:p>
            <w:r>
              <w:t>Infrastructure Debt</w:t>
            </w:r>
          </w:p>
        </w:tc>
        <w:tc>
          <w:tcPr>
            <w:tcW w:type="dxa" w:w="1881"/>
          </w:tcPr>
          <w:p>
            <w:r>
              <w:t>Low</w:t>
            </w:r>
          </w:p>
        </w:tc>
        <w:tc>
          <w:tcPr>
            <w:tcW w:type="dxa" w:w="1881"/>
          </w:tcPr>
          <w:p>
            <w:r>
              <w:t>6–9% net</w:t>
            </w:r>
          </w:p>
        </w:tc>
        <w:tc>
          <w:tcPr>
            <w:tcW w:type="dxa" w:w="1881"/>
          </w:tcPr>
          <w:p>
            <w:r>
              <w:t>5–8x Debt/EBITDA</w:t>
            </w:r>
          </w:p>
        </w:tc>
        <w:tc>
          <w:tcPr>
            <w:tcW w:type="dxa" w:w="1881"/>
          </w:tcPr>
          <w:p>
            <w:r>
              <w:t>Greenfield/brownfield projects</w:t>
            </w:r>
          </w:p>
        </w:tc>
      </w:tr>
    </w:tbl>
    <w:p>
      <w:r>
        <w:br w:type="page"/>
      </w:r>
    </w:p>
    <w:p>
      <w:pPr>
        <w:spacing w:before="200" w:after="60"/>
      </w:pPr>
      <w:r>
        <w:rPr>
          <w:rFonts w:ascii="Calibri" w:hAnsi="Calibri"/>
          <w:b/>
          <w:color w:val="1B4F72"/>
          <w:sz w:val="28"/>
        </w:rPr>
        <w:t>PART 2: COMPREHENSIVE GLOSSARY</w:t>
      </w:r>
    </w:p>
    <w:p>
      <w:pPr>
        <w:spacing w:before="200" w:after="60"/>
      </w:pPr>
      <w:r>
        <w:rPr>
          <w:rFonts w:ascii="Calibri" w:hAnsi="Calibri"/>
          <w:b/>
          <w:color w:val="2E86C1"/>
          <w:sz w:val="24"/>
        </w:rPr>
        <w:t>A–C: Core Structural Terms</w:t>
      </w:r>
    </w:p>
    <w:p>
      <w:pPr>
        <w:spacing w:before="40" w:after="40"/>
        <w:ind w:left="283"/>
      </w:pPr>
      <w:r>
        <w:rPr>
          <w:b/>
          <w:color w:val="0D1B2A"/>
          <w:sz w:val="20"/>
        </w:rPr>
        <w:t xml:space="preserve">Accordion Feature: </w:t>
      </w:r>
      <w:r>
        <w:rPr>
          <w:sz w:val="20"/>
        </w:rPr>
        <w:t>A provision in a credit agreement allowing the borrower to increase the total facility size without requiring full re-documentation. Typically subject to pro forma leverage and other conditions.</w:t>
      </w:r>
    </w:p>
    <w:p>
      <w:pPr>
        <w:spacing w:before="40" w:after="40"/>
        <w:ind w:left="283"/>
      </w:pPr>
      <w:r>
        <w:rPr>
          <w:b/>
          <w:color w:val="0D1B2A"/>
          <w:sz w:val="20"/>
        </w:rPr>
        <w:t xml:space="preserve">All-In Yield: </w:t>
      </w:r>
      <w:r>
        <w:rPr>
          <w:sz w:val="20"/>
        </w:rPr>
        <w:t>The total return earned by a lender, including base rate, spread, OID amortization, and any PIK components. The true economics of a loan vs. the quoted spread alone.</w:t>
      </w:r>
    </w:p>
    <w:p>
      <w:pPr>
        <w:spacing w:before="40" w:after="40"/>
        <w:ind w:left="283"/>
      </w:pPr>
      <w:r>
        <w:rPr>
          <w:b/>
          <w:color w:val="0D1B2A"/>
          <w:sz w:val="20"/>
        </w:rPr>
        <w:t xml:space="preserve">Amortization: </w:t>
      </w:r>
      <w:r>
        <w:rPr>
          <w:sz w:val="20"/>
        </w:rPr>
        <w:t>Scheduled repayment of loan principal over the life of the facility. Private credit loans may be fully amortizing, partially amortizing (1–5% per year), or bullet (all repaid at maturity).</w:t>
      </w:r>
    </w:p>
    <w:p>
      <w:pPr>
        <w:spacing w:before="40" w:after="40"/>
        <w:ind w:left="283"/>
      </w:pPr>
      <w:r>
        <w:rPr>
          <w:b/>
          <w:color w:val="0D1B2A"/>
          <w:sz w:val="20"/>
        </w:rPr>
        <w:t xml:space="preserve">Arranger: </w:t>
      </w:r>
      <w:r>
        <w:rPr>
          <w:sz w:val="20"/>
        </w:rPr>
        <w:t>The financial institution or direct lender that structures, underwrites, and distributes a credit facility. In private credit, the arranger is typically the lender (unlike syndicated markets).</w:t>
      </w:r>
    </w:p>
    <w:p>
      <w:pPr>
        <w:spacing w:before="40" w:after="40"/>
        <w:ind w:left="283"/>
      </w:pPr>
      <w:r>
        <w:rPr>
          <w:b/>
          <w:color w:val="0D1B2A"/>
          <w:sz w:val="20"/>
        </w:rPr>
        <w:t xml:space="preserve">BDC (Business Development Company): </w:t>
      </w:r>
      <w:r>
        <w:rPr>
          <w:sz w:val="20"/>
        </w:rPr>
        <w:t>A publicly registered closed-end fund that invests primarily in debt and equity securities of private companies. BDCs must distribute 90%+ of income to maintain pass-through tax status. Major BDCs: Ares Capital (ARCC), Blue Owl Capital (OBDC), Golub Capital BDC (GBDC).</w:t>
      </w:r>
    </w:p>
    <w:p>
      <w:pPr>
        <w:spacing w:before="40" w:after="40"/>
        <w:ind w:left="283"/>
      </w:pPr>
      <w:r>
        <w:rPr>
          <w:b/>
          <w:color w:val="0D1B2A"/>
          <w:sz w:val="20"/>
        </w:rPr>
        <w:t xml:space="preserve">Bifurcation: </w:t>
      </w:r>
      <w:r>
        <w:rPr>
          <w:sz w:val="20"/>
        </w:rPr>
        <w:t>The division of a unitranche facility into a first-out (lower risk, lower return) and last-out (higher risk, higher return) tranche between two or more lenders in an agreement among lenders (AAL).</w:t>
      </w:r>
    </w:p>
    <w:p>
      <w:pPr>
        <w:spacing w:before="40" w:after="40"/>
        <w:ind w:left="283"/>
      </w:pPr>
      <w:r>
        <w:rPr>
          <w:b/>
          <w:color w:val="0D1B2A"/>
          <w:sz w:val="20"/>
        </w:rPr>
        <w:t xml:space="preserve">Borrower Base: </w:t>
      </w:r>
      <w:r>
        <w:rPr>
          <w:sz w:val="20"/>
        </w:rPr>
        <w:t>In asset-based lending, the calculated borrowing availability based on eligible receivables, inventory, and other assets. The primary credit metric governing drawn availability.</w:t>
      </w:r>
    </w:p>
    <w:p>
      <w:pPr>
        <w:spacing w:before="40" w:after="40"/>
        <w:ind w:left="283"/>
      </w:pPr>
      <w:r>
        <w:rPr>
          <w:b/>
          <w:color w:val="0D1B2A"/>
          <w:sz w:val="20"/>
        </w:rPr>
        <w:t xml:space="preserve">Call Protection: </w:t>
      </w:r>
      <w:r>
        <w:rPr>
          <w:sz w:val="20"/>
        </w:rPr>
        <w:t>Provisions limiting the borrower's ability to repay a loan without penalty. Typical structure: 102 in year 1, 101 in year 2, par thereafter. Protects lender yield.</w:t>
      </w:r>
    </w:p>
    <w:p>
      <w:pPr>
        <w:spacing w:before="40" w:after="40"/>
        <w:ind w:left="283"/>
      </w:pPr>
      <w:r>
        <w:rPr>
          <w:b/>
          <w:color w:val="0D1B2A"/>
          <w:sz w:val="20"/>
        </w:rPr>
        <w:t xml:space="preserve">Cash Flow Loan: </w:t>
      </w:r>
      <w:r>
        <w:rPr>
          <w:sz w:val="20"/>
        </w:rPr>
        <w:t>A loan underwritten primarily on the borrower's ability to generate EBITDA-based cash flows to service debt, rather than on the liquidation value of hard assets.</w:t>
      </w:r>
    </w:p>
    <w:p>
      <w:pPr>
        <w:spacing w:before="40" w:after="40"/>
        <w:ind w:left="283"/>
      </w:pPr>
      <w:r>
        <w:rPr>
          <w:b/>
          <w:color w:val="0D1B2A"/>
          <w:sz w:val="20"/>
        </w:rPr>
        <w:t xml:space="preserve">CLO (Collateralized Loan Obligation): </w:t>
      </w:r>
      <w:r>
        <w:rPr>
          <w:sz w:val="20"/>
        </w:rPr>
        <w:t>A structured vehicle that pools broadly syndicated loans and issues rated tranches of debt and equity. CLOs are the largest buyer of leveraged loans but do not typically hold private credit directly.</w:t>
      </w:r>
    </w:p>
    <w:p>
      <w:pPr>
        <w:spacing w:before="40" w:after="40"/>
        <w:ind w:left="283"/>
      </w:pPr>
      <w:r>
        <w:rPr>
          <w:b/>
          <w:color w:val="0D1B2A"/>
          <w:sz w:val="20"/>
        </w:rPr>
        <w:t xml:space="preserve">Cov-Lite (Covenant-Lite): </w:t>
      </w:r>
      <w:r>
        <w:rPr>
          <w:sz w:val="20"/>
        </w:rPr>
        <w:t>A loan structure with minimal or no financial maintenance covenants. Borrowers can deteriorate significantly before a technical default occurs. Became prevalent in sponsor-backed deals post-2015.</w:t>
      </w:r>
    </w:p>
    <w:p>
      <w:pPr>
        <w:spacing w:before="40" w:after="40"/>
        <w:ind w:left="283"/>
      </w:pPr>
      <w:r>
        <w:rPr>
          <w:b/>
          <w:color w:val="0D1B2A"/>
          <w:sz w:val="20"/>
        </w:rPr>
        <w:t xml:space="preserve">Covenant: </w:t>
      </w:r>
      <w:r>
        <w:rPr>
          <w:sz w:val="20"/>
        </w:rPr>
        <w:t>A contractual provision in a credit agreement limiting borrower behavior. Financial covenants test leverage or coverage ratios. Negative covenants restrict certain actions. Affirmative covenants require certain actions (financial reporting, insurance maintenance).</w:t>
      </w:r>
    </w:p>
    <w:p>
      <w:pPr>
        <w:spacing w:before="40" w:after="40"/>
        <w:ind w:left="283"/>
      </w:pPr>
      <w:r>
        <w:rPr>
          <w:b/>
          <w:color w:val="0D1B2A"/>
          <w:sz w:val="20"/>
        </w:rPr>
        <w:t xml:space="preserve">Credit Agreement: </w:t>
      </w:r>
      <w:r>
        <w:rPr>
          <w:sz w:val="20"/>
        </w:rPr>
        <w:t>The master contract governing all terms of a loan facility, including covenants, representations, events of default, and remedies. The primary legal document in private credit.</w:t>
      </w:r>
    </w:p>
    <w:p>
      <w:pPr>
        <w:spacing w:before="200" w:after="60"/>
      </w:pPr>
      <w:r>
        <w:rPr>
          <w:rFonts w:ascii="Calibri" w:hAnsi="Calibri"/>
          <w:b/>
          <w:color w:val="2E86C1"/>
          <w:sz w:val="24"/>
        </w:rPr>
        <w:t>D–F: Distressed, Default, and Fees</w:t>
      </w:r>
    </w:p>
    <w:p>
      <w:pPr>
        <w:spacing w:before="40" w:after="40"/>
        <w:ind w:left="283"/>
      </w:pPr>
      <w:r>
        <w:rPr>
          <w:b/>
          <w:color w:val="0D1B2A"/>
          <w:sz w:val="20"/>
        </w:rPr>
        <w:t xml:space="preserve">Default: </w:t>
      </w:r>
      <w:r>
        <w:rPr>
          <w:sz w:val="20"/>
        </w:rPr>
        <w:t>Failure to meet an obligation under a credit agreement. Events of default include payment default, covenant breach, bankruptcy, change of control, and misrepresentation. Triggers acceleration and lender remedies.</w:t>
      </w:r>
    </w:p>
    <w:p>
      <w:pPr>
        <w:spacing w:before="40" w:after="40"/>
        <w:ind w:left="283"/>
      </w:pPr>
      <w:r>
        <w:rPr>
          <w:b/>
          <w:color w:val="0D1B2A"/>
          <w:sz w:val="20"/>
        </w:rPr>
        <w:t xml:space="preserve">DIP Financing (Debtor-in-Possession): </w:t>
      </w:r>
      <w:r>
        <w:rPr>
          <w:sz w:val="20"/>
        </w:rPr>
        <w:t>Senior secured financing provided to a company after it has filed for Chapter 11 bankruptcy protection. DIP lenders receive 'super-priority' status over pre-petition claims.</w:t>
      </w:r>
    </w:p>
    <w:p>
      <w:pPr>
        <w:spacing w:before="40" w:after="40"/>
        <w:ind w:left="283"/>
      </w:pPr>
      <w:r>
        <w:rPr>
          <w:b/>
          <w:color w:val="0D1B2A"/>
          <w:sz w:val="20"/>
        </w:rPr>
        <w:t xml:space="preserve">Direct Lending: </w:t>
      </w:r>
      <w:r>
        <w:rPr>
          <w:sz w:val="20"/>
        </w:rPr>
        <w:t>A form of private credit where non-bank lenders make loans directly to companies (typically PE-backed middle-market businesses) without intermediaries. The largest and fastest-growing private credit strategy.</w:t>
      </w:r>
    </w:p>
    <w:p>
      <w:pPr>
        <w:spacing w:before="40" w:after="40"/>
        <w:ind w:left="283"/>
      </w:pPr>
      <w:r>
        <w:rPr>
          <w:b/>
          <w:color w:val="0D1B2A"/>
          <w:sz w:val="20"/>
        </w:rPr>
        <w:t xml:space="preserve">Distressed Debt: </w:t>
      </w:r>
      <w:r>
        <w:rPr>
          <w:sz w:val="20"/>
        </w:rPr>
        <w:t>Investment in the debt obligations of companies in financial difficulty, typically trading below 80 cents on the dollar. Returns come from discount-to-par recovery, restructuring, or debt-to-equity conversion.</w:t>
      </w:r>
    </w:p>
    <w:p>
      <w:pPr>
        <w:spacing w:before="40" w:after="40"/>
        <w:ind w:left="283"/>
      </w:pPr>
      <w:r>
        <w:rPr>
          <w:b/>
          <w:color w:val="0D1B2A"/>
          <w:sz w:val="20"/>
        </w:rPr>
        <w:t xml:space="preserve">Dividend Recapitalization (Div Recap): </w:t>
      </w:r>
      <w:r>
        <w:rPr>
          <w:sz w:val="20"/>
        </w:rPr>
        <w:t>A transaction in which a company takes on additional debt to pay a special dividend to its equity owners (typically PE sponsors). Increases leverage and is a negative credit event.</w:t>
      </w:r>
    </w:p>
    <w:p>
      <w:pPr>
        <w:spacing w:before="40" w:after="40"/>
        <w:ind w:left="283"/>
      </w:pPr>
      <w:r>
        <w:rPr>
          <w:b/>
          <w:color w:val="0D1B2A"/>
          <w:sz w:val="20"/>
        </w:rPr>
        <w:t xml:space="preserve">DPI (Distributions to Paid-In): </w:t>
      </w:r>
      <w:r>
        <w:rPr>
          <w:sz w:val="20"/>
        </w:rPr>
        <w:t>A fund performance metric equal to total capital distributed to LPs divided by total capital called. DPI &gt; 1.0x means LPs have received back more than they invested.</w:t>
      </w:r>
    </w:p>
    <w:p>
      <w:pPr>
        <w:spacing w:before="40" w:after="40"/>
        <w:ind w:left="283"/>
      </w:pPr>
      <w:r>
        <w:rPr>
          <w:b/>
          <w:color w:val="0D1B2A"/>
          <w:sz w:val="20"/>
        </w:rPr>
        <w:t xml:space="preserve">EBITDA (Earnings Before Interest, Taxes, Depreciation, and Amortization): </w:t>
      </w:r>
      <w:r>
        <w:rPr>
          <w:sz w:val="20"/>
        </w:rPr>
        <w:t>The primary cash flow proxy used in private credit underwriting. Lenders focus heavily on 'adjusted' or 'pro forma' EBITDA which may include addbacks for one-time items.</w:t>
      </w:r>
    </w:p>
    <w:p>
      <w:pPr>
        <w:spacing w:before="40" w:after="40"/>
        <w:ind w:left="283"/>
      </w:pPr>
      <w:r>
        <w:rPr>
          <w:b/>
          <w:color w:val="0D1B2A"/>
          <w:sz w:val="20"/>
        </w:rPr>
        <w:t xml:space="preserve">EBITDA Addback: </w:t>
      </w:r>
      <w:r>
        <w:rPr>
          <w:sz w:val="20"/>
        </w:rPr>
        <w:t>An adjustment made to reported EBITDA to normalize for non-recurring items: restructuring charges, one-time legal costs, management retention bonuses. Inflated addbacks are a key credit risk.</w:t>
      </w:r>
    </w:p>
    <w:p>
      <w:pPr>
        <w:spacing w:before="40" w:after="40"/>
        <w:ind w:left="283"/>
      </w:pPr>
      <w:r>
        <w:rPr>
          <w:b/>
          <w:color w:val="0D1B2A"/>
          <w:sz w:val="20"/>
        </w:rPr>
        <w:t xml:space="preserve">Fee Letter: </w:t>
      </w:r>
      <w:r>
        <w:rPr>
          <w:sz w:val="20"/>
        </w:rPr>
        <w:t>A separate, typically confidential agreement between borrower and lender specifying upfront fees, commitment fees, agency fees, and other economics not reflected in the credit agreement.</w:t>
      </w:r>
    </w:p>
    <w:p>
      <w:pPr>
        <w:spacing w:before="40" w:after="40"/>
        <w:ind w:left="283"/>
      </w:pPr>
      <w:r>
        <w:rPr>
          <w:b/>
          <w:color w:val="0D1B2A"/>
          <w:sz w:val="20"/>
        </w:rPr>
        <w:t xml:space="preserve">First Lien: </w:t>
      </w:r>
      <w:r>
        <w:rPr>
          <w:sz w:val="20"/>
        </w:rPr>
        <w:t>A secured claim that has first priority on the assets of a borrower in a default and liquidation scenario. First lien lenders are paid before second lien and unsecured creditors.</w:t>
      </w:r>
    </w:p>
    <w:p>
      <w:pPr>
        <w:spacing w:before="40" w:after="40"/>
        <w:ind w:left="283"/>
      </w:pPr>
      <w:r>
        <w:rPr>
          <w:b/>
          <w:color w:val="0D1B2A"/>
          <w:sz w:val="20"/>
        </w:rPr>
        <w:t xml:space="preserve">Floating Rate: </w:t>
      </w:r>
      <w:r>
        <w:rPr>
          <w:sz w:val="20"/>
        </w:rPr>
        <w:t>An interest rate that adjusts periodically based on a reference rate (SOFR, EURIBOR). Most private credit loans are floating rate, providing natural hedge against rising rates.</w:t>
      </w:r>
    </w:p>
    <w:p>
      <w:pPr>
        <w:spacing w:before="40" w:after="40"/>
        <w:ind w:left="283"/>
      </w:pPr>
      <w:r>
        <w:rPr>
          <w:b/>
          <w:color w:val="0D1B2A"/>
          <w:sz w:val="20"/>
        </w:rPr>
        <w:t xml:space="preserve">Floor (SOFR Floor): </w:t>
      </w:r>
      <w:r>
        <w:rPr>
          <w:sz w:val="20"/>
        </w:rPr>
        <w:t>A minimum reference rate in a loan agreement, typically 0%–1.0%. Protects lender yield when reference rates fall below the floor level.</w:t>
      </w:r>
    </w:p>
    <w:p>
      <w:pPr>
        <w:spacing w:before="40" w:after="40"/>
        <w:ind w:left="283"/>
      </w:pPr>
      <w:r>
        <w:rPr>
          <w:b/>
          <w:color w:val="0D1B2A"/>
          <w:sz w:val="20"/>
        </w:rPr>
        <w:t xml:space="preserve">Free Cash Flow (FCF): </w:t>
      </w:r>
      <w:r>
        <w:rPr>
          <w:sz w:val="20"/>
        </w:rPr>
        <w:t>Cash generated by operations after capex, changes in working capital, taxes, and interest expense. The primary source of debt service in a levered credit.</w:t>
      </w:r>
    </w:p>
    <w:p>
      <w:pPr>
        <w:spacing w:before="200" w:after="60"/>
      </w:pPr>
      <w:r>
        <w:rPr>
          <w:rFonts w:ascii="Calibri" w:hAnsi="Calibri"/>
          <w:b/>
          <w:color w:val="2E86C1"/>
          <w:sz w:val="24"/>
        </w:rPr>
        <w:t>G–L: Governance, Leverage, and Liquidity</w:t>
      </w:r>
    </w:p>
    <w:p>
      <w:pPr>
        <w:spacing w:before="40" w:after="40"/>
        <w:ind w:left="283"/>
      </w:pPr>
      <w:r>
        <w:rPr>
          <w:b/>
          <w:color w:val="0D1B2A"/>
          <w:sz w:val="20"/>
        </w:rPr>
        <w:t xml:space="preserve">Gross IRR: </w:t>
      </w:r>
      <w:r>
        <w:rPr>
          <w:sz w:val="20"/>
        </w:rPr>
        <w:t>Internal rate of return before management fees, carried interest, and expenses are deducted. Always higher than net IRR; use net IRR for LP economics comparison.</w:t>
      </w:r>
    </w:p>
    <w:p>
      <w:pPr>
        <w:spacing w:before="40" w:after="40"/>
        <w:ind w:left="283"/>
      </w:pPr>
      <w:r>
        <w:rPr>
          <w:b/>
          <w:color w:val="0D1B2A"/>
          <w:sz w:val="20"/>
        </w:rPr>
        <w:t xml:space="preserve">Haircut: </w:t>
      </w:r>
      <w:r>
        <w:rPr>
          <w:sz w:val="20"/>
        </w:rPr>
        <w:t>A discount applied to the face value of collateral when determining eligible borrowing base or collateral value in a stress scenario.</w:t>
      </w:r>
    </w:p>
    <w:p>
      <w:pPr>
        <w:spacing w:before="40" w:after="40"/>
        <w:ind w:left="283"/>
      </w:pPr>
      <w:r>
        <w:rPr>
          <w:b/>
          <w:color w:val="0D1B2A"/>
          <w:sz w:val="20"/>
        </w:rPr>
        <w:t xml:space="preserve">HoldCo PIK: </w:t>
      </w:r>
      <w:r>
        <w:rPr>
          <w:sz w:val="20"/>
        </w:rPr>
        <w:t>Payment-in-kind debt issued at the holding company level, above the operating company where cash flow is generated. Highest-risk position in a capital structure.</w:t>
      </w:r>
    </w:p>
    <w:p>
      <w:pPr>
        <w:spacing w:before="40" w:after="40"/>
        <w:ind w:left="283"/>
      </w:pPr>
      <w:r>
        <w:rPr>
          <w:b/>
          <w:color w:val="0D1B2A"/>
          <w:sz w:val="20"/>
        </w:rPr>
        <w:t xml:space="preserve">Hurdle Rate: </w:t>
      </w:r>
      <w:r>
        <w:rPr>
          <w:sz w:val="20"/>
        </w:rPr>
        <w:t>The minimum return a private credit fund must generate before carried interest is earned by the GP. Typical range: 6–8% for direct lending. Higher hurdles are LP-friendly.</w:t>
      </w:r>
    </w:p>
    <w:p>
      <w:pPr>
        <w:spacing w:before="40" w:after="40"/>
        <w:ind w:left="283"/>
      </w:pPr>
      <w:r>
        <w:rPr>
          <w:b/>
          <w:color w:val="0D1B2A"/>
          <w:sz w:val="20"/>
        </w:rPr>
        <w:t xml:space="preserve">Incurrence Covenant: </w:t>
      </w:r>
      <w:r>
        <w:rPr>
          <w:sz w:val="20"/>
        </w:rPr>
        <w:t>A covenant triggered only when the borrower takes a specific action (e.g., incurring additional debt or making an acquisition), not tested quarterly. Less protective than maintenance covenants.</w:t>
      </w:r>
    </w:p>
    <w:p>
      <w:pPr>
        <w:spacing w:before="40" w:after="40"/>
        <w:ind w:left="283"/>
      </w:pPr>
      <w:r>
        <w:rPr>
          <w:b/>
          <w:color w:val="0D1B2A"/>
          <w:sz w:val="20"/>
        </w:rPr>
        <w:t xml:space="preserve">Interest Coverage Ratio: </w:t>
      </w:r>
      <w:r>
        <w:rPr>
          <w:sz w:val="20"/>
        </w:rPr>
        <w:t>EBITDA divided by cash interest expense. A key solvency metric. Private credit deals typically require ICR &gt; 1.5x at close. Below 1.0x means interest is not being earned in cash.</w:t>
      </w:r>
    </w:p>
    <w:p>
      <w:pPr>
        <w:spacing w:before="40" w:after="40"/>
        <w:ind w:left="283"/>
      </w:pPr>
      <w:r>
        <w:rPr>
          <w:b/>
          <w:color w:val="0D1B2A"/>
          <w:sz w:val="20"/>
        </w:rPr>
        <w:t xml:space="preserve">Intercreditor Agreement: </w:t>
      </w:r>
      <w:r>
        <w:rPr>
          <w:sz w:val="20"/>
        </w:rPr>
        <w:t>A contract between holders of different tranches of debt (e.g., first lien and second lien lenders) establishing their relative rights on enforcement, voting, and recoveries.</w:t>
      </w:r>
    </w:p>
    <w:p>
      <w:pPr>
        <w:spacing w:before="40" w:after="40"/>
        <w:ind w:left="283"/>
      </w:pPr>
      <w:r>
        <w:rPr>
          <w:b/>
          <w:color w:val="0D1B2A"/>
          <w:sz w:val="20"/>
        </w:rPr>
        <w:t xml:space="preserve">LIBOR Transition: </w:t>
      </w:r>
      <w:r>
        <w:rPr>
          <w:sz w:val="20"/>
        </w:rPr>
        <w:t>The global transition from LIBOR to alternative reference rates (SOFR in the US, SONIA in the UK). Completed in 2023. All new private credit is now priced on SOFR.</w:t>
      </w:r>
    </w:p>
    <w:p>
      <w:pPr>
        <w:spacing w:before="40" w:after="40"/>
        <w:ind w:left="283"/>
      </w:pPr>
      <w:r>
        <w:rPr>
          <w:b/>
          <w:color w:val="0D1B2A"/>
          <w:sz w:val="20"/>
        </w:rPr>
        <w:t xml:space="preserve">Lien: </w:t>
      </w:r>
      <w:r>
        <w:rPr>
          <w:sz w:val="20"/>
        </w:rPr>
        <w:t>A legal claim on a borrower's assets as security for a debt obligation. Priority, scope, and enforceability of the lien defines the lender's recovery position.</w:t>
      </w:r>
    </w:p>
    <w:p>
      <w:pPr>
        <w:spacing w:before="40" w:after="40"/>
        <w:ind w:left="283"/>
      </w:pPr>
      <w:r>
        <w:rPr>
          <w:b/>
          <w:color w:val="0D1B2A"/>
          <w:sz w:val="20"/>
        </w:rPr>
        <w:t xml:space="preserve">Loan-to-Value (LTV): </w:t>
      </w:r>
      <w:r>
        <w:rPr>
          <w:sz w:val="20"/>
        </w:rPr>
        <w:t>Outstanding debt divided by the appraised or estimated value of the secured assets. Used primarily in real estate and asset-based lending.</w:t>
      </w:r>
    </w:p>
    <w:p>
      <w:pPr>
        <w:spacing w:before="40" w:after="40"/>
        <w:ind w:left="283"/>
      </w:pPr>
      <w:r>
        <w:rPr>
          <w:b/>
          <w:color w:val="0D1B2A"/>
          <w:sz w:val="20"/>
        </w:rPr>
        <w:t xml:space="preserve">LP (Limited Partner): </w:t>
      </w:r>
      <w:r>
        <w:rPr>
          <w:sz w:val="20"/>
        </w:rPr>
        <w:t>An investor in a private credit fund who contributes capital but has limited liability and management rights. Contrasted with the GP (general partner) who manages the fund.</w:t>
      </w:r>
    </w:p>
    <w:p>
      <w:r>
        <w:br w:type="page"/>
      </w:r>
    </w:p>
    <w:p>
      <w:pPr>
        <w:spacing w:before="200" w:after="60"/>
      </w:pPr>
      <w:r>
        <w:rPr>
          <w:rFonts w:ascii="Calibri" w:hAnsi="Calibri"/>
          <w:b/>
          <w:color w:val="2E86C1"/>
          <w:sz w:val="24"/>
        </w:rPr>
        <w:t>M–O: Mezzanine, NAV, and OID</w:t>
      </w:r>
    </w:p>
    <w:p>
      <w:pPr>
        <w:spacing w:before="40" w:after="40"/>
        <w:ind w:left="283"/>
      </w:pPr>
      <w:r>
        <w:rPr>
          <w:b/>
          <w:color w:val="0D1B2A"/>
          <w:sz w:val="20"/>
        </w:rPr>
        <w:t xml:space="preserve">Maintenance Covenant: </w:t>
      </w:r>
      <w:r>
        <w:rPr>
          <w:sz w:val="20"/>
        </w:rPr>
        <w:t>A financial covenant tested on a regular basis (typically quarterly), regardless of borrower action. More protective than incurrence covenants; standard in non-sponsored deals.</w:t>
      </w:r>
    </w:p>
    <w:p>
      <w:pPr>
        <w:spacing w:before="40" w:after="40"/>
        <w:ind w:left="283"/>
      </w:pPr>
      <w:r>
        <w:rPr>
          <w:b/>
          <w:color w:val="0D1B2A"/>
          <w:sz w:val="20"/>
        </w:rPr>
        <w:t xml:space="preserve">Maturity Wall: </w:t>
      </w:r>
      <w:r>
        <w:rPr>
          <w:sz w:val="20"/>
        </w:rPr>
        <w:t>The concentration of debt maturities in a specific year or period across the market or within a portfolio, creating refinancing risk. 2025–2027 is a significant private credit maturity wall.</w:t>
      </w:r>
    </w:p>
    <w:p>
      <w:pPr>
        <w:spacing w:before="40" w:after="40"/>
        <w:ind w:left="283"/>
      </w:pPr>
      <w:r>
        <w:rPr>
          <w:b/>
          <w:color w:val="0D1B2A"/>
          <w:sz w:val="20"/>
        </w:rPr>
        <w:t xml:space="preserve">Mezzanine Debt: </w:t>
      </w:r>
      <w:r>
        <w:rPr>
          <w:sz w:val="20"/>
        </w:rPr>
        <w:t>Subordinated debt, typically unsecured or with junior liens, positioned between senior secured debt and equity. Higher yield (13–18% net) compensates for lower recovery in default.</w:t>
      </w:r>
    </w:p>
    <w:p>
      <w:pPr>
        <w:spacing w:before="40" w:after="40"/>
        <w:ind w:left="283"/>
      </w:pPr>
      <w:r>
        <w:rPr>
          <w:b/>
          <w:color w:val="0D1B2A"/>
          <w:sz w:val="20"/>
        </w:rPr>
        <w:t xml:space="preserve">MOIC (Multiple on Invested Capital): </w:t>
      </w:r>
      <w:r>
        <w:rPr>
          <w:sz w:val="20"/>
        </w:rPr>
        <w:t>Total value (distributions + remaining NAV) divided by total invested capital. A 1.5x MOIC means $1 invested grew to $1.50. Used alongside IRR.</w:t>
      </w:r>
    </w:p>
    <w:p>
      <w:pPr>
        <w:spacing w:before="40" w:after="40"/>
        <w:ind w:left="283"/>
      </w:pPr>
      <w:r>
        <w:rPr>
          <w:b/>
          <w:color w:val="0D1B2A"/>
          <w:sz w:val="20"/>
        </w:rPr>
        <w:t xml:space="preserve">NAV (Net Asset Value): </w:t>
      </w:r>
      <w:r>
        <w:rPr>
          <w:sz w:val="20"/>
        </w:rPr>
        <w:t>The per-unit or per-share value of a fund, calculated as total assets minus total liabilities. For private credit, NAV represents the fair value of the loan portfolio.</w:t>
      </w:r>
    </w:p>
    <w:p>
      <w:pPr>
        <w:spacing w:before="40" w:after="40"/>
        <w:ind w:left="283"/>
      </w:pPr>
      <w:r>
        <w:rPr>
          <w:b/>
          <w:color w:val="0D1B2A"/>
          <w:sz w:val="20"/>
        </w:rPr>
        <w:t xml:space="preserve">NAV Lending: </w:t>
      </w:r>
      <w:r>
        <w:rPr>
          <w:sz w:val="20"/>
        </w:rPr>
        <w:t>A loan facility extended to a PE or credit fund, secured against the NAV of its portfolio companies. Growing rapidly as a source of GP liquidity.</w:t>
      </w:r>
    </w:p>
    <w:p>
      <w:pPr>
        <w:spacing w:before="40" w:after="40"/>
        <w:ind w:left="283"/>
      </w:pPr>
      <w:r>
        <w:rPr>
          <w:b/>
          <w:color w:val="0D1B2A"/>
          <w:sz w:val="20"/>
        </w:rPr>
        <w:t xml:space="preserve">Net IRR: </w:t>
      </w:r>
      <w:r>
        <w:rPr>
          <w:sz w:val="20"/>
        </w:rPr>
        <w:t>IRR after all fees, expenses, and carried interest. The actual return experienced by an LP. Always compare manager returns on a net IRR basis.</w:t>
      </w:r>
    </w:p>
    <w:p>
      <w:pPr>
        <w:spacing w:before="40" w:after="40"/>
        <w:ind w:left="283"/>
      </w:pPr>
      <w:r>
        <w:rPr>
          <w:b/>
          <w:color w:val="0D1B2A"/>
          <w:sz w:val="20"/>
        </w:rPr>
        <w:t xml:space="preserve">Non-Accrual: </w:t>
      </w:r>
      <w:r>
        <w:rPr>
          <w:sz w:val="20"/>
        </w:rPr>
        <w:t>A loan placed on non-accrual status when interest income is not being recognized because repayment is deemed doubtful. High non-accrual rates (&gt;3% of NAV) indicate portfolio stress.</w:t>
      </w:r>
    </w:p>
    <w:p>
      <w:pPr>
        <w:spacing w:before="40" w:after="40"/>
        <w:ind w:left="283"/>
      </w:pPr>
      <w:r>
        <w:rPr>
          <w:b/>
          <w:color w:val="0D1B2A"/>
          <w:sz w:val="20"/>
        </w:rPr>
        <w:t xml:space="preserve">OID (Original Issue Discount): </w:t>
      </w:r>
      <w:r>
        <w:rPr>
          <w:sz w:val="20"/>
        </w:rPr>
        <w:t>The difference between a loan's face value and its issuance price. A 2% OID on a $10M loan means the borrower receives $9.8M but must repay $10M. Enhances lender yield.</w:t>
      </w:r>
    </w:p>
    <w:p>
      <w:pPr>
        <w:spacing w:before="40" w:after="40"/>
        <w:ind w:left="283"/>
      </w:pPr>
      <w:r>
        <w:rPr>
          <w:b/>
          <w:color w:val="0D1B2A"/>
          <w:sz w:val="20"/>
        </w:rPr>
        <w:t xml:space="preserve">Originate-to-Distribute: </w:t>
      </w:r>
      <w:r>
        <w:rPr>
          <w:sz w:val="20"/>
        </w:rPr>
        <w:t>A lending model where loans are originated with the intent to sell or syndicate portions to other investors. Contrasted with originate-to-hold, which is the private credit model.</w:t>
      </w:r>
    </w:p>
    <w:p>
      <w:pPr>
        <w:spacing w:before="200" w:after="60"/>
      </w:pPr>
      <w:r>
        <w:rPr>
          <w:rFonts w:ascii="Calibri" w:hAnsi="Calibri"/>
          <w:b/>
          <w:color w:val="2E86C1"/>
          <w:sz w:val="24"/>
        </w:rPr>
        <w:t>P–R: PIK, Private Credit, and Refinancing</w:t>
      </w:r>
    </w:p>
    <w:p>
      <w:pPr>
        <w:spacing w:before="40" w:after="40"/>
        <w:ind w:left="283"/>
      </w:pPr>
      <w:r>
        <w:rPr>
          <w:b/>
          <w:color w:val="0D1B2A"/>
          <w:sz w:val="20"/>
        </w:rPr>
        <w:t xml:space="preserve">Payment-in-Kind (PIK): </w:t>
      </w:r>
      <w:r>
        <w:rPr>
          <w:sz w:val="20"/>
        </w:rPr>
        <w:t>Interest that accrues and is added to the outstanding principal rather than being paid in cash. PIK loans have no current cash yield; lenders receive higher principal repayment at maturity. High PIK proportion is a risk indicator.</w:t>
      </w:r>
    </w:p>
    <w:p>
      <w:pPr>
        <w:spacing w:before="40" w:after="40"/>
        <w:ind w:left="283"/>
      </w:pPr>
      <w:r>
        <w:rPr>
          <w:b/>
          <w:color w:val="0D1B2A"/>
          <w:sz w:val="20"/>
        </w:rPr>
        <w:t xml:space="preserve">PIK Toggle: </w:t>
      </w:r>
      <w:r>
        <w:rPr>
          <w:sz w:val="20"/>
        </w:rPr>
        <w:t>A provision allowing the borrower to elect whether to pay interest in cash or PIK at each interest payment date, typically subject to leverage test conditions.</w:t>
      </w:r>
    </w:p>
    <w:p>
      <w:pPr>
        <w:spacing w:before="40" w:after="40"/>
        <w:ind w:left="283"/>
      </w:pPr>
      <w:r>
        <w:rPr>
          <w:b/>
          <w:color w:val="0D1B2A"/>
          <w:sz w:val="20"/>
        </w:rPr>
        <w:t xml:space="preserve">Platform Company: </w:t>
      </w:r>
      <w:r>
        <w:rPr>
          <w:sz w:val="20"/>
        </w:rPr>
        <w:t>In PE-backed lending, the initial company acquired as the foundation for a buy-and-build strategy. Subsequent acquisitions are add-ons. Platform quality assessment is critical.</w:t>
      </w:r>
    </w:p>
    <w:p>
      <w:pPr>
        <w:spacing w:before="40" w:after="40"/>
        <w:ind w:left="283"/>
      </w:pPr>
      <w:r>
        <w:rPr>
          <w:b/>
          <w:color w:val="0D1B2A"/>
          <w:sz w:val="20"/>
        </w:rPr>
        <w:t xml:space="preserve">Portability: </w:t>
      </w:r>
      <w:r>
        <w:rPr>
          <w:sz w:val="20"/>
        </w:rPr>
        <w:t>A provision allowing the existing credit facility to transfer to a new PE sponsor if the company is sold, without requiring full refinancing. Less common in private credit than syndicated.</w:t>
      </w:r>
    </w:p>
    <w:p>
      <w:pPr>
        <w:spacing w:before="40" w:after="40"/>
        <w:ind w:left="283"/>
      </w:pPr>
      <w:r>
        <w:rPr>
          <w:b/>
          <w:color w:val="0D1B2A"/>
          <w:sz w:val="20"/>
        </w:rPr>
        <w:t xml:space="preserve">Private Credit: </w:t>
      </w:r>
      <w:r>
        <w:rPr>
          <w:sz w:val="20"/>
        </w:rPr>
        <w:t>Debt financing provided by non-bank lenders (direct lenders, credit funds, BDCs) directly to companies or asset-backed borrowers. Key characteristics: illiquid, negotiated terms, floating rate, held to maturity.</w:t>
      </w:r>
    </w:p>
    <w:p>
      <w:pPr>
        <w:spacing w:before="40" w:after="40"/>
        <w:ind w:left="283"/>
      </w:pPr>
      <w:r>
        <w:rPr>
          <w:b/>
          <w:color w:val="0D1B2A"/>
          <w:sz w:val="20"/>
        </w:rPr>
        <w:t xml:space="preserve">Pro Forma EBITDA: </w:t>
      </w:r>
      <w:r>
        <w:rPr>
          <w:sz w:val="20"/>
        </w:rPr>
        <w:t>Forward-looking EBITDA adjusted for the full-year impact of acquisitions, synergies, and strategic initiatives. Subject to management judgment; requires rigorous quality-of-earnings analysis.</w:t>
      </w:r>
    </w:p>
    <w:p>
      <w:pPr>
        <w:spacing w:before="40" w:after="40"/>
        <w:ind w:left="283"/>
      </w:pPr>
      <w:r>
        <w:rPr>
          <w:b/>
          <w:color w:val="0D1B2A"/>
          <w:sz w:val="20"/>
        </w:rPr>
        <w:t xml:space="preserve">Qualified Maturity: </w:t>
      </w:r>
      <w:r>
        <w:rPr>
          <w:sz w:val="20"/>
        </w:rPr>
        <w:t>A maturity that falls within an acceptable window relative to the fund's investment period and anticipated investor liquidity needs.</w:t>
      </w:r>
    </w:p>
    <w:p>
      <w:pPr>
        <w:spacing w:before="40" w:after="40"/>
        <w:ind w:left="283"/>
      </w:pPr>
      <w:r>
        <w:rPr>
          <w:b/>
          <w:color w:val="0D1B2A"/>
          <w:sz w:val="20"/>
        </w:rPr>
        <w:t xml:space="preserve">Recession / Stress Testing: </w:t>
      </w:r>
      <w:r>
        <w:rPr>
          <w:sz w:val="20"/>
        </w:rPr>
        <w:t>The process of modeling portfolio performance under adverse economic scenarios. Standard scenarios: 20–30% EBITDA decline, 200bps rate shock, elevated default rates.</w:t>
      </w:r>
    </w:p>
    <w:p>
      <w:pPr>
        <w:spacing w:before="40" w:after="40"/>
        <w:ind w:left="283"/>
      </w:pPr>
      <w:r>
        <w:rPr>
          <w:b/>
          <w:color w:val="0D1B2A"/>
          <w:sz w:val="20"/>
        </w:rPr>
        <w:t xml:space="preserve">Recovery Rate: </w:t>
      </w:r>
      <w:r>
        <w:rPr>
          <w:sz w:val="20"/>
        </w:rPr>
        <w:t>The percentage of par value recovered by a lender in a default scenario. First lien recoveries historically 65–80%; second lien 30–55%; unsecured 10–30%.</w:t>
      </w:r>
    </w:p>
    <w:p>
      <w:pPr>
        <w:spacing w:before="40" w:after="40"/>
        <w:ind w:left="283"/>
      </w:pPr>
      <w:r>
        <w:rPr>
          <w:b/>
          <w:color w:val="0D1B2A"/>
          <w:sz w:val="20"/>
        </w:rPr>
        <w:t xml:space="preserve">Refinancing Risk: </w:t>
      </w:r>
      <w:r>
        <w:rPr>
          <w:sz w:val="20"/>
        </w:rPr>
        <w:t>The risk that a borrower cannot refinance maturing debt on acceptable terms. Elevated in rising rate environments or when credit markets seize.</w:t>
      </w:r>
    </w:p>
    <w:p>
      <w:pPr>
        <w:spacing w:before="40" w:after="40"/>
        <w:ind w:left="283"/>
      </w:pPr>
      <w:r>
        <w:rPr>
          <w:b/>
          <w:color w:val="0D1B2A"/>
          <w:sz w:val="20"/>
        </w:rPr>
        <w:t xml:space="preserve">Representations and Warranties (Reps &amp; Warranties): </w:t>
      </w:r>
      <w:r>
        <w:rPr>
          <w:sz w:val="20"/>
        </w:rPr>
        <w:t>Factual statements made by the borrower in the credit agreement that are true as of closing. Breach of reps can trigger a default.</w:t>
      </w:r>
    </w:p>
    <w:p>
      <w:pPr>
        <w:spacing w:before="40" w:after="40"/>
        <w:ind w:left="283"/>
      </w:pPr>
      <w:r>
        <w:rPr>
          <w:b/>
          <w:color w:val="0D1B2A"/>
          <w:sz w:val="20"/>
        </w:rPr>
        <w:t xml:space="preserve">Restricted Payment Basket: </w:t>
      </w:r>
      <w:r>
        <w:rPr>
          <w:sz w:val="20"/>
        </w:rPr>
        <w:t>A defined amount or formula-based limit on the amount the borrower can pay as dividends, distributions, or management fees. Protects lender by limiting cash leakage from the borrower.</w:t>
      </w:r>
    </w:p>
    <w:p>
      <w:pPr>
        <w:spacing w:before="200" w:after="60"/>
      </w:pPr>
      <w:r>
        <w:rPr>
          <w:rFonts w:ascii="Calibri" w:hAnsi="Calibri"/>
          <w:b/>
          <w:color w:val="2E86C1"/>
          <w:sz w:val="24"/>
        </w:rPr>
        <w:t>S–Z: SOFR, Unitranche, and Yield</w:t>
      </w:r>
    </w:p>
    <w:p>
      <w:pPr>
        <w:spacing w:before="40" w:after="40"/>
        <w:ind w:left="283"/>
      </w:pPr>
      <w:r>
        <w:rPr>
          <w:b/>
          <w:color w:val="0D1B2A"/>
          <w:sz w:val="20"/>
        </w:rPr>
        <w:t xml:space="preserve">Second Lien: </w:t>
      </w:r>
      <w:r>
        <w:rPr>
          <w:sz w:val="20"/>
        </w:rPr>
        <w:t>A secured loan subordinated to first lien debt in payment priority. Typically 1–2 turns of additional leverage above the first lien. Offers higher yield (12–16%) for lower recovery risk.</w:t>
      </w:r>
    </w:p>
    <w:p>
      <w:pPr>
        <w:spacing w:before="40" w:after="40"/>
        <w:ind w:left="283"/>
      </w:pPr>
      <w:r>
        <w:rPr>
          <w:b/>
          <w:color w:val="0D1B2A"/>
          <w:sz w:val="20"/>
        </w:rPr>
        <w:t xml:space="preserve">Senior Secured: </w:t>
      </w:r>
      <w:r>
        <w:rPr>
          <w:sz w:val="20"/>
        </w:rPr>
        <w:t>The highest-priority tranche in a borrower's debt capital structure, with security interest over substantially all assets. Lowest risk, lowest yield position in private credit.</w:t>
      </w:r>
    </w:p>
    <w:p>
      <w:pPr>
        <w:spacing w:before="40" w:after="40"/>
        <w:ind w:left="283"/>
      </w:pPr>
      <w:r>
        <w:rPr>
          <w:b/>
          <w:color w:val="0D1B2A"/>
          <w:sz w:val="20"/>
        </w:rPr>
        <w:t xml:space="preserve">SOFR (Secured Overnight Financing Rate): </w:t>
      </w:r>
      <w:r>
        <w:rPr>
          <w:sz w:val="20"/>
        </w:rPr>
        <w:t>The rate that replaced LIBOR in the US as of June 2023. Based on overnight Treasury repo transactions. 1-month, 3-month SOFR are the most common reference rates in private credit.</w:t>
      </w:r>
    </w:p>
    <w:p>
      <w:pPr>
        <w:spacing w:before="40" w:after="40"/>
        <w:ind w:left="283"/>
      </w:pPr>
      <w:r>
        <w:rPr>
          <w:b/>
          <w:color w:val="0D1B2A"/>
          <w:sz w:val="20"/>
        </w:rPr>
        <w:t xml:space="preserve">Sponsor: </w:t>
      </w:r>
      <w:r>
        <w:rPr>
          <w:sz w:val="20"/>
        </w:rPr>
        <w:t>A private equity firm that owns the borrowing company. Sponsor relationship is a key factor in private credit underwriting: sponsor reputation, equity cushion support, and workout track record.</w:t>
      </w:r>
    </w:p>
    <w:p>
      <w:pPr>
        <w:spacing w:before="40" w:after="40"/>
        <w:ind w:left="283"/>
      </w:pPr>
      <w:r>
        <w:rPr>
          <w:b/>
          <w:color w:val="0D1B2A"/>
          <w:sz w:val="20"/>
        </w:rPr>
        <w:t xml:space="preserve">Spread: </w:t>
      </w:r>
      <w:r>
        <w:rPr>
          <w:sz w:val="20"/>
        </w:rPr>
        <w:t>The interest rate charged above the reference rate (SOFR). Expressed in basis points (bps). A spread of 600bps over 1-month SOFR at 5.3% = 11.3% all-in rate.</w:t>
      </w:r>
    </w:p>
    <w:p>
      <w:pPr>
        <w:spacing w:before="40" w:after="40"/>
        <w:ind w:left="283"/>
      </w:pPr>
      <w:r>
        <w:rPr>
          <w:b/>
          <w:color w:val="0D1B2A"/>
          <w:sz w:val="20"/>
        </w:rPr>
        <w:t xml:space="preserve">Structural Subordination: </w:t>
      </w:r>
      <w:r>
        <w:rPr>
          <w:sz w:val="20"/>
        </w:rPr>
        <w:t>When operating company assets secure operating-level debt, holding company lenders have structurally subordinated claims. Critical to understand in complex capital structures.</w:t>
      </w:r>
    </w:p>
    <w:p>
      <w:pPr>
        <w:spacing w:before="40" w:after="40"/>
        <w:ind w:left="283"/>
      </w:pPr>
      <w:r>
        <w:rPr>
          <w:b/>
          <w:color w:val="0D1B2A"/>
          <w:sz w:val="20"/>
        </w:rPr>
        <w:t xml:space="preserve">Subscription Line: </w:t>
      </w:r>
      <w:r>
        <w:rPr>
          <w:sz w:val="20"/>
        </w:rPr>
        <w:t>A credit facility backed by LP commitments, used by a fund to make investments before calling LP capital. Inflates IRR by 100–300bps by shortening the measured investment period.</w:t>
      </w:r>
    </w:p>
    <w:p>
      <w:pPr>
        <w:spacing w:before="40" w:after="40"/>
        <w:ind w:left="283"/>
      </w:pPr>
      <w:r>
        <w:rPr>
          <w:b/>
          <w:color w:val="0D1B2A"/>
          <w:sz w:val="20"/>
        </w:rPr>
        <w:t xml:space="preserve">Syndication: </w:t>
      </w:r>
      <w:r>
        <w:rPr>
          <w:sz w:val="20"/>
        </w:rPr>
        <w:t>The process of distributing portions of a loan to multiple lenders. Syndicated loans are traded in a liquid secondary market; private credit loans are typically held by one or a few lenders.</w:t>
      </w:r>
    </w:p>
    <w:p>
      <w:pPr>
        <w:spacing w:before="40" w:after="40"/>
        <w:ind w:left="283"/>
      </w:pPr>
      <w:r>
        <w:rPr>
          <w:b/>
          <w:color w:val="0D1B2A"/>
          <w:sz w:val="20"/>
        </w:rPr>
        <w:t xml:space="preserve">TLB (Term Loan B): </w:t>
      </w:r>
      <w:r>
        <w:rPr>
          <w:sz w:val="20"/>
        </w:rPr>
        <w:t>A broadly syndicated term loan with minimal amortization (1%/year), typically floating rate. Historically the primary financing vehicle for LBOs before direct lending expanded.</w:t>
      </w:r>
    </w:p>
    <w:p>
      <w:pPr>
        <w:spacing w:before="40" w:after="40"/>
        <w:ind w:left="283"/>
      </w:pPr>
      <w:r>
        <w:rPr>
          <w:b/>
          <w:color w:val="0D1B2A"/>
          <w:sz w:val="20"/>
        </w:rPr>
        <w:t xml:space="preserve">Total Return Swap: </w:t>
      </w:r>
      <w:r>
        <w:rPr>
          <w:sz w:val="20"/>
        </w:rPr>
        <w:t>A derivative contract where one party receives the total return (income + price change) of a reference asset in exchange for paying a fixed or floating rate.</w:t>
      </w:r>
    </w:p>
    <w:p>
      <w:pPr>
        <w:spacing w:before="40" w:after="40"/>
        <w:ind w:left="283"/>
      </w:pPr>
      <w:r>
        <w:rPr>
          <w:b/>
          <w:color w:val="0D1B2A"/>
          <w:sz w:val="20"/>
        </w:rPr>
        <w:t xml:space="preserve">TVPI (Total Value to Paid-In): </w:t>
      </w:r>
      <w:r>
        <w:rPr>
          <w:sz w:val="20"/>
        </w:rPr>
        <w:t>A fund performance metric equal to (NAV + Distributions) / Capital Called. TVPI &gt; 1.0x means the LP's investment is showing unrealized + realized gains.</w:t>
      </w:r>
    </w:p>
    <w:p>
      <w:pPr>
        <w:spacing w:before="40" w:after="40"/>
        <w:ind w:left="283"/>
      </w:pPr>
      <w:r>
        <w:rPr>
          <w:b/>
          <w:color w:val="0D1B2A"/>
          <w:sz w:val="20"/>
        </w:rPr>
        <w:t xml:space="preserve">Unitranche: </w:t>
      </w:r>
      <w:r>
        <w:rPr>
          <w:sz w:val="20"/>
        </w:rPr>
        <w:t>A single blended loan facility combining first and second lien characteristics into one instrument with one lender (or lending group). Simplifies the capital structure; typically 11–15% yield.</w:t>
      </w:r>
    </w:p>
    <w:p>
      <w:pPr>
        <w:spacing w:before="40" w:after="40"/>
        <w:ind w:left="283"/>
      </w:pPr>
      <w:r>
        <w:rPr>
          <w:b/>
          <w:color w:val="0D1B2A"/>
          <w:sz w:val="20"/>
        </w:rPr>
        <w:t xml:space="preserve">Vintage Year: </w:t>
      </w:r>
      <w:r>
        <w:rPr>
          <w:sz w:val="20"/>
        </w:rPr>
        <w:t>The year a private credit fund begins deploying capital. Used to compare performance across funds with similar market exposures. 2020 and 2021 vintages benefited from COVID recovery.</w:t>
      </w:r>
    </w:p>
    <w:p>
      <w:pPr>
        <w:spacing w:before="40" w:after="40"/>
        <w:ind w:left="283"/>
      </w:pPr>
      <w:r>
        <w:rPr>
          <w:b/>
          <w:color w:val="0D1B2A"/>
          <w:sz w:val="20"/>
        </w:rPr>
        <w:t xml:space="preserve">Warrant Coverage: </w:t>
      </w:r>
      <w:r>
        <w:rPr>
          <w:sz w:val="20"/>
        </w:rPr>
        <w:t>Equity warrants granted to a lender as additional compensation, typically attached to mezzanine or high-yield instruments. Provides equity upside to the lender.</w:t>
      </w:r>
    </w:p>
    <w:p>
      <w:pPr>
        <w:spacing w:before="40" w:after="40"/>
        <w:ind w:left="283"/>
      </w:pPr>
      <w:r>
        <w:rPr>
          <w:b/>
          <w:color w:val="0D1B2A"/>
          <w:sz w:val="20"/>
        </w:rPr>
        <w:t xml:space="preserve">Waterfall: </w:t>
      </w:r>
      <w:r>
        <w:rPr>
          <w:sz w:val="20"/>
        </w:rPr>
        <w:t>The contractual order in which cash flows (interest payments, principal repayments, fees) are distributed among creditors. Senior secured at the top; equity at the bottom.</w:t>
      </w:r>
    </w:p>
    <w:p>
      <w:pPr>
        <w:spacing w:before="40" w:after="40"/>
        <w:ind w:left="283"/>
      </w:pPr>
      <w:r>
        <w:rPr>
          <w:b/>
          <w:color w:val="0D1B2A"/>
          <w:sz w:val="20"/>
        </w:rPr>
        <w:t xml:space="preserve">Working Capital: </w:t>
      </w:r>
      <w:r>
        <w:rPr>
          <w:sz w:val="20"/>
        </w:rPr>
        <w:t>Current assets minus current liabilities. Positive changes in working capital consume cash; negative changes release cash. Important in assessing true free cash flow generation.</w:t>
      </w:r>
    </w:p>
    <w:p>
      <w:pPr>
        <w:spacing w:before="40" w:after="40"/>
        <w:ind w:left="283"/>
      </w:pPr>
      <w:r>
        <w:rPr>
          <w:b/>
          <w:color w:val="0D1B2A"/>
          <w:sz w:val="20"/>
        </w:rPr>
        <w:t xml:space="preserve">Yield-to-Maturity (YTM): </w:t>
      </w:r>
      <w:r>
        <w:rPr>
          <w:sz w:val="20"/>
        </w:rPr>
        <w:t>The total annualized return from holding a loan to maturity, including all cash flows: coupon payments, OID amortization, and principal repayment.</w:t>
      </w:r>
    </w:p>
    <w:p>
      <w:pPr>
        <w:spacing w:before="40" w:after="40"/>
        <w:ind w:left="283"/>
      </w:pPr>
      <w:r>
        <w:rPr>
          <w:b/>
          <w:color w:val="0D1B2A"/>
          <w:sz w:val="20"/>
        </w:rPr>
        <w:t xml:space="preserve">Zero Coupon Bond: </w:t>
      </w:r>
      <w:r>
        <w:rPr>
          <w:sz w:val="20"/>
        </w:rPr>
        <w:t>A bond that pays no periodic interest; issued at a discount and redeemed at par. The return is entirely the accretion from discount to par.</w:t>
      </w:r>
    </w:p>
    <w:p>
      <w:r>
        <w:br w:type="page"/>
      </w:r>
    </w:p>
    <w:p>
      <w:pPr>
        <w:spacing w:before="200" w:after="60"/>
      </w:pPr>
      <w:r>
        <w:rPr>
          <w:rFonts w:ascii="Calibri" w:hAnsi="Calibri"/>
          <w:b/>
          <w:color w:val="1B4F72"/>
          <w:sz w:val="28"/>
        </w:rPr>
        <w:t>PART 3: MARKET DATA &amp; SIZING</w:t>
      </w:r>
    </w:p>
    <w:p>
      <w:r>
        <w:t>Private credit AUM has grown from approximately $500 billion in 2015 to $1.7+ trillion in 2024, making it one of the fastest-growing segments of the global financial system.</w:t>
        <w:br/>
        <w:br/>
        <w:t>Key market statistics (2024):</w:t>
        <w:br/>
        <w:t>• Global private credit AUM: $1.7T (Preqin estimate)</w:t>
        <w:br/>
        <w:t>• US middle market direct lending: ~$700B</w:t>
        <w:br/>
        <w:t>• European direct lending: ~$300B</w:t>
        <w:br/>
        <w:t>• Global private debt dry powder: ~$350B</w:t>
        <w:br/>
        <w:t>• Number of active private credit funds globally: 2,500+</w:t>
        <w:br/>
        <w:t>• Largest managers: Ares Capital, Apollo, Blackstone Credit, Blue Owl, Golub Capital, HPS Investment Partners</w:t>
        <w:br/>
        <w:br/>
        <w:t>2024 market trends:</w:t>
        <w:br/>
        <w:t>• Spread compression: Senior secured spreads compressed from 650–750bps (2022) to 550–625bps (2024)</w:t>
        <w:br/>
        <w:t>• Covenant quality erosion: &gt;70% of new deals classified as 'covenant-lite'</w:t>
        <w:br/>
        <w:t>• Bank re-entry risk: As rates stabilize, bank balance sheets are more competitive in 2024</w:t>
        <w:br/>
        <w:t>• Infrastructure debt: Fastest-growing sub-strategy, driven by energy transition financing</w:t>
        <w:br/>
        <w:t>• Retail democratization: Semi-liquid credit vehicles AUM grew 40%+ in 2023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