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513C9" w14:textId="77777777" w:rsidR="0021131E" w:rsidRDefault="0021131E" w:rsidP="0021131E">
      <w:pPr>
        <w:pStyle w:val="Title"/>
        <w:spacing w:after="40"/>
        <w:jc w:val="left"/>
      </w:pPr>
      <w:r>
        <w:rPr>
          <w:rFonts w:ascii="Aptos Display" w:hAnsi="Aptos Display"/>
          <w:b/>
          <w:color w:val="18314C"/>
          <w:sz w:val="38"/>
        </w:rPr>
        <w:t>Rite Aid AI Risk Register — Version 1</w:t>
      </w:r>
    </w:p>
    <w:p w14:paraId="6504F6EF" w14:textId="77777777" w:rsidR="0021131E" w:rsidRDefault="0021131E" w:rsidP="0021131E"/>
    <w:p w14:paraId="0A8224C4" w14:textId="77777777" w:rsidR="0021131E" w:rsidRDefault="0021131E" w:rsidP="0021131E">
      <w:pPr>
        <w:spacing w:after="60"/>
      </w:pPr>
      <w:r>
        <w:rPr>
          <w:b/>
          <w:color w:val="3F6982"/>
          <w:sz w:val="20"/>
        </w:rPr>
        <w:t>Independent Historical AI Governance Case Study</w:t>
      </w:r>
    </w:p>
    <w:p w14:paraId="3DC922EF" w14:textId="77777777" w:rsidR="0021131E" w:rsidRDefault="0021131E" w:rsidP="0021131E"/>
    <w:p w14:paraId="684DF959" w14:textId="77777777" w:rsidR="0021131E" w:rsidRDefault="0021131E" w:rsidP="0021131E">
      <w:pPr>
        <w:spacing w:after="60"/>
      </w:pPr>
      <w:r>
        <w:rPr>
          <w:sz w:val="17"/>
        </w:rPr>
        <w:t>Purpose: Identify, assess, and document AI-related risks associated with the historical facial recognition issues examined in the FTC's Rite Aid case.</w:t>
      </w:r>
    </w:p>
    <w:p w14:paraId="1263B2F6" w14:textId="77777777" w:rsidR="0021131E" w:rsidRDefault="0021131E" w:rsidP="0021131E"/>
    <w:p w14:paraId="313D31EF" w14:textId="15D542DD" w:rsidR="0021131E" w:rsidRDefault="0021131E" w:rsidP="0021131E">
      <w:pPr>
        <w:spacing w:after="60"/>
      </w:pPr>
      <w:r>
        <w:rPr>
          <w:sz w:val="17"/>
        </w:rPr>
        <w:t>Disclaimer: This is an independent educational simulation based on publicly available historical records. It is not affiliated with Rite Aid and does not represent Rite Aid's current AI governance program. Risk ratings, owners, and proposed controls are hypothetical recommendations unless explicitly supported by cited sources.</w:t>
      </w:r>
    </w:p>
    <w:p w14:paraId="1C067A5D" w14:textId="77777777" w:rsidR="00C737B5" w:rsidRDefault="00C737B5" w:rsidP="0021131E">
      <w:pPr>
        <w:spacing w:after="120" w:before="200"/>
      </w:pPr>
      <w:r>
        <w:rPr>
          <w:b/>
          <w:color w:val="18314C"/>
          <w:sz w:val="24"/>
        </w:rPr>
        <w:t>AI Risk Register</w:t>
      </w:r>
    </w:p>
    <w:tbl>
      <w:tblPr>
        <w:tblStyle w:val="TableGrid"/>
        <w:tblW w:w="0" w:type="auto"/>
        <w:jc w:val="center"/>
        <w:tblLayout w:type="fixed"/>
        <w:tblLook w:val="04A0" w:firstRow="1" w:lastRow="0" w:firstColumn="1" w:lastColumn="0" w:noHBand="0" w:noVBand="1"/>
      </w:tblPr>
      <w:tblGrid>
        <w:gridCol w:w="979"/>
        <w:gridCol w:w="2621"/>
        <w:gridCol w:w="2203"/>
        <w:gridCol w:w="2333"/>
        <w:gridCol w:w="1757"/>
        <w:gridCol w:w="2995"/>
        <w:gridCol w:w="1699"/>
      </w:tblGrid>
      <w:tr w:rsidR="00C737B5" w14:paraId="3998ED43" w14:textId="77777777" w:rsidTr="00C737B5">
        <w:trPr>
          <w:tblHeader w:val="true"/>
          <w:cantSplit/>
        </w:trPr>
        <w:tc>
          <w:tcPr>
            <w:tcW w:w="979" w:type="dxa"/>
            <w:vAlign w:val="center"/>
            <w:tcMar>
              <w:top w:w="85" w:type="dxa"/>
              <w:start w:w="80" w:type="dxa"/>
              <w:bottom w:w="85" w:type="dxa"/>
              <w:end w:w="80" w:type="dxa"/>
            </w:tcMar>
            <w:shd w:fill="234965"/>
          </w:tcPr>
          <w:p w14:paraId="6E90F3FA" w14:textId="18D22171" w:rsidR="00C737B5" w:rsidRDefault="00C737B5" w:rsidP="0021131E">
            <w:pPr>
              <w:spacing w:after="0" w:line="254" w:lineRule="auto"/>
            </w:pPr>
            <w:r>
              <w:rPr>
                <w:rFonts w:ascii="Aptos" w:hAnsi="Aptos"/>
                <w:b/>
                <w:color w:val="FFFFFF"/>
                <w:sz w:val="16"/>
              </w:rPr>
              <w:t>Risk ID</w:t>
            </w:r>
          </w:p>
        </w:tc>
        <w:tc>
          <w:tcPr>
            <w:tcW w:w="2621" w:type="dxa"/>
            <w:vAlign w:val="center"/>
            <w:tcMar>
              <w:top w:w="85" w:type="dxa"/>
              <w:start w:w="80" w:type="dxa"/>
              <w:bottom w:w="85" w:type="dxa"/>
              <w:end w:w="80" w:type="dxa"/>
            </w:tcMar>
            <w:shd w:fill="234965"/>
          </w:tcPr>
          <w:p w14:paraId="49ECA3A6" w14:textId="4B67A108" w:rsidR="00C737B5" w:rsidRDefault="00C737B5" w:rsidP="0021131E">
            <w:pPr>
              <w:spacing w:after="0" w:line="254" w:lineRule="auto"/>
            </w:pPr>
            <w:r>
              <w:rPr>
                <w:rFonts w:ascii="Aptos" w:hAnsi="Aptos"/>
                <w:b/>
                <w:color w:val="FFFFFF"/>
                <w:sz w:val="16"/>
              </w:rPr>
              <w:t>Risk Description</w:t>
            </w:r>
          </w:p>
        </w:tc>
        <w:tc>
          <w:tcPr>
            <w:tcW w:w="2203" w:type="dxa"/>
            <w:vAlign w:val="center"/>
            <w:tcMar>
              <w:top w:w="85" w:type="dxa"/>
              <w:start w:w="80" w:type="dxa"/>
              <w:bottom w:w="85" w:type="dxa"/>
              <w:end w:w="80" w:type="dxa"/>
            </w:tcMar>
            <w:shd w:fill="234965"/>
          </w:tcPr>
          <w:p w14:paraId="164EEB74" w14:textId="19F28401" w:rsidR="00C737B5" w:rsidRDefault="00C737B5" w:rsidP="0021131E">
            <w:pPr>
              <w:spacing w:after="0" w:line="254" w:lineRule="auto"/>
            </w:pPr>
            <w:r>
              <w:rPr>
                <w:rFonts w:ascii="Aptos" w:hAnsi="Aptos"/>
                <w:b/>
                <w:color w:val="FFFFFF"/>
                <w:sz w:val="16"/>
              </w:rPr>
              <w:t>Impact</w:t>
            </w:r>
          </w:p>
        </w:tc>
        <w:tc>
          <w:tcPr>
            <w:tcW w:w="2333" w:type="dxa"/>
            <w:vAlign w:val="center"/>
            <w:tcMar>
              <w:top w:w="85" w:type="dxa"/>
              <w:start w:w="80" w:type="dxa"/>
              <w:bottom w:w="85" w:type="dxa"/>
              <w:end w:w="80" w:type="dxa"/>
            </w:tcMar>
            <w:shd w:fill="234965"/>
          </w:tcPr>
          <w:p w14:paraId="6CAB73F1" w14:textId="608C45CB" w:rsidR="00C737B5" w:rsidRDefault="00C737B5" w:rsidP="0021131E">
            <w:pPr>
              <w:spacing w:after="0" w:line="254" w:lineRule="auto"/>
            </w:pPr>
            <w:r>
              <w:rPr>
                <w:rFonts w:ascii="Aptos" w:hAnsi="Aptos"/>
                <w:b/>
                <w:color w:val="FFFFFF"/>
                <w:sz w:val="16"/>
              </w:rPr>
              <w:t>Likelihood</w:t>
            </w:r>
          </w:p>
        </w:tc>
        <w:tc>
          <w:tcPr>
            <w:tcW w:w="1757" w:type="dxa"/>
            <w:vAlign w:val="center"/>
            <w:tcMar>
              <w:top w:w="85" w:type="dxa"/>
              <w:start w:w="80" w:type="dxa"/>
              <w:bottom w:w="85" w:type="dxa"/>
              <w:end w:w="80" w:type="dxa"/>
            </w:tcMar>
            <w:shd w:fill="234965"/>
          </w:tcPr>
          <w:p w14:paraId="088BC43D" w14:textId="0760FE87" w:rsidR="00C737B5" w:rsidRDefault="00C737B5" w:rsidP="0021131E">
            <w:pPr>
              <w:spacing w:after="0" w:line="254" w:lineRule="auto"/>
            </w:pPr>
            <w:r>
              <w:rPr>
                <w:rFonts w:ascii="Aptos" w:hAnsi="Aptos"/>
                <w:b/>
                <w:color w:val="FFFFFF"/>
                <w:sz w:val="16"/>
              </w:rPr>
              <w:t>Proposed Owner</w:t>
            </w:r>
          </w:p>
        </w:tc>
        <w:tc>
          <w:tcPr>
            <w:tcW w:w="2995" w:type="dxa"/>
            <w:vAlign w:val="center"/>
            <w:tcMar>
              <w:top w:w="85" w:type="dxa"/>
              <w:start w:w="80" w:type="dxa"/>
              <w:bottom w:w="85" w:type="dxa"/>
              <w:end w:w="80" w:type="dxa"/>
            </w:tcMar>
            <w:shd w:fill="234965"/>
          </w:tcPr>
          <w:p w14:paraId="74F409FC" w14:textId="5EC66886" w:rsidR="00C737B5" w:rsidRDefault="00C737B5" w:rsidP="0021131E">
            <w:pPr>
              <w:spacing w:after="0" w:line="254" w:lineRule="auto"/>
            </w:pPr>
            <w:r>
              <w:rPr>
                <w:rFonts w:ascii="Aptos" w:hAnsi="Aptos"/>
                <w:b/>
                <w:color w:val="FFFFFF"/>
                <w:sz w:val="16"/>
              </w:rPr>
              <w:t>Proposed Control</w:t>
            </w:r>
          </w:p>
        </w:tc>
        <w:tc>
          <w:tcPr>
            <w:tcW w:w="1699" w:type="dxa"/>
            <w:vAlign w:val="center"/>
            <w:tcMar>
              <w:top w:w="85" w:type="dxa"/>
              <w:start w:w="80" w:type="dxa"/>
              <w:bottom w:w="85" w:type="dxa"/>
              <w:end w:w="80" w:type="dxa"/>
            </w:tcMar>
            <w:shd w:fill="234965"/>
          </w:tcPr>
          <w:p w14:paraId="513000BB" w14:textId="3D81E4A3" w:rsidR="00C737B5" w:rsidRDefault="00C737B5" w:rsidP="0021131E">
            <w:pPr>
              <w:spacing w:after="0" w:line="254" w:lineRule="auto"/>
            </w:pPr>
            <w:r>
              <w:rPr>
                <w:rFonts w:ascii="Aptos" w:hAnsi="Aptos"/>
                <w:b/>
                <w:color w:val="FFFFFF"/>
                <w:sz w:val="16"/>
              </w:rPr>
              <w:t>Status</w:t>
            </w:r>
          </w:p>
        </w:tc>
      </w:tr>
      <w:tr w:rsidR="00C737B5" w14:paraId="0E7273C3" w14:textId="77777777" w:rsidTr="00C737B5">
        <w:trPr>
          <w:cantSplit/>
        </w:trPr>
        <w:tc>
          <w:tcPr>
            <w:tcW w:w="979" w:type="dxa"/>
            <w:vAlign w:val="center"/>
            <w:tcMar>
              <w:top w:w="85" w:type="dxa"/>
              <w:start w:w="80" w:type="dxa"/>
              <w:bottom w:w="85" w:type="dxa"/>
              <w:end w:w="80" w:type="dxa"/>
            </w:tcMar>
          </w:tcPr>
          <w:p w14:paraId="3AD2E953" w14:textId="056FFAAC" w:rsidR="00C737B5" w:rsidRDefault="00C737B5" w:rsidP="0021131E">
            <w:pPr>
              <w:spacing w:after="0" w:line="254" w:lineRule="auto"/>
            </w:pPr>
            <w:r>
              <w:rPr>
                <w:rFonts w:ascii="Aptos" w:hAnsi="Aptos"/>
                <w:color w:val="1F2C3C"/>
                <w:sz w:val="16"/>
              </w:rPr>
              <w:t>R-001</w:t>
            </w:r>
          </w:p>
        </w:tc>
        <w:tc>
          <w:tcPr>
            <w:tcW w:w="2621" w:type="dxa"/>
            <w:vAlign w:val="center"/>
            <w:tcMar>
              <w:top w:w="85" w:type="dxa"/>
              <w:start w:w="80" w:type="dxa"/>
              <w:bottom w:w="85" w:type="dxa"/>
              <w:end w:w="80" w:type="dxa"/>
            </w:tcMar>
          </w:tcPr>
          <w:p w14:paraId="484DE1A7" w14:textId="7905CF9F" w:rsidR="00C737B5" w:rsidRDefault="00C737B5" w:rsidP="0021131E">
            <w:pPr>
              <w:spacing w:after="0" w:line="254" w:lineRule="auto"/>
            </w:pPr>
            <w:r w:rsidRPr="00C737B5">
              <w:rPr>
                <w:rFonts w:ascii="Aptos" w:hAnsi="Aptos"/>
                <w:color w:val="1F2C3C"/>
                <w:sz w:val="16"/>
              </w:rPr>
              <w:t>Facial recognition could incorrectly identify a customer as someone previously suspected of theft</w:t>
            </w:r>
          </w:p>
        </w:tc>
        <w:tc>
          <w:tcPr>
            <w:tcW w:w="2203" w:type="dxa"/>
            <w:vAlign w:val="center"/>
            <w:tcMar>
              <w:top w:w="85" w:type="dxa"/>
              <w:start w:w="80" w:type="dxa"/>
              <w:bottom w:w="85" w:type="dxa"/>
              <w:end w:w="80" w:type="dxa"/>
            </w:tcMar>
          </w:tcPr>
          <w:p w14:paraId="6ED6AEF6" w14:textId="1490CAC2" w:rsidR="00C737B5" w:rsidRDefault="00C737B5" w:rsidP="0021131E">
            <w:pPr>
              <w:spacing w:after="0" w:line="254" w:lineRule="auto"/>
            </w:pPr>
            <w:r w:rsidRPr="00C737B5">
              <w:rPr>
                <w:rFonts w:ascii="Aptos" w:hAnsi="Aptos"/>
                <w:color w:val="1F2C3C"/>
                <w:sz w:val="16"/>
              </w:rPr>
              <w:t>High — Possible customer harm, reputational damage, and legal consequences</w:t>
            </w:r>
          </w:p>
        </w:tc>
        <w:tc>
          <w:tcPr>
            <w:tcW w:w="2333" w:type="dxa"/>
            <w:vAlign w:val="center"/>
            <w:tcMar>
              <w:top w:w="85" w:type="dxa"/>
              <w:start w:w="80" w:type="dxa"/>
              <w:bottom w:w="85" w:type="dxa"/>
              <w:end w:w="80" w:type="dxa"/>
            </w:tcMar>
          </w:tcPr>
          <w:p w14:paraId="3D0317C4" w14:textId="232642C5" w:rsidR="00C737B5" w:rsidRDefault="00C737B5" w:rsidP="0021131E">
            <w:pPr>
              <w:spacing w:after="0" w:line="254" w:lineRule="auto"/>
            </w:pPr>
            <w:r w:rsidRPr="00C737B5">
              <w:rPr>
                <w:rFonts w:ascii="Aptos" w:hAnsi="Aptos"/>
                <w:color w:val="1F2C3C"/>
                <w:sz w:val="16"/>
              </w:rPr>
              <w:t>Medium — Provisional simulation rating; historical frequency not independently established here</w:t>
            </w:r>
          </w:p>
        </w:tc>
        <w:tc>
          <w:tcPr>
            <w:tcW w:w="1757" w:type="dxa"/>
            <w:vAlign w:val="center"/>
            <w:tcMar>
              <w:top w:w="85" w:type="dxa"/>
              <w:start w:w="80" w:type="dxa"/>
              <w:bottom w:w="85" w:type="dxa"/>
              <w:end w:w="80" w:type="dxa"/>
            </w:tcMar>
          </w:tcPr>
          <w:p w14:paraId="3AB3928B" w14:textId="7FE393E1" w:rsidR="00C737B5" w:rsidRDefault="00C737B5" w:rsidP="0021131E">
            <w:pPr>
              <w:spacing w:after="0" w:line="254" w:lineRule="auto"/>
            </w:pPr>
            <w:r w:rsidRPr="00C737B5">
              <w:rPr>
                <w:rFonts w:ascii="Aptos" w:hAnsi="Aptos"/>
                <w:color w:val="1F2C3C"/>
                <w:sz w:val="16"/>
              </w:rPr>
              <w:t>AI Governance Lead</w:t>
            </w:r>
          </w:p>
        </w:tc>
        <w:tc>
          <w:tcPr>
            <w:tcW w:w="2995" w:type="dxa"/>
            <w:vAlign w:val="center"/>
            <w:tcMar>
              <w:top w:w="85" w:type="dxa"/>
              <w:start w:w="80" w:type="dxa"/>
              <w:bottom w:w="85" w:type="dxa"/>
              <w:end w:w="80" w:type="dxa"/>
            </w:tcMar>
          </w:tcPr>
          <w:p w14:paraId="1609BE42" w14:textId="27360E9A" w:rsidR="00C737B5" w:rsidRDefault="00C737B5" w:rsidP="0021131E">
            <w:pPr>
              <w:spacing w:after="0" w:line="254" w:lineRule="auto"/>
            </w:pPr>
            <w:r w:rsidRPr="00C737B5">
              <w:rPr>
                <w:rFonts w:ascii="Aptos" w:hAnsi="Aptos"/>
                <w:color w:val="1F2C3C"/>
                <w:sz w:val="16"/>
              </w:rPr>
              <w:t>Test false-match rates, document accuracy limitations, and require human verification before action</w:t>
            </w:r>
          </w:p>
        </w:tc>
        <w:tc>
          <w:tcPr>
            <w:tcW w:w="1699" w:type="dxa"/>
            <w:vAlign w:val="center"/>
            <w:tcMar>
              <w:top w:w="85" w:type="dxa"/>
              <w:start w:w="80" w:type="dxa"/>
              <w:bottom w:w="85" w:type="dxa"/>
              <w:end w:w="80" w:type="dxa"/>
            </w:tcMar>
          </w:tcPr>
          <w:p w14:paraId="0ED4A2B3" w14:textId="589139CC" w:rsidR="00C737B5" w:rsidRDefault="00C737B5" w:rsidP="0021131E">
            <w:pPr>
              <w:spacing w:after="0" w:line="254" w:lineRule="auto"/>
            </w:pPr>
            <w:r w:rsidRPr="00C737B5">
              <w:rPr>
                <w:rFonts w:ascii="Aptos" w:hAnsi="Aptos"/>
                <w:color w:val="1F2C3C"/>
                <w:sz w:val="16"/>
              </w:rPr>
              <w:t>Proposed — Not implemented in simulation</w:t>
            </w:r>
          </w:p>
        </w:tc>
      </w:tr>
      <w:tr w:rsidR="00C737B5" w14:paraId="2839CBD0" w14:textId="77777777" w:rsidTr="00C737B5">
        <w:trPr>
          <w:cantSplit/>
        </w:trPr>
        <w:tc>
          <w:tcPr>
            <w:tcW w:w="979" w:type="dxa"/>
            <w:vAlign w:val="center"/>
            <w:tcMar>
              <w:top w:w="85" w:type="dxa"/>
              <w:start w:w="80" w:type="dxa"/>
              <w:bottom w:w="85" w:type="dxa"/>
              <w:end w:w="80" w:type="dxa"/>
            </w:tcMar>
            <w:shd w:fill="F0F4F7"/>
          </w:tcPr>
          <w:p w14:paraId="57CFC54C" w14:textId="7054BB7B" w:rsidR="00C737B5" w:rsidRDefault="00C737B5" w:rsidP="0021131E">
            <w:pPr>
              <w:spacing w:after="0" w:line="254" w:lineRule="auto"/>
            </w:pPr>
            <w:r>
              <w:rPr>
                <w:rFonts w:ascii="Aptos" w:hAnsi="Aptos"/>
                <w:color w:val="1F2C3C"/>
                <w:sz w:val="16"/>
              </w:rPr>
              <w:t>R-002</w:t>
            </w:r>
          </w:p>
        </w:tc>
        <w:tc>
          <w:tcPr>
            <w:tcW w:w="2621" w:type="dxa"/>
            <w:vAlign w:val="center"/>
            <w:tcMar>
              <w:top w:w="85" w:type="dxa"/>
              <w:start w:w="80" w:type="dxa"/>
              <w:bottom w:w="85" w:type="dxa"/>
              <w:end w:w="80" w:type="dxa"/>
            </w:tcMar>
            <w:shd w:fill="F0F4F7"/>
          </w:tcPr>
          <w:p w14:paraId="58D0DD0F" w14:textId="54D8F048" w:rsidR="00C737B5" w:rsidRDefault="00C737B5" w:rsidP="0021131E">
            <w:pPr>
              <w:spacing w:after="0" w:line="254" w:lineRule="auto"/>
            </w:pPr>
            <w:r w:rsidRPr="00C737B5">
              <w:rPr>
                <w:rFonts w:ascii="Aptos" w:hAnsi="Aptos"/>
                <w:color w:val="1F2C3C"/>
                <w:sz w:val="16"/>
              </w:rPr>
              <w:t>AI-driven identification errors or inappropriate staff responses could lead to unfair treatment of customers.</w:t>
            </w:r>
          </w:p>
        </w:tc>
        <w:tc>
          <w:tcPr>
            <w:tcW w:w="2203" w:type="dxa"/>
            <w:vAlign w:val="center"/>
            <w:tcMar>
              <w:top w:w="85" w:type="dxa"/>
              <w:start w:w="80" w:type="dxa"/>
              <w:bottom w:w="85" w:type="dxa"/>
              <w:end w:w="80" w:type="dxa"/>
            </w:tcMar>
            <w:shd w:fill="F0F4F7"/>
          </w:tcPr>
          <w:p w14:paraId="5FBD6A3B" w14:textId="711795F6" w:rsidR="00C737B5" w:rsidRDefault="00C737B5" w:rsidP="0021131E">
            <w:pPr>
              <w:spacing w:after="0" w:line="254" w:lineRule="auto"/>
            </w:pPr>
            <w:r w:rsidRPr="00C737B5">
              <w:rPr>
                <w:rFonts w:ascii="Aptos" w:hAnsi="Aptos"/>
                <w:color w:val="1F2C3C"/>
                <w:sz w:val="16"/>
              </w:rPr>
              <w:t>High — Potential discriminatory outcomes, customer harm, and legal exposure</w:t>
            </w:r>
          </w:p>
        </w:tc>
        <w:tc>
          <w:tcPr>
            <w:tcW w:w="2333" w:type="dxa"/>
            <w:vAlign w:val="center"/>
            <w:tcMar>
              <w:top w:w="85" w:type="dxa"/>
              <w:start w:w="80" w:type="dxa"/>
              <w:bottom w:w="85" w:type="dxa"/>
              <w:end w:w="80" w:type="dxa"/>
            </w:tcMar>
            <w:shd w:fill="F0F4F7"/>
          </w:tcPr>
          <w:p w14:paraId="00A134DA" w14:textId="26FB5B4C" w:rsidR="00C737B5" w:rsidRDefault="00C737B5" w:rsidP="0021131E">
            <w:pPr>
              <w:spacing w:after="0" w:line="254" w:lineRule="auto"/>
            </w:pPr>
            <w:r w:rsidRPr="00C737B5">
              <w:rPr>
                <w:rFonts w:ascii="Aptos" w:hAnsi="Aptos"/>
                <w:color w:val="1F2C3C"/>
                <w:sz w:val="16"/>
              </w:rPr>
              <w:t>Medium — Provisional simulation rating; not a measured historical probability</w:t>
            </w:r>
          </w:p>
        </w:tc>
        <w:tc>
          <w:tcPr>
            <w:tcW w:w="1757" w:type="dxa"/>
            <w:vAlign w:val="center"/>
            <w:tcMar>
              <w:top w:w="85" w:type="dxa"/>
              <w:start w:w="80" w:type="dxa"/>
              <w:bottom w:w="85" w:type="dxa"/>
              <w:end w:w="80" w:type="dxa"/>
            </w:tcMar>
            <w:shd w:fill="F0F4F7"/>
          </w:tcPr>
          <w:p w14:paraId="43753363" w14:textId="6F889F2A" w:rsidR="00C737B5" w:rsidRDefault="00C737B5" w:rsidP="0021131E">
            <w:pPr>
              <w:spacing w:after="0" w:line="254" w:lineRule="auto"/>
            </w:pPr>
            <w:r w:rsidRPr="00C737B5">
              <w:rPr>
                <w:rFonts w:ascii="Aptos" w:hAnsi="Aptos"/>
                <w:color w:val="1F2C3C"/>
                <w:sz w:val="16"/>
              </w:rPr>
              <w:t>Compliance and Privacy Officer</w:t>
            </w:r>
          </w:p>
        </w:tc>
        <w:tc>
          <w:tcPr>
            <w:tcW w:w="2995" w:type="dxa"/>
            <w:vAlign w:val="center"/>
            <w:tcMar>
              <w:top w:w="85" w:type="dxa"/>
              <w:start w:w="80" w:type="dxa"/>
              <w:bottom w:w="85" w:type="dxa"/>
              <w:end w:w="80" w:type="dxa"/>
            </w:tcMar>
            <w:shd w:fill="F0F4F7"/>
          </w:tcPr>
          <w:p w14:paraId="02412C8B" w14:textId="147DA0B9" w:rsidR="00C737B5" w:rsidRDefault="00C737B5" w:rsidP="0021131E">
            <w:pPr>
              <w:spacing w:after="0" w:line="254" w:lineRule="auto"/>
            </w:pPr>
            <w:r w:rsidRPr="00C737B5">
              <w:rPr>
                <w:rFonts w:ascii="Aptos" w:hAnsi="Aptos"/>
                <w:color w:val="1F2C3C"/>
                <w:sz w:val="16"/>
              </w:rPr>
              <w:t xml:space="preserve">Perform fairness testing, document escalation procedures, train staff, and prohibit action based </w:t>
            </w:r>
            <w:r w:rsidRPr="00C737B5">
              <w:rPr>
                <w:rFonts w:ascii="Aptos" w:hAnsi="Aptos"/>
                <w:color w:val="1F2C3C"/>
                <w:sz w:val="16"/>
              </w:rPr>
              <w:lastRenderedPageBreak/>
              <w:t>solely on an AI match</w:t>
            </w:r>
          </w:p>
        </w:tc>
        <w:tc>
          <w:tcPr>
            <w:tcW w:w="1699" w:type="dxa"/>
            <w:vAlign w:val="center"/>
            <w:tcMar>
              <w:top w:w="85" w:type="dxa"/>
              <w:start w:w="80" w:type="dxa"/>
              <w:bottom w:w="85" w:type="dxa"/>
              <w:end w:w="80" w:type="dxa"/>
            </w:tcMar>
            <w:shd w:fill="F0F4F7"/>
          </w:tcPr>
          <w:p w14:paraId="19568BB1" w14:textId="2C89D0E8" w:rsidR="00C737B5" w:rsidRDefault="00C737B5" w:rsidP="0021131E">
            <w:pPr>
              <w:spacing w:after="0" w:line="254" w:lineRule="auto"/>
            </w:pPr>
            <w:r w:rsidRPr="00C737B5">
              <w:rPr>
                <w:rFonts w:ascii="Aptos" w:hAnsi="Aptos"/>
                <w:color w:val="1F2C3C"/>
                <w:sz w:val="16"/>
              </w:rPr>
              <w:lastRenderedPageBreak/>
              <w:t>Proposed — Not implemented in simulation</w:t>
            </w:r>
          </w:p>
        </w:tc>
      </w:tr>
      <w:tr w:rsidR="00C737B5" w14:paraId="7467419D" w14:textId="77777777" w:rsidTr="00C737B5">
        <w:trPr>
          <w:cantSplit/>
        </w:trPr>
        <w:tc>
          <w:tcPr>
            <w:tcW w:w="979" w:type="dxa"/>
            <w:vAlign w:val="center"/>
            <w:tcMar>
              <w:top w:w="85" w:type="dxa"/>
              <w:start w:w="80" w:type="dxa"/>
              <w:bottom w:w="85" w:type="dxa"/>
              <w:end w:w="80" w:type="dxa"/>
            </w:tcMar>
          </w:tcPr>
          <w:p w14:paraId="4C4CB21E" w14:textId="7CCD99DA" w:rsidR="00C737B5" w:rsidRDefault="00C737B5" w:rsidP="0021131E">
            <w:pPr>
              <w:spacing w:after="0" w:line="254" w:lineRule="auto"/>
            </w:pPr>
            <w:r>
              <w:rPr>
                <w:rFonts w:ascii="Aptos" w:hAnsi="Aptos"/>
                <w:color w:val="1F2C3C"/>
                <w:sz w:val="16"/>
              </w:rPr>
              <w:t>R-003</w:t>
            </w:r>
          </w:p>
        </w:tc>
        <w:tc>
          <w:tcPr>
            <w:tcW w:w="2621" w:type="dxa"/>
            <w:vAlign w:val="center"/>
            <w:tcMar>
              <w:top w:w="85" w:type="dxa"/>
              <w:start w:w="80" w:type="dxa"/>
              <w:bottom w:w="85" w:type="dxa"/>
              <w:end w:w="80" w:type="dxa"/>
            </w:tcMar>
          </w:tcPr>
          <w:p w14:paraId="355A14A5" w14:textId="0D438029" w:rsidR="00C737B5" w:rsidRDefault="00C737B5" w:rsidP="0021131E">
            <w:pPr>
              <w:spacing w:after="0" w:line="254" w:lineRule="auto"/>
            </w:pPr>
            <w:r w:rsidRPr="00C737B5">
              <w:rPr>
                <w:rFonts w:ascii="Aptos" w:hAnsi="Aptos"/>
                <w:color w:val="1F2C3C"/>
                <w:sz w:val="16"/>
              </w:rPr>
              <w:t>Without sufficient monitoring, inaccurate results, complaints, or recurring incidents may remain unresolved.</w:t>
            </w:r>
          </w:p>
        </w:tc>
        <w:tc>
          <w:tcPr>
            <w:tcW w:w="2203" w:type="dxa"/>
            <w:vAlign w:val="center"/>
            <w:tcMar>
              <w:top w:w="85" w:type="dxa"/>
              <w:start w:w="80" w:type="dxa"/>
              <w:bottom w:w="85" w:type="dxa"/>
              <w:end w:w="80" w:type="dxa"/>
            </w:tcMar>
          </w:tcPr>
          <w:p w14:paraId="5BD6DF6C" w14:textId="460FD41C" w:rsidR="00C737B5" w:rsidRDefault="00C737B5" w:rsidP="0021131E">
            <w:pPr>
              <w:spacing w:after="0" w:line="254" w:lineRule="auto"/>
            </w:pPr>
            <w:r w:rsidRPr="00C737B5">
              <w:rPr>
                <w:rFonts w:ascii="Aptos" w:hAnsi="Aptos"/>
                <w:color w:val="1F2C3C"/>
                <w:sz w:val="16"/>
              </w:rPr>
              <w:t>High — Continued customer harm and weakened accountability</w:t>
            </w:r>
          </w:p>
        </w:tc>
        <w:tc>
          <w:tcPr>
            <w:tcW w:w="2333" w:type="dxa"/>
            <w:vAlign w:val="center"/>
            <w:tcMar>
              <w:top w:w="85" w:type="dxa"/>
              <w:start w:w="80" w:type="dxa"/>
              <w:bottom w:w="85" w:type="dxa"/>
              <w:end w:w="80" w:type="dxa"/>
            </w:tcMar>
          </w:tcPr>
          <w:p w14:paraId="5D461823" w14:textId="4ECF22AA" w:rsidR="00C737B5" w:rsidRDefault="00C737B5" w:rsidP="0021131E">
            <w:pPr>
              <w:spacing w:after="0" w:line="254" w:lineRule="auto"/>
            </w:pPr>
            <w:r w:rsidRPr="00C737B5">
              <w:rPr>
                <w:rFonts w:ascii="Aptos" w:hAnsi="Aptos"/>
                <w:color w:val="1F2C3C"/>
                <w:sz w:val="16"/>
              </w:rPr>
              <w:t>Medium — Provisional simulation rating; depends on assumed control weaknesses</w:t>
            </w:r>
          </w:p>
        </w:tc>
        <w:tc>
          <w:tcPr>
            <w:tcW w:w="1757" w:type="dxa"/>
            <w:vAlign w:val="center"/>
            <w:tcMar>
              <w:top w:w="85" w:type="dxa"/>
              <w:start w:w="80" w:type="dxa"/>
              <w:bottom w:w="85" w:type="dxa"/>
              <w:end w:w="80" w:type="dxa"/>
            </w:tcMar>
          </w:tcPr>
          <w:p w14:paraId="6518D1C0" w14:textId="177E96D9" w:rsidR="00C737B5" w:rsidRDefault="00C737B5" w:rsidP="0021131E">
            <w:pPr>
              <w:spacing w:after="0" w:line="254" w:lineRule="auto"/>
            </w:pPr>
            <w:r w:rsidRPr="00C737B5">
              <w:rPr>
                <w:rFonts w:ascii="Aptos" w:hAnsi="Aptos"/>
                <w:color w:val="1F2C3C"/>
                <w:sz w:val="16"/>
              </w:rPr>
              <w:t>AI Risk and Compliance Manager</w:t>
            </w:r>
          </w:p>
        </w:tc>
        <w:tc>
          <w:tcPr>
            <w:tcW w:w="2995" w:type="dxa"/>
            <w:vAlign w:val="center"/>
            <w:tcMar>
              <w:top w:w="85" w:type="dxa"/>
              <w:start w:w="80" w:type="dxa"/>
              <w:bottom w:w="85" w:type="dxa"/>
              <w:end w:w="80" w:type="dxa"/>
            </w:tcMar>
          </w:tcPr>
          <w:p w14:paraId="0433A731" w14:textId="0ED414A2" w:rsidR="00C737B5" w:rsidRDefault="00C737B5" w:rsidP="0021131E">
            <w:pPr>
              <w:spacing w:after="0" w:line="254" w:lineRule="auto"/>
            </w:pPr>
            <w:r w:rsidRPr="00C737B5">
              <w:rPr>
                <w:rFonts w:ascii="Aptos" w:hAnsi="Aptos"/>
                <w:color w:val="1F2C3C"/>
                <w:sz w:val="16"/>
              </w:rPr>
              <w:t>Maintain incident logs, investigate complaints, review performance regularly, and establish stop-use triggers</w:t>
            </w:r>
          </w:p>
        </w:tc>
        <w:tc>
          <w:tcPr>
            <w:tcW w:w="1699" w:type="dxa"/>
            <w:vAlign w:val="center"/>
            <w:tcMar>
              <w:top w:w="85" w:type="dxa"/>
              <w:start w:w="80" w:type="dxa"/>
              <w:bottom w:w="85" w:type="dxa"/>
              <w:end w:w="80" w:type="dxa"/>
            </w:tcMar>
          </w:tcPr>
          <w:p w14:paraId="4CA1C09E" w14:textId="321C4869" w:rsidR="00C737B5" w:rsidRDefault="00C737B5" w:rsidP="0021131E">
            <w:pPr>
              <w:spacing w:after="0" w:line="254" w:lineRule="auto"/>
            </w:pPr>
            <w:r w:rsidRPr="00C737B5">
              <w:rPr>
                <w:rFonts w:ascii="Aptos" w:hAnsi="Aptos"/>
                <w:color w:val="1F2C3C"/>
                <w:sz w:val="16"/>
              </w:rPr>
              <w:t>Proposed — Not implemented in simulation</w:t>
            </w:r>
          </w:p>
        </w:tc>
      </w:tr>
    </w:tbl>
    <w:p w14:paraId="19D40B44" w14:textId="1CAC60B3" w:rsidR="00C737B5" w:rsidRDefault="00C737B5" w:rsidP="0021131E"/>
    <w:p w14:paraId="47F6D072" w14:textId="77777777" w:rsidR="00DD4E8B" w:rsidRDefault="00DD4E8B" w:rsidP="00DD4E8B">
      <w:pPr>
        <w:spacing w:after="120" w:before="200"/>
      </w:pPr>
      <w:r>
        <w:rPr>
          <w:b/>
          <w:color w:val="18314C"/>
          <w:sz w:val="24"/>
        </w:rPr>
        <w:t>Sources and Assessment Notes</w:t>
      </w:r>
    </w:p>
    <w:p w14:paraId="62A78B17" w14:textId="77777777" w:rsidR="00DD4E8B" w:rsidRDefault="00DD4E8B" w:rsidP="00DD4E8B"/>
    <w:p w14:paraId="508FDDDA" w14:textId="77777777" w:rsidR="00DD4E8B" w:rsidRDefault="00DD4E8B" w:rsidP="00DD4E8B">
      <w:pPr>
        <w:spacing w:after="60"/>
      </w:pPr>
      <w:r>
        <w:rPr>
          <w:sz w:val="17"/>
        </w:rPr>
        <w:t>1. Federal Trade Commission (FTC). (2023, December 19). Rite Aid Banned from Using AI Facial Recognition After FTC Says Retailer Deployed Technology without Reasonable Safeguards.</w:t>
      </w:r>
    </w:p>
    <w:p w14:paraId="3A3ECEA2" w14:textId="77777777" w:rsidR="00DD4E8B" w:rsidRDefault="00DD4E8B" w:rsidP="00DD4E8B">
      <w:pPr>
        <w:spacing w:after="60"/>
      </w:pPr>
      <w:r>
        <w:rPr>
          <w:sz w:val="17"/>
        </w:rPr>
        <w:t>https://search.ftc.gov/news-events/news/press-releases/2023/12/rite-aid-banned-using-ai-facial-recognition-after-ftc-says-retailer-deployed-technology-without</w:t>
      </w:r>
    </w:p>
    <w:p w14:paraId="1689FFE9" w14:textId="77777777" w:rsidR="00DD4E8B" w:rsidRDefault="00DD4E8B" w:rsidP="00DD4E8B"/>
    <w:p w14:paraId="472B4611" w14:textId="77777777" w:rsidR="00DD4E8B" w:rsidRDefault="00DD4E8B" w:rsidP="00DD4E8B">
      <w:pPr>
        <w:spacing w:after="60"/>
      </w:pPr>
      <w:r>
        <w:rPr>
          <w:sz w:val="17"/>
        </w:rPr>
        <w:t>2. Federal Trade Commission (FTC). FTC v. Rite Aid Corporation, Case No. 2:23-cv-5023. Includes the December 2023 complaint and March 2024 stipulated order.</w:t>
      </w:r>
    </w:p>
    <w:p w14:paraId="622BCB65" w14:textId="77777777" w:rsidR="00DD4E8B" w:rsidRDefault="00DD4E8B" w:rsidP="00DD4E8B">
      <w:pPr>
        <w:spacing w:after="60"/>
      </w:pPr>
      <w:r>
        <w:rPr>
          <w:sz w:val="17"/>
        </w:rPr>
        <w:t>https://www.ftc.gov/legal-library/browse/cases-proceedings/2023190-rite-aid-corporation-ftc-v</w:t>
      </w:r>
    </w:p>
    <w:p w14:paraId="4526DDFF" w14:textId="77777777" w:rsidR="00DD4E8B" w:rsidRDefault="00DD4E8B" w:rsidP="00DD4E8B"/>
    <w:p w14:paraId="7F1F6696" w14:textId="77777777" w:rsidR="00DD4E8B" w:rsidRDefault="00DD4E8B" w:rsidP="00DD4E8B">
      <w:pPr>
        <w:spacing w:after="60"/>
      </w:pPr>
      <w:r>
        <w:rPr>
          <w:sz w:val="17"/>
        </w:rPr>
        <w:t>3. National Institute of Standards and Technology (NIST). (2023). Artificial Intelligence Risk Management Framework (AI RMF 1.0), NIST AI 100-1.</w:t>
      </w:r>
    </w:p>
    <w:p w14:paraId="72AF785B" w14:textId="77777777" w:rsidR="00DD4E8B" w:rsidRDefault="00DD4E8B" w:rsidP="00DD4E8B">
      <w:pPr>
        <w:spacing w:after="60"/>
      </w:pPr>
      <w:r>
        <w:rPr>
          <w:sz w:val="17"/>
        </w:rPr>
        <w:t>https://nvlpubs.nist.gov/nistpubs/ai/NIST.AI.100-1.pdf</w:t>
      </w:r>
    </w:p>
    <w:p w14:paraId="50A9429A" w14:textId="77777777" w:rsidR="00DD4E8B" w:rsidRDefault="00DD4E8B" w:rsidP="00DD4E8B"/>
    <w:p w14:paraId="086CFE6B" w14:textId="77777777" w:rsidR="00DD4E8B" w:rsidRDefault="00DD4E8B" w:rsidP="00DD4E8B">
      <w:pPr>
        <w:spacing w:after="60"/>
      </w:pPr>
      <w:r>
        <w:rPr>
          <w:b/>
          <w:color w:val="18314C"/>
        </w:rPr>
        <w:lastRenderedPageBreak/>
        <w:t>Assessment Notes:</w:t>
      </w:r>
    </w:p>
    <w:p w14:paraId="5868F4A2" w14:textId="77777777" w:rsidR="00DD4E8B" w:rsidRDefault="00DD4E8B" w:rsidP="00DD4E8B">
      <w:pPr>
        <w:spacing w:after="60"/>
      </w:pPr>
      <w:r>
        <w:rPr>
          <w:sz w:val="17"/>
        </w:rPr>
        <w:t>- Historical context: The FTC's complaint alleged failures relating to facial recognition accuracy, customer harm, and insufficient monitoring.</w:t>
      </w:r>
    </w:p>
    <w:p w14:paraId="4D7DD9AC" w14:textId="77777777" w:rsidR="00DD4E8B" w:rsidRDefault="00DD4E8B" w:rsidP="00DD4E8B">
      <w:pPr>
        <w:spacing w:after="60"/>
      </w:pPr>
      <w:r>
        <w:rPr>
          <w:sz w:val="17"/>
        </w:rPr>
        <w:t>- Simulation assumptions: The impact and likelihood ratings are illustrative judgments made for this educational case study.</w:t>
      </w:r>
    </w:p>
    <w:p w14:paraId="701467C2" w14:textId="77777777" w:rsidR="00DD4E8B" w:rsidRDefault="00DD4E8B" w:rsidP="00DD4E8B">
      <w:pPr>
        <w:spacing w:after="60"/>
      </w:pPr>
      <w:r>
        <w:rPr>
          <w:sz w:val="17"/>
        </w:rPr>
        <w:t>- Proposed controls and owners: These are recommendations, not verified existing Rite Aid practices.</w:t>
      </w:r>
    </w:p>
    <w:p w14:paraId="59DD7A3B" w14:textId="77777777" w:rsidR="00DD4E8B" w:rsidRDefault="00DD4E8B" w:rsidP="00DD4E8B">
      <w:pPr>
        <w:spacing w:after="60"/>
      </w:pPr>
      <w:r>
        <w:rPr>
          <w:sz w:val="17"/>
        </w:rPr>
        <w:t>- Framework alignment: Risk identification, assessment, prioritization, and response are informed by NIST AI RMF's GOVERN, MAP, MEASURE, and MANAGE functions.</w:t>
      </w:r>
    </w:p>
    <w:p w14:paraId="20A713E9" w14:textId="77777777" w:rsidR="00DD4E8B" w:rsidRDefault="00DD4E8B" w:rsidP="00DD4E8B">
      <w:pPr>
        <w:spacing w:after="60"/>
      </w:pPr>
      <w:r>
        <w:rPr>
          <w:sz w:val="17"/>
        </w:rPr>
        <w:t>- Regulatory distinction: FTC orders and NIST's voluntary guidance have different legal statuses; NIST AI RMF is not itself a binding regulation.</w:t>
      </w:r>
    </w:p>
    <w:p w14:paraId="4A5C603A" w14:textId="44B38964" w:rsidR="00DD4E8B" w:rsidRDefault="00DD4E8B" w:rsidP="00DD4E8B">
      <w:pPr>
        <w:spacing w:after="60"/>
      </w:pPr>
      <w:r>
        <w:rPr>
          <w:sz w:val="17"/>
        </w:rPr>
        <w:t>- Implementation status: All listed controls remain proposed within this simulation.</w:t>
      </w:r>
    </w:p>
    <w:sectPr w:rsidR="00DD4E8B">
      <w:footerReference w:type="default" r:id="rId6"/>
      <w:pgSz w:w="16848" w:h="11952" w:orient="landscape"/>
      <w:pgMar w:top="720" w:right="979" w:bottom="691"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707D89"/>
        <w:sz w:val="14"/>
      </w:rPr>
      <w:t>INDEPENDENT EDUCATIONAL SIMULATION  |  RITE AID HISTORICAL CASE STUDY</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31E"/>
    <w:rsid w:val="0021131E"/>
    <w:rsid w:val="00693A63"/>
    <w:rsid w:val="00C737B5"/>
    <w:rsid w:val="00DD4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8A1B6"/>
  <w15:chartTrackingRefBased/>
  <w15:docId w15:val="{6B14F06D-A2AD-4FE5-9ECA-7C22B2767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w:hAnsi="Aptos"/>
      <w:color w:val="233041"/>
      <w:sz w:val="18"/>
    </w:rPr>
  </w:style>
  <w:style w:type="paragraph" w:styleId="Heading1">
    <w:name w:val="heading 1"/>
    <w:basedOn w:val="Normal"/>
    <w:next w:val="Normal"/>
    <w:link w:val="Heading1Char"/>
    <w:uiPriority w:val="9"/>
    <w:qFormat/>
    <w:rsid w:val="00211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31E"/>
    <w:rPr>
      <w:rFonts w:eastAsiaTheme="majorEastAsia" w:cstheme="majorBidi"/>
      <w:color w:val="272727" w:themeColor="text1" w:themeTint="D8"/>
    </w:rPr>
  </w:style>
  <w:style w:type="paragraph" w:styleId="Title">
    <w:name w:val="Title"/>
    <w:basedOn w:val="Normal"/>
    <w:next w:val="Normal"/>
    <w:link w:val="TitleChar"/>
    <w:uiPriority w:val="10"/>
    <w:qFormat/>
    <w:rsid w:val="00211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31E"/>
    <w:pPr>
      <w:spacing w:before="160"/>
      <w:jc w:val="center"/>
    </w:pPr>
    <w:rPr>
      <w:i/>
      <w:iCs/>
      <w:color w:val="404040" w:themeColor="text1" w:themeTint="BF"/>
    </w:rPr>
  </w:style>
  <w:style w:type="character" w:customStyle="1" w:styleId="QuoteChar">
    <w:name w:val="Quote Char"/>
    <w:basedOn w:val="DefaultParagraphFont"/>
    <w:link w:val="Quote"/>
    <w:uiPriority w:val="29"/>
    <w:rsid w:val="0021131E"/>
    <w:rPr>
      <w:i/>
      <w:iCs/>
      <w:color w:val="404040" w:themeColor="text1" w:themeTint="BF"/>
    </w:rPr>
  </w:style>
  <w:style w:type="paragraph" w:styleId="ListParagraph">
    <w:name w:val="List Paragraph"/>
    <w:basedOn w:val="Normal"/>
    <w:uiPriority w:val="34"/>
    <w:qFormat/>
    <w:rsid w:val="0021131E"/>
    <w:pPr>
      <w:ind w:left="720"/>
      <w:contextualSpacing/>
    </w:pPr>
  </w:style>
  <w:style w:type="character" w:styleId="IntenseEmphasis">
    <w:name w:val="Intense Emphasis"/>
    <w:basedOn w:val="DefaultParagraphFont"/>
    <w:uiPriority w:val="21"/>
    <w:qFormat/>
    <w:rsid w:val="0021131E"/>
    <w:rPr>
      <w:i/>
      <w:iCs/>
      <w:color w:val="0F4761" w:themeColor="accent1" w:themeShade="BF"/>
    </w:rPr>
  </w:style>
  <w:style w:type="paragraph" w:styleId="IntenseQuote">
    <w:name w:val="Intense Quote"/>
    <w:basedOn w:val="Normal"/>
    <w:next w:val="Normal"/>
    <w:link w:val="IntenseQuoteChar"/>
    <w:uiPriority w:val="30"/>
    <w:qFormat/>
    <w:rsid w:val="00211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31E"/>
    <w:rPr>
      <w:i/>
      <w:iCs/>
      <w:color w:val="0F4761" w:themeColor="accent1" w:themeShade="BF"/>
    </w:rPr>
  </w:style>
  <w:style w:type="character" w:styleId="IntenseReference">
    <w:name w:val="Intense Reference"/>
    <w:basedOn w:val="DefaultParagraphFont"/>
    <w:uiPriority w:val="32"/>
    <w:qFormat/>
    <w:rsid w:val="0021131E"/>
    <w:rPr>
      <w:b/>
      <w:bCs/>
      <w:smallCaps/>
      <w:color w:val="0F4761" w:themeColor="accent1" w:themeShade="BF"/>
      <w:spacing w:val="5"/>
    </w:rPr>
  </w:style>
  <w:style w:type="table" w:styleId="TableGrid">
    <w:name w:val="Table Grid"/>
    <w:basedOn w:val="TableNormal"/>
    <w:uiPriority w:val="39"/>
    <w:rsid w:val="00C73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538</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Dean</dc:creator>
  <cp:keywords/>
  <dc:description/>
  <cp:lastModifiedBy>Jay Dean</cp:lastModifiedBy>
  <cp:revision>2</cp:revision>
  <dcterms:created xsi:type="dcterms:W3CDTF">2026-10-17T15:00:00Z</dcterms:created>
  <dcterms:modified xsi:type="dcterms:W3CDTF">2026-10-17T15:13:00Z</dcterms:modified>
</cp:coreProperties>
</file>