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CHARTER</w:t>
      </w:r>
    </w:p>
    <w:p>
      <w:r>
        <w:rPr>
          <w:b/>
        </w:rPr>
        <w:t>Rite Aid Historical Case Study  |  Version 1.0  |  Draft for Review</w:t>
      </w:r>
    </w:p>
    <w:p>
      <w:r>
        <w:t>INDEPENDENT EDUCATIONAL SIMULATION  •  NOT AFFILIATED WITH OR ENDORSED BY RITE AID</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Document control</w:t>
            </w:r>
          </w:p>
        </w:tc>
        <w:tc>
          <w:tcPr>
            <w:tcW w:type="dxa" w:w="4939"/>
            <w:vAlign w:val="center"/>
          </w:tcPr>
          <w:p>
            <w:r>
              <w:t>Detail</w:t>
            </w:r>
          </w:p>
        </w:tc>
      </w:tr>
      <w:tr>
        <w:tc>
          <w:tcPr>
            <w:tcW w:type="dxa" w:w="4939"/>
            <w:vAlign w:val="center"/>
          </w:tcPr>
          <w:p>
            <w:r>
              <w:t>Document owner (simulation)</w:t>
            </w:r>
          </w:p>
        </w:tc>
        <w:tc>
          <w:tcPr>
            <w:tcW w:type="dxa" w:w="4939"/>
            <w:vAlign w:val="center"/>
          </w:tcPr>
          <w:p>
            <w:r>
              <w:t>AI Governance Committee / Executive Sponsor</w:t>
            </w:r>
          </w:p>
        </w:tc>
      </w:tr>
      <w:tr>
        <w:tc>
          <w:tcPr>
            <w:tcW w:type="dxa" w:w="4939"/>
            <w:vAlign w:val="center"/>
          </w:tcPr>
          <w:p>
            <w:r>
              <w:t>Status</w:t>
            </w:r>
          </w:p>
        </w:tc>
        <w:tc>
          <w:tcPr>
            <w:tcW w:type="dxa" w:w="4939"/>
            <w:vAlign w:val="center"/>
          </w:tcPr>
          <w:p>
            <w:r>
              <w:t>Draft for portfolio review — no real-world approval or implementation</w:t>
            </w:r>
          </w:p>
        </w:tc>
      </w:tr>
      <w:tr>
        <w:tc>
          <w:tcPr>
            <w:tcW w:type="dxa" w:w="4939"/>
            <w:vAlign w:val="center"/>
          </w:tcPr>
          <w:p>
            <w:r>
              <w:t>Prepared</w:t>
            </w:r>
          </w:p>
        </w:tc>
        <w:tc>
          <w:tcPr>
            <w:tcW w:type="dxa" w:w="4939"/>
            <w:vAlign w:val="center"/>
          </w:tcPr>
          <w:p>
            <w:r>
              <w:t>21 October 2026</w:t>
            </w:r>
          </w:p>
        </w:tc>
      </w:tr>
      <w:tr>
        <w:tc>
          <w:tcPr>
            <w:tcW w:type="dxa" w:w="4939"/>
            <w:vAlign w:val="center"/>
          </w:tcPr>
          <w:p>
            <w:r>
              <w:t>Scope</w:t>
            </w:r>
          </w:p>
        </w:tc>
        <w:tc>
          <w:tcPr>
            <w:tcW w:type="dxa" w:w="4939"/>
            <w:vAlign w:val="center"/>
          </w:tcPr>
          <w:p>
            <w:r>
              <w:t>Organization-wide AI; historical facial recognition case as principal example</w:t>
            </w:r>
          </w:p>
        </w:tc>
      </w:tr>
      <w:tr>
        <w:tc>
          <w:tcPr>
            <w:tcW w:type="dxa" w:w="4939"/>
            <w:vAlign w:val="center"/>
          </w:tcPr>
          <w:p>
            <w:r>
              <w:t>Review cycle</w:t>
            </w:r>
          </w:p>
        </w:tc>
        <w:tc>
          <w:tcPr>
            <w:tcW w:type="dxa" w:w="4939"/>
            <w:vAlign w:val="center"/>
          </w:tcPr>
          <w:p>
            <w:r>
              <w:t>Annual and event-triggered (proposed)</w:t>
            </w:r>
          </w:p>
        </w:tc>
      </w:tr>
    </w:tbl>
    <w:p/>
    <w:p>
      <w:pPr>
        <w:pStyle w:val="Heading1"/>
      </w:pPr>
      <w:r>
        <w:t>1  Purpose and objectives</w:t>
      </w:r>
    </w:p>
    <w:p>
      <w:r>
        <w:t>This proposed charter establishes oversight, accountability, decision rights and operational safeguards for the identification, development, procurement, deployment, use, monitoring and retirement of AI systems. It aims to protect consumers and other affected persons, align AI use with business objectives, and support risk-based decisions that can be evidenced and independently reviewed.</w:t>
      </w:r>
    </w:p>
    <w:p>
      <w:pPr>
        <w:pStyle w:val="Heading1"/>
      </w:pPr>
      <w:r>
        <w:t>2  Historical case background — sourced facts and allegations</w:t>
      </w:r>
    </w:p>
    <w:p>
      <w:r>
        <w:t>The FTC stated in its December 2023 complaint that Rite Aid deployed AI-based facial recognition between 2012 and 2020 for identifying customers believed to be associated with shoplifting or other problematic behavior. The FTC alleged false-positive matches, inadequate pre-deployment accuracy assessment, insufficient ongoing monitoring and employee training, and consumer harms. These statements describe FTC allegations, not independent findings from this simulation. [1, 2]</w:t>
      </w:r>
    </w:p>
    <w:p>
      <w:r>
        <w:t>The FTC case page records a stipulated order dated March 8, 2024, including a five-year prohibition on facial recognition for security or surveillance purposes and obligations relating to biometric-system safeguards and information security. Binding requirements must be interpreted from the actual court order and applicable law, not inferred from this simulated charter. [1]</w:t>
      </w:r>
    </w:p>
    <w:p>
      <w:r>
        <w:t>The program described below is hypothetical. It does not represent Rite Aid’s current operations, governance, staffing, controls or compliance status.</w:t>
      </w:r>
    </w:p>
    <w:p>
      <w:pPr>
        <w:pStyle w:val="Heading1"/>
      </w:pPr>
      <w:r>
        <w:t>3  Scope and applicability — approved design decision 1</w:t>
      </w:r>
    </w:p>
    <w:p>
      <w:r>
        <w:t>This simulated charter applies to all AI systems used, acquired, configured or materially modified by the organization, whether built internally or supplied by a third party. Scope includes customer-facing, employee-facing, operational and decision-support AI. Facial recognition and associated biometric use cases receive enhanced scrutiny as the primary historical illustration.</w:t>
      </w:r>
    </w:p>
    <w:p>
      <w:r>
        <w:t>Every proposed AI use shall enter an inventory/intake process. The inventory will identify purpose, owner, vendor, affected population, data types, business context, decision impact, risk tier and lifecycle status. Detailed forms and assessment methods will be created as separate portfolio artifacts.</w:t>
      </w:r>
    </w:p>
    <w:p>
      <w:pPr>
        <w:pStyle w:val="Heading1"/>
      </w:pPr>
      <w:r>
        <w:t>4  Governance structure and responsibilities — approved decision 2</w:t>
      </w:r>
    </w:p>
    <w:p>
      <w:r>
        <w:t>A cross-functional AI Governance Committee oversees the proposed program. Membership includes business leadership, Information Security/GRC, IT, Legal, Privacy and relevant system or data owners. Internal Audit retains independent assurance responsibilities rather than approving its own work.</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Role</w:t>
            </w:r>
          </w:p>
        </w:tc>
        <w:tc>
          <w:tcPr>
            <w:tcW w:type="dxa" w:w="4939"/>
            <w:vAlign w:val="center"/>
          </w:tcPr>
          <w:p>
            <w:r>
              <w:t>Proposed accountability</w:t>
            </w:r>
          </w:p>
        </w:tc>
      </w:tr>
      <w:tr>
        <w:tc>
          <w:tcPr>
            <w:tcW w:type="dxa" w:w="4939"/>
            <w:vAlign w:val="center"/>
          </w:tcPr>
          <w:p>
            <w:r>
              <w:t>Executive sponsor</w:t>
            </w:r>
          </w:p>
        </w:tc>
        <w:tc>
          <w:tcPr>
            <w:tcW w:type="dxa" w:w="4939"/>
            <w:vAlign w:val="center"/>
          </w:tcPr>
          <w:p>
            <w:r>
              <w:t>Provides authority/resources; approves charter and material policy changes; receives escalations.</w:t>
            </w:r>
          </w:p>
        </w:tc>
      </w:tr>
      <w:tr>
        <w:tc>
          <w:tcPr>
            <w:tcW w:type="dxa" w:w="4939"/>
            <w:vAlign w:val="center"/>
          </w:tcPr>
          <w:p>
            <w:r>
              <w:t>AI Governance Committee</w:t>
            </w:r>
          </w:p>
        </w:tc>
        <w:tc>
          <w:tcPr>
            <w:tcW w:type="dxa" w:w="4939"/>
            <w:vAlign w:val="center"/>
          </w:tcPr>
          <w:p>
            <w:r>
              <w:t>Sets risk tolerance within delegated authority; reviews high-risk assessments, approvals, incidents and policy exceptions.</w:t>
            </w:r>
          </w:p>
        </w:tc>
      </w:tr>
      <w:tr>
        <w:tc>
          <w:tcPr>
            <w:tcW w:type="dxa" w:w="4939"/>
            <w:vAlign w:val="center"/>
          </w:tcPr>
          <w:p>
            <w:r>
              <w:t>AI system owner</w:t>
            </w:r>
          </w:p>
        </w:tc>
        <w:tc>
          <w:tcPr>
            <w:tcW w:type="dxa" w:w="4939"/>
            <w:vAlign w:val="center"/>
          </w:tcPr>
          <w:p>
            <w:r>
              <w:t>Owns purpose, inventory accuracy, controls, oversight, remediation and evidence.</w:t>
            </w:r>
          </w:p>
        </w:tc>
      </w:tr>
      <w:tr>
        <w:tc>
          <w:tcPr>
            <w:tcW w:type="dxa" w:w="4939"/>
            <w:vAlign w:val="center"/>
          </w:tcPr>
          <w:p>
            <w:r>
              <w:t>Information Security / GRC</w:t>
            </w:r>
          </w:p>
        </w:tc>
        <w:tc>
          <w:tcPr>
            <w:tcW w:type="dxa" w:w="4939"/>
            <w:vAlign w:val="center"/>
          </w:tcPr>
          <w:p>
            <w:r>
              <w:t>Challenges risk ratings; checks control evidence; maintains risk register and reporting.</w:t>
            </w:r>
          </w:p>
        </w:tc>
      </w:tr>
      <w:tr>
        <w:tc>
          <w:tcPr>
            <w:tcW w:type="dxa" w:w="4939"/>
            <w:vAlign w:val="center"/>
          </w:tcPr>
          <w:p>
            <w:r>
              <w:t>Legal / Privacy</w:t>
            </w:r>
          </w:p>
        </w:tc>
        <w:tc>
          <w:tcPr>
            <w:tcW w:type="dxa" w:w="4939"/>
            <w:vAlign w:val="center"/>
          </w:tcPr>
          <w:p>
            <w:r>
              <w:t>Assesses applicable legal and privacy requirements, consumer impact and notification duties.</w:t>
            </w:r>
          </w:p>
        </w:tc>
      </w:tr>
      <w:tr>
        <w:tc>
          <w:tcPr>
            <w:tcW w:type="dxa" w:w="4939"/>
            <w:vAlign w:val="center"/>
          </w:tcPr>
          <w:p>
            <w:r>
              <w:t>IT / Vendor management</w:t>
            </w:r>
          </w:p>
        </w:tc>
        <w:tc>
          <w:tcPr>
            <w:tcW w:type="dxa" w:w="4939"/>
            <w:vAlign w:val="center"/>
          </w:tcPr>
          <w:p>
            <w:r>
              <w:t>Reviews technical feasibility, security dependencies and vendor assurances.</w:t>
            </w:r>
          </w:p>
        </w:tc>
      </w:tr>
      <w:tr>
        <w:tc>
          <w:tcPr>
            <w:tcW w:type="dxa" w:w="4939"/>
            <w:vAlign w:val="center"/>
          </w:tcPr>
          <w:p>
            <w:r>
              <w:t>Internal Audit</w:t>
            </w:r>
          </w:p>
        </w:tc>
        <w:tc>
          <w:tcPr>
            <w:tcW w:type="dxa" w:w="4939"/>
            <w:vAlign w:val="center"/>
          </w:tcPr>
          <w:p>
            <w:r>
              <w:t>Independently assesses program design and operating effectiveness.</w:t>
            </w:r>
          </w:p>
        </w:tc>
      </w:tr>
    </w:tbl>
    <w:p/>
    <w:p>
      <w:pPr>
        <w:pStyle w:val="Heading1"/>
      </w:pPr>
      <w:r>
        <w:t>5  Risk classification and deployment authority — approved decision 3</w:t>
      </w:r>
    </w:p>
    <w:p>
      <w:r>
        <w:t>AI systems are assigned Low, Moderate, High or Critical risk tiers through a documented assessment of intended use, likelihood, severity, uncertainty, affected populations, legal constraints, system reliability and potential rights or safety impacts. Risk ratings require stated rationale and supporting evidence.</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Risk tier</w:t>
            </w:r>
          </w:p>
        </w:tc>
        <w:tc>
          <w:tcPr>
            <w:tcW w:type="dxa" w:w="4939"/>
            <w:vAlign w:val="center"/>
          </w:tcPr>
          <w:p>
            <w:r>
              <w:t>Proposed approval gate</w:t>
            </w:r>
          </w:p>
        </w:tc>
      </w:tr>
      <w:tr>
        <w:tc>
          <w:tcPr>
            <w:tcW w:type="dxa" w:w="4939"/>
            <w:vAlign w:val="center"/>
          </w:tcPr>
          <w:p>
            <w:r>
              <w:t>Low</w:t>
            </w:r>
          </w:p>
        </w:tc>
        <w:tc>
          <w:tcPr>
            <w:tcW w:type="dxa" w:w="4939"/>
            <w:vAlign w:val="center"/>
          </w:tcPr>
          <w:p>
            <w:r>
              <w:t>System owner sign-off and inventory documentation.</w:t>
            </w:r>
          </w:p>
        </w:tc>
      </w:tr>
      <w:tr>
        <w:tc>
          <w:tcPr>
            <w:tcW w:type="dxa" w:w="4939"/>
            <w:vAlign w:val="center"/>
          </w:tcPr>
          <w:p>
            <w:r>
              <w:t>Moderate</w:t>
            </w:r>
          </w:p>
        </w:tc>
        <w:tc>
          <w:tcPr>
            <w:tcW w:type="dxa" w:w="4939"/>
            <w:vAlign w:val="center"/>
          </w:tcPr>
          <w:p>
            <w:r>
              <w:t>System owner approval with GRC review.</w:t>
            </w:r>
          </w:p>
        </w:tc>
      </w:tr>
      <w:tr>
        <w:tc>
          <w:tcPr>
            <w:tcW w:type="dxa" w:w="4939"/>
            <w:vAlign w:val="center"/>
          </w:tcPr>
          <w:p>
            <w:r>
              <w:t>High</w:t>
            </w:r>
          </w:p>
        </w:tc>
        <w:tc>
          <w:tcPr>
            <w:tcW w:type="dxa" w:w="4939"/>
            <w:vAlign w:val="center"/>
          </w:tcPr>
          <w:p>
            <w:r>
              <w:t>BEFORE deployment: documented impact assessment, approved human oversight plan and formal AI Governance Committee approval.</w:t>
            </w:r>
          </w:p>
        </w:tc>
      </w:tr>
      <w:tr>
        <w:tc>
          <w:tcPr>
            <w:tcW w:type="dxa" w:w="4939"/>
            <w:vAlign w:val="center"/>
          </w:tcPr>
          <w:p>
            <w:r>
              <w:t>Critical</w:t>
            </w:r>
          </w:p>
        </w:tc>
        <w:tc>
          <w:tcPr>
            <w:tcW w:type="dxa" w:w="4939"/>
            <w:vAlign w:val="center"/>
          </w:tcPr>
          <w:p>
            <w:r>
              <w:t>Deployment blocked pending risk reduction and elevated executive/legal review. No approval overrides applicable prohibitions.</w:t>
            </w:r>
          </w:p>
        </w:tc>
      </w:tr>
    </w:tbl>
    <w:p/>
    <w:p>
      <w:r>
        <w:t>High-risk approvals record the decision, rationale, controls, testing evidence, unresolved risks, monitoring plan, conditions, authorized approvers and review date. A failed mandatory gate prevents deployment. A risk-acceptance exception is not a substitute for required high-risk controls or legal compliance.</w:t>
      </w:r>
    </w:p>
    <w:p>
      <w:pPr>
        <w:pStyle w:val="Heading1"/>
      </w:pPr>
      <w:r>
        <w:t>6  Monitoring, evidence and reporting — approved decision 4</w:t>
      </w:r>
    </w:p>
    <w:p>
      <w:r>
        <w:t>Each high-risk AI system undergoes a formal documented review at least monthly. Monitoring covers performance and error rates, accuracy and false positives, fairness and disparate impacts, privacy and security incidents, customer complaints, data quality, system drift and human oversight effectiveness. Continuous automated alerts will be used where feasible and proportionate; their thresholds, recipients and escalation routes must be defined and tested.</w:t>
      </w:r>
    </w:p>
    <w:p>
      <w:r>
        <w:t>System owners provide review results and corrective actions to GRC. Significant deviations are escalated promptly to the AI Governance Committee; trends and unresolved high-priority risks are summarized for executive leadership. Owners preserve reproducible evidence, decisions, exception records and mitigation outcomes under an approved retention schedule.</w:t>
      </w:r>
    </w:p>
    <w:p>
      <w:pPr>
        <w:pStyle w:val="Heading1"/>
      </w:pPr>
      <w:r>
        <w:t>7  Incident response, suspension and restart — approved decision 5</w:t>
      </w:r>
    </w:p>
    <w:p>
      <w:r>
        <w:t>Following a serious AI-related incident, the affected high-risk AI function is immediately suspended to prevent further harm. Responsible teams preserve relevant evidence, inform Security/GRC and Legal/Privacy, assess affected persons, investigate root causes and document remediation and any legally required communications.</w:t>
      </w:r>
    </w:p>
    <w:p>
      <w:r>
        <w:t>The function shall not restart until corrective actions and controls are verified, residual risk has been reviewed, and designated authorities issue documented approval. Where applicable law or an order prohibits a use case, restart is not permitted irrespective of committee approval.</w:t>
      </w:r>
    </w:p>
    <w:p>
      <w:pPr>
        <w:pStyle w:val="Heading1"/>
      </w:pPr>
      <w:r>
        <w:t>8  Charter review and change management — approved decision 6</w:t>
      </w:r>
    </w:p>
    <w:p>
      <w:r>
        <w:t>The AI Governance Committee reviews this charter at least annually, with additional reviews triggered by material regulatory changes, serious AI incidents or significant changes in AI technology, purpose or deployment. Proposed changes undergo Legal/Privacy and GRC review, committee deliberation and final designated executive authorization. Version history, effective dates and evidence of approval are maintained.</w:t>
      </w:r>
    </w:p>
    <w:p>
      <w:pPr>
        <w:pStyle w:val="Heading1"/>
      </w:pPr>
      <w:r>
        <w:t>9  Lifecycle handoffs and portfolio deliverables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Companion artifact</w:t>
            </w:r>
          </w:p>
        </w:tc>
        <w:tc>
          <w:tcPr>
            <w:tcW w:type="dxa" w:w="4939"/>
            <w:vAlign w:val="center"/>
          </w:tcPr>
          <w:p>
            <w:r>
              <w:t>Relationship to charter</w:t>
            </w:r>
          </w:p>
        </w:tc>
      </w:tr>
      <w:tr>
        <w:tc>
          <w:tcPr>
            <w:tcW w:type="dxa" w:w="4939"/>
            <w:vAlign w:val="center"/>
          </w:tcPr>
          <w:p>
            <w:r>
              <w:t>AI governance gap assessment</w:t>
            </w:r>
          </w:p>
        </w:tc>
        <w:tc>
          <w:tcPr>
            <w:tcW w:type="dxa" w:w="4939"/>
            <w:vAlign w:val="center"/>
          </w:tcPr>
          <w:p>
            <w:r>
              <w:t>Historical risks and governance design opportunities.</w:t>
            </w:r>
          </w:p>
        </w:tc>
      </w:tr>
      <w:tr>
        <w:tc>
          <w:tcPr>
            <w:tcW w:type="dxa" w:w="4939"/>
            <w:vAlign w:val="center"/>
          </w:tcPr>
          <w:p>
            <w:r>
              <w:t>AI risk register</w:t>
            </w:r>
          </w:p>
        </w:tc>
        <w:tc>
          <w:tcPr>
            <w:tcW w:type="dxa" w:w="4939"/>
            <w:vAlign w:val="center"/>
          </w:tcPr>
          <w:p>
            <w:r>
              <w:t>Risk descriptions, owners, treatment, evidence and status.</w:t>
            </w:r>
          </w:p>
        </w:tc>
      </w:tr>
      <w:tr>
        <w:tc>
          <w:tcPr>
            <w:tcW w:type="dxa" w:w="4939"/>
            <w:vAlign w:val="center"/>
          </w:tcPr>
          <w:p>
            <w:r>
              <w:t>AI inventory and intake</w:t>
            </w:r>
          </w:p>
        </w:tc>
        <w:tc>
          <w:tcPr>
            <w:tcW w:type="dxa" w:w="4939"/>
            <w:vAlign w:val="center"/>
          </w:tcPr>
          <w:p>
            <w:r>
              <w:t>System registration and preliminary classification.</w:t>
            </w:r>
          </w:p>
        </w:tc>
      </w:tr>
      <w:tr>
        <w:tc>
          <w:tcPr>
            <w:tcW w:type="dxa" w:w="4939"/>
            <w:vAlign w:val="center"/>
          </w:tcPr>
          <w:p>
            <w:r>
              <w:t>Risk assessment methodology</w:t>
            </w:r>
          </w:p>
        </w:tc>
        <w:tc>
          <w:tcPr>
            <w:tcW w:type="dxa" w:w="4939"/>
            <w:vAlign w:val="center"/>
          </w:tcPr>
          <w:p>
            <w:r>
              <w:t>Impact, likelihood, fairness, privacy and residual-risk criteria.</w:t>
            </w:r>
          </w:p>
        </w:tc>
      </w:tr>
      <w:tr>
        <w:tc>
          <w:tcPr>
            <w:tcW w:type="dxa" w:w="4939"/>
            <w:vAlign w:val="center"/>
          </w:tcPr>
          <w:p>
            <w:r>
              <w:t>Third-party / vendor review</w:t>
            </w:r>
          </w:p>
        </w:tc>
        <w:tc>
          <w:tcPr>
            <w:tcW w:type="dxa" w:w="4939"/>
            <w:vAlign w:val="center"/>
          </w:tcPr>
          <w:p>
            <w:r>
              <w:t>Vendor testing, assurances, responsibilities and contractual controls.</w:t>
            </w:r>
          </w:p>
        </w:tc>
      </w:tr>
      <w:tr>
        <w:tc>
          <w:tcPr>
            <w:tcW w:type="dxa" w:w="4939"/>
            <w:vAlign w:val="center"/>
          </w:tcPr>
          <w:p>
            <w:r>
              <w:t>Control catalog and human oversight plan</w:t>
            </w:r>
          </w:p>
        </w:tc>
        <w:tc>
          <w:tcPr>
            <w:tcW w:type="dxa" w:w="4939"/>
            <w:vAlign w:val="center"/>
          </w:tcPr>
          <w:p>
            <w:r>
              <w:t>Safeguards, training, review points and operational procedures.</w:t>
            </w:r>
          </w:p>
        </w:tc>
      </w:tr>
      <w:tr>
        <w:tc>
          <w:tcPr>
            <w:tcW w:type="dxa" w:w="4939"/>
            <w:vAlign w:val="center"/>
          </w:tcPr>
          <w:p>
            <w:r>
              <w:t>Monitoring and incident tabletop</w:t>
            </w:r>
          </w:p>
        </w:tc>
        <w:tc>
          <w:tcPr>
            <w:tcW w:type="dxa" w:w="4939"/>
            <w:vAlign w:val="center"/>
          </w:tcPr>
          <w:p>
            <w:r>
              <w:t>Metrics, thresholds, escalation, suspension and restart exercise.</w:t>
            </w:r>
          </w:p>
        </w:tc>
      </w:tr>
      <w:tr>
        <w:tc>
          <w:tcPr>
            <w:tcW w:type="dxa" w:w="4939"/>
            <w:vAlign w:val="center"/>
          </w:tcPr>
          <w:p>
            <w:r>
              <w:t>Implementation roadmap</w:t>
            </w:r>
          </w:p>
        </w:tc>
        <w:tc>
          <w:tcPr>
            <w:tcW w:type="dxa" w:w="4939"/>
            <w:vAlign w:val="center"/>
          </w:tcPr>
          <w:p>
            <w:r>
              <w:t>Sequencing, staffing assumptions, milestones and evidence of completion.</w:t>
            </w:r>
          </w:p>
        </w:tc>
      </w:tr>
    </w:tbl>
    <w:p/>
    <w:p>
      <w:pPr>
        <w:pStyle w:val="Heading1"/>
      </w:pPr>
      <w:r>
        <w:t>10  NIST AI RMF 1.0 alignment — interpretive mapping</w:t>
      </w:r>
    </w:p>
    <w:p>
      <w:r>
        <w:t>NIST AI RMF 1.0 is voluntary guidance, not a statute or a claim of certification. This mapping is a design rationale, not evidence that any organization implemented these practices. [3, 4]</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AI RMF function</w:t>
            </w:r>
          </w:p>
        </w:tc>
        <w:tc>
          <w:tcPr>
            <w:tcW w:type="dxa" w:w="4939"/>
            <w:vAlign w:val="center"/>
          </w:tcPr>
          <w:p>
            <w:r>
              <w:t>Charter connection</w:t>
            </w:r>
          </w:p>
        </w:tc>
      </w:tr>
      <w:tr>
        <w:tc>
          <w:tcPr>
            <w:tcW w:type="dxa" w:w="4939"/>
            <w:vAlign w:val="center"/>
          </w:tcPr>
          <w:p>
            <w:r>
              <w:t>GOVERN</w:t>
            </w:r>
          </w:p>
        </w:tc>
        <w:tc>
          <w:tcPr>
            <w:tcW w:type="dxa" w:w="4939"/>
            <w:vAlign w:val="center"/>
          </w:tcPr>
          <w:p>
            <w:r>
              <w:t>Committee oversight, defined responsibility, policies and annual review (sections 4 and 8).</w:t>
            </w:r>
          </w:p>
        </w:tc>
      </w:tr>
      <w:tr>
        <w:tc>
          <w:tcPr>
            <w:tcW w:type="dxa" w:w="4939"/>
            <w:vAlign w:val="center"/>
          </w:tcPr>
          <w:p>
            <w:r>
              <w:t>MAP</w:t>
            </w:r>
          </w:p>
        </w:tc>
        <w:tc>
          <w:tcPr>
            <w:tcW w:type="dxa" w:w="4939"/>
            <w:vAlign w:val="center"/>
          </w:tcPr>
          <w:p>
            <w:r>
              <w:t>AI inventory, intended use, context, affected populations and risk tiering (sections 3 and 5).</w:t>
            </w:r>
          </w:p>
        </w:tc>
      </w:tr>
      <w:tr>
        <w:tc>
          <w:tcPr>
            <w:tcW w:type="dxa" w:w="4939"/>
            <w:vAlign w:val="center"/>
          </w:tcPr>
          <w:p>
            <w:r>
              <w:t>MEASURE</w:t>
            </w:r>
          </w:p>
        </w:tc>
        <w:tc>
          <w:tcPr>
            <w:tcW w:type="dxa" w:w="4939"/>
            <w:vAlign w:val="center"/>
          </w:tcPr>
          <w:p>
            <w:r>
              <w:t>Impact assessments, testing, accuracy/fairness metrics and ongoing monitoring (sections 5 and 6).</w:t>
            </w:r>
          </w:p>
        </w:tc>
      </w:tr>
      <w:tr>
        <w:tc>
          <w:tcPr>
            <w:tcW w:type="dxa" w:w="4939"/>
            <w:vAlign w:val="center"/>
          </w:tcPr>
          <w:p>
            <w:r>
              <w:t>MANAGE</w:t>
            </w:r>
          </w:p>
        </w:tc>
        <w:tc>
          <w:tcPr>
            <w:tcW w:type="dxa" w:w="4939"/>
            <w:vAlign w:val="center"/>
          </w:tcPr>
          <w:p>
            <w:r>
              <w:t>Deployment gates, remediation, suspension, risk response and approved restart (sections 5 and 7).</w:t>
            </w:r>
          </w:p>
        </w:tc>
      </w:tr>
    </w:tbl>
    <w:p/>
    <w:p>
      <w:pPr>
        <w:pStyle w:val="Heading1"/>
      </w:pPr>
      <w:r>
        <w:t>11  Decision record and assumptions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Item</w:t>
            </w:r>
          </w:p>
        </w:tc>
        <w:tc>
          <w:tcPr>
            <w:tcW w:type="dxa" w:w="4939"/>
            <w:vAlign w:val="center"/>
          </w:tcPr>
          <w:p>
            <w:r>
              <w:t>Classification</w:t>
            </w:r>
          </w:p>
        </w:tc>
      </w:tr>
      <w:tr>
        <w:tc>
          <w:tcPr>
            <w:tcW w:type="dxa" w:w="4939"/>
            <w:vAlign w:val="center"/>
          </w:tcPr>
          <w:p>
            <w:r>
              <w:t>Scope, committee, approval gates, monitoring, incident and review cadence</w:t>
            </w:r>
          </w:p>
        </w:tc>
        <w:tc>
          <w:tcPr>
            <w:tcW w:type="dxa" w:w="4939"/>
            <w:vAlign w:val="center"/>
          </w:tcPr>
          <w:p>
            <w:r>
              <w:t>User-approved proposed policy design choices; not actual Rite Aid practices.</w:t>
            </w:r>
          </w:p>
        </w:tc>
      </w:tr>
      <w:tr>
        <w:tc>
          <w:tcPr>
            <w:tcW w:type="dxa" w:w="4939"/>
            <w:vAlign w:val="center"/>
          </w:tcPr>
          <w:p>
            <w:r>
              <w:t>Committee memberships, supporting workflows and lifecycle handoffs</w:t>
            </w:r>
          </w:p>
        </w:tc>
        <w:tc>
          <w:tcPr>
            <w:tcW w:type="dxa" w:w="4939"/>
            <w:vAlign w:val="center"/>
          </w:tcPr>
          <w:p>
            <w:r>
              <w:t>Draft design details for reviewer confirmation.</w:t>
            </w:r>
          </w:p>
        </w:tc>
      </w:tr>
      <w:tr>
        <w:tc>
          <w:tcPr>
            <w:tcW w:type="dxa" w:w="4939"/>
            <w:vAlign w:val="center"/>
          </w:tcPr>
          <w:p>
            <w:r>
              <w:t>2023 FTC complaint statements</w:t>
            </w:r>
          </w:p>
        </w:tc>
        <w:tc>
          <w:tcPr>
            <w:tcW w:type="dxa" w:w="4939"/>
            <w:vAlign w:val="center"/>
          </w:tcPr>
          <w:p>
            <w:r>
              <w:t>Allegations attributed to the FTC, not treated as independently proven.</w:t>
            </w:r>
          </w:p>
        </w:tc>
      </w:tr>
      <w:tr>
        <w:tc>
          <w:tcPr>
            <w:tcW w:type="dxa" w:w="4939"/>
            <w:vAlign w:val="center"/>
          </w:tcPr>
          <w:p>
            <w:r>
              <w:t>2024 stipulated order</w:t>
            </w:r>
          </w:p>
        </w:tc>
        <w:tc>
          <w:tcPr>
            <w:tcW w:type="dxa" w:w="4939"/>
            <w:vAlign w:val="center"/>
          </w:tcPr>
          <w:p>
            <w:r>
              <w:t>Legal source; requirements must be verified against operative order text.</w:t>
            </w:r>
          </w:p>
        </w:tc>
      </w:tr>
      <w:tr>
        <w:tc>
          <w:tcPr>
            <w:tcW w:type="dxa" w:w="4939"/>
            <w:vAlign w:val="center"/>
          </w:tcPr>
          <w:p>
            <w:r>
              <w:t>NIST AI RMF 1.0</w:t>
            </w:r>
          </w:p>
        </w:tc>
        <w:tc>
          <w:tcPr>
            <w:tcW w:type="dxa" w:w="4939"/>
            <w:vAlign w:val="center"/>
          </w:tcPr>
          <w:p>
            <w:r>
              <w:t>Voluntary risk-management guidance.</w:t>
            </w:r>
          </w:p>
        </w:tc>
      </w:tr>
    </w:tbl>
    <w:p/>
    <w:p>
      <w:pPr>
        <w:pStyle w:val="Heading1"/>
      </w:pPr>
      <w:r>
        <w:t>Sources and verification notes</w:t>
      </w:r>
    </w:p>
    <w:p>
      <w:r>
        <w:t>[1] Federal Trade Commission, Rite Aid Corporation, FTC v., case page (includes complaint, March 8, 2024 stipulated order and case summary). https://www.ftc.gov/legal-library/browse/cases-proceedings/2023190-rite-aid-corporation-ftc-v</w:t>
      </w:r>
    </w:p>
    <w:p>
      <w:r>
        <w:t>[2] Federal Trade Commission, “Rite Aid Banned from Using AI Facial Recognition After FTC Says Retailer Deployed Technology without Reasonable Safeguards,” December 19, 2023. https://www.ftc.gov/news-events/news/press-releases/2023/12/rite-aid-banned-using-ai-facial-recognition-after-ftc-says-retailer-deployed-technology-without</w:t>
      </w:r>
    </w:p>
    <w:p>
      <w:r>
        <w:t>[3] National Institute of Standards and Technology, AI Risk Management Framework (AI RMF 1.0), NIST AI 100-1, January 26, 2023. https://doi.org/10.6028/NIST.AI.100-1</w:t>
      </w:r>
    </w:p>
    <w:p>
      <w:r>
        <w:t>[4] NIST AI RMF Playbook, voluntary suggested actions corresponding to GOVERN, MAP, MEASURE, MANAGE. https://airc.nist.gov/airmf-resources/playbook/</w:t>
      </w:r>
    </w:p>
    <w:p>
      <w:r>
        <w:t>Research basis checked 21 October 2026. This draft requires reviewer sign-off and is not legal advice.</w:t>
      </w:r>
    </w:p>
    <w:sectPr w:rsidR="00FC693F" w:rsidRPr="0006063C" w:rsidSect="00034616">
      <w:footerReference w:type="default" r:id="rId9"/>
      <w:pgSz w:w="12240" w:h="15840"/>
      <w:pgMar w:top="1152"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GOVERNANCE CHARTER  •  INDEPENDENT HISTORICAL EDUCATIONAL SIMULATION  •  DRAFT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14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31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31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Rite Aid AI Governance Charter - Independent Educational Simulation</dc:title>
  <dc:subject>Historical AI governance case study, draft for portfolio review</dc:subject>
  <dc:creator>Agent Flamez — Portfolio Simulation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