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INVENTORY &amp; INTAKE PROCEDURE</w:t>
      </w:r>
    </w:p>
    <w:p>
      <w:pPr>
        <w:pStyle w:val="Subtitle"/>
      </w:pPr>
      <w:r>
        <w:t>DOCUMENT 4B  |  VERSION 1.0  |  21 OCTOBER 2026</w:t>
      </w:r>
    </w:p>
    <w:p>
      <w:pPr/>
      <w:r>
        <w:t>Independent historical Rite Aid AI governance educational simulation. Not affiliated with, endorsed by, or representative of Rite Aid’s current practices.</w:t>
      </w:r>
    </w:p>
    <w:p>
      <w:pPr>
        <w:pStyle w:val="Heading1"/>
      </w:pPr>
      <w:r>
        <w:t>1. Purpose, applicability and document status</w:t>
      </w:r>
    </w:p>
    <w:p>
      <w:r>
        <w:t>This proposed procedure establishes an auditable process to identify, register, assess, authorize, monitor, update, suspend and retire AI systems. It covers all proposed AI systems, regardless of vendor, business function or initial risk rating. Intake must occur before purchase, deployment or organizational introduction. This is a simulated operating design, not an assertion that Rite Aid used it.</w:t>
      </w:r>
    </w:p>
    <w:p>
      <w:r>
        <w:t>Related approved portfolio artifacts: Document 1 — AI Governance Gap Assessment; Document 2 — AI Risk Register; Document 3 — AI Governance Charter V1. The companion workbook, Document 4A — AI System Inventory V1, is the demonstration record.</w:t>
      </w:r>
    </w:p>
    <w:p>
      <w:pPr>
        <w:pStyle w:val="Heading1"/>
      </w:pPr>
      <w:r>
        <w:t>2. Evidence boundaries and historical context</w:t>
      </w:r>
    </w:p>
    <w:p>
      <w:r>
        <w:t>Historical source context: The U.S. Federal Trade Commission brought a case involving Rite Aid’s use of facial recognition technology. The FTC case record and related order should be consulted for precise allegations, findings and binding restrictions. This procedure does not attribute any of the proposed governance steps, inventory fields, approvals, or fictional sample systems to Rite Aid.</w:t>
      </w:r>
    </w:p>
    <w:p>
      <w:r>
        <w:t>AI-001 is an illustrative inventory record based on the subject of the historical facial recognition case, not a recovered operational record. AI-002 through AI-005 (chatbot, scheduling, forecasting and cyber monitoring) are wholly hypothetical use cases. All sample approvals, owners, implementation dates, evidence and testing outcomes remain unverified or blank.</w:t>
      </w:r>
    </w:p>
    <w:p>
      <w:r>
        <w:t>Legal gate: No internal assessment, conditional approval or risk acceptance can override applicable law, enforceable orders or prohibitions. Any proposed real-world facial-recognition use would require a separate legal determination before consideration of authorization.</w:t>
      </w:r>
    </w:p>
    <w:p>
      <w:pPr>
        <w:pStyle w:val="Heading1"/>
      </w:pPr>
      <w:r>
        <w:t>3. Accountabilities and access</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Role</w:t>
            </w:r>
          </w:p>
        </w:tc>
        <w:tc>
          <w:tcPr>
            <w:tcW w:type="dxa" w:w="4853"/>
          </w:tcPr>
          <w:p>
            <w:r>
              <w:t>Accountability</w:t>
            </w:r>
          </w:p>
        </w:tc>
      </w:tr>
      <w:tr>
        <w:tc>
          <w:tcPr>
            <w:tcW w:type="dxa" w:w="4853"/>
          </w:tcPr>
          <w:p>
            <w:r>
              <w:t>Business Owner</w:t>
            </w:r>
          </w:p>
        </w:tc>
        <w:tc>
          <w:tcPr>
            <w:tcW w:type="dxa" w:w="4853"/>
          </w:tcPr>
          <w:p>
            <w:r>
              <w:t>Named owner for purpose, appropriate use, business risks, change requests and review participation.</w:t>
            </w:r>
          </w:p>
        </w:tc>
      </w:tr>
      <w:tr>
        <w:tc>
          <w:tcPr>
            <w:tcW w:type="dxa" w:w="4853"/>
          </w:tcPr>
          <w:p>
            <w:r>
              <w:t>Technical Owner</w:t>
            </w:r>
          </w:p>
        </w:tc>
        <w:tc>
          <w:tcPr>
            <w:tcW w:type="dxa" w:w="4853"/>
          </w:tcPr>
          <w:p>
            <w:r>
              <w:t>Named owner for technical operation, controls, technical changes and monitoring.</w:t>
            </w:r>
          </w:p>
        </w:tc>
      </w:tr>
      <w:tr>
        <w:tc>
          <w:tcPr>
            <w:tcW w:type="dxa" w:w="4853"/>
          </w:tcPr>
          <w:p>
            <w:r>
              <w:t>GRC</w:t>
            </w:r>
          </w:p>
        </w:tc>
        <w:tc>
          <w:tcPr>
            <w:tcW w:type="dxa" w:w="4853"/>
          </w:tcPr>
          <w:p>
            <w:r>
              <w:t>Intake administration, inventory registration, four-factor risk review, gap tracking and evidence retention.</w:t>
            </w:r>
          </w:p>
        </w:tc>
      </w:tr>
      <w:tr>
        <w:tc>
          <w:tcPr>
            <w:tcW w:type="dxa" w:w="4853"/>
          </w:tcPr>
          <w:p>
            <w:r>
              <w:t>Security / Privacy / Legal</w:t>
            </w:r>
          </w:p>
        </w:tc>
        <w:tc>
          <w:tcPr>
            <w:tcW w:type="dxa" w:w="4853"/>
          </w:tcPr>
          <w:p>
            <w:r>
              <w:t>Subject-matter review where required; verify relevant data protection, security and legal conditions.</w:t>
            </w:r>
          </w:p>
        </w:tc>
      </w:tr>
      <w:tr>
        <w:tc>
          <w:tcPr>
            <w:tcW w:type="dxa" w:w="4853"/>
          </w:tcPr>
          <w:p>
            <w:r>
              <w:t>AI Governance Committee</w:t>
            </w:r>
          </w:p>
        </w:tc>
        <w:tc>
          <w:tcPr>
            <w:tcW w:type="dxa" w:w="4853"/>
          </w:tcPr>
          <w:p>
            <w:r>
              <w:t>Approve High systems; jointly approve Critical systems with executive leadership.</w:t>
            </w:r>
          </w:p>
        </w:tc>
      </w:tr>
      <w:tr>
        <w:tc>
          <w:tcPr>
            <w:tcW w:type="dxa" w:w="4853"/>
          </w:tcPr>
          <w:p>
            <w:r>
              <w:t>Executive Leadership</w:t>
            </w:r>
          </w:p>
        </w:tc>
        <w:tc>
          <w:tcPr>
            <w:tcW w:type="dxa" w:w="4853"/>
          </w:tcPr>
          <w:p>
            <w:r>
              <w:t>Joint approval for Critical systems, subject to all legal restrictions.</w:t>
            </w:r>
          </w:p>
        </w:tc>
      </w:tr>
      <w:tr>
        <w:tc>
          <w:tcPr>
            <w:tcW w:type="dxa" w:w="4853"/>
          </w:tcPr>
          <w:p>
            <w:r>
              <w:t>Internal Audit</w:t>
            </w:r>
          </w:p>
        </w:tc>
        <w:tc>
          <w:tcPr>
            <w:tcW w:type="dxa" w:w="4853"/>
          </w:tcPr>
          <w:p>
            <w:r>
              <w:t>Read-only independent assurance; not responsible for operational approvals.</w:t>
            </w:r>
          </w:p>
        </w:tc>
      </w:tr>
    </w:tbl>
    <w:p>
      <w:r>
        <w:t>Proposed access: role-based least privilege; restricted record editing by authorized administrators; appropriate reviewer visibility; read-only Internal Audit access; and logged record changes. Workbook tabs describe these rights only. Enforceable access controls, immutable audit logs and change approvals must be implemented in a suitable controlled platform, not assumed from a local Excel file.</w:t>
      </w:r>
    </w:p>
    <w:p>
      <w:pPr>
        <w:pStyle w:val="Heading1"/>
      </w:pPr>
      <w:r>
        <w:t>4. Required intake data — ten fields</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w:t>
            </w:r>
          </w:p>
        </w:tc>
        <w:tc>
          <w:tcPr>
            <w:tcW w:type="dxa" w:w="4853"/>
          </w:tcPr>
          <w:p>
            <w:r>
              <w:t>Required field</w:t>
            </w:r>
          </w:p>
        </w:tc>
      </w:tr>
      <w:tr>
        <w:tc>
          <w:tcPr>
            <w:tcW w:type="dxa" w:w="4853"/>
          </w:tcPr>
          <w:p>
            <w:r>
              <w:t>1</w:t>
            </w:r>
          </w:p>
        </w:tc>
        <w:tc>
          <w:tcPr>
            <w:tcW w:type="dxa" w:w="4853"/>
          </w:tcPr>
          <w:p>
            <w:r>
              <w:t>AI system name, purpose and business justification</w:t>
            </w:r>
          </w:p>
        </w:tc>
      </w:tr>
      <w:tr>
        <w:tc>
          <w:tcPr>
            <w:tcW w:type="dxa" w:w="4853"/>
          </w:tcPr>
          <w:p>
            <w:r>
              <w:t>2</w:t>
            </w:r>
          </w:p>
        </w:tc>
        <w:tc>
          <w:tcPr>
            <w:tcW w:type="dxa" w:w="4853"/>
          </w:tcPr>
          <w:p>
            <w:r>
              <w:t>Named Business Owner</w:t>
            </w:r>
          </w:p>
        </w:tc>
      </w:tr>
      <w:tr>
        <w:tc>
          <w:tcPr>
            <w:tcW w:type="dxa" w:w="4853"/>
          </w:tcPr>
          <w:p>
            <w:r>
              <w:t>3</w:t>
            </w:r>
          </w:p>
        </w:tc>
        <w:tc>
          <w:tcPr>
            <w:tcW w:type="dxa" w:w="4853"/>
          </w:tcPr>
          <w:p>
            <w:r>
              <w:t>Named Technical Owner</w:t>
            </w:r>
          </w:p>
        </w:tc>
      </w:tr>
      <w:tr>
        <w:tc>
          <w:tcPr>
            <w:tcW w:type="dxa" w:w="4853"/>
          </w:tcPr>
          <w:p>
            <w:r>
              <w:t>4</w:t>
            </w:r>
          </w:p>
        </w:tc>
        <w:tc>
          <w:tcPr>
            <w:tcW w:type="dxa" w:w="4853"/>
          </w:tcPr>
          <w:p>
            <w:r>
              <w:t>Vendor or AI provider</w:t>
            </w:r>
          </w:p>
        </w:tc>
      </w:tr>
      <w:tr>
        <w:tc>
          <w:tcPr>
            <w:tcW w:type="dxa" w:w="4853"/>
          </w:tcPr>
          <w:p>
            <w:r>
              <w:t>5</w:t>
            </w:r>
          </w:p>
        </w:tc>
        <w:tc>
          <w:tcPr>
            <w:tcW w:type="dxa" w:w="4853"/>
          </w:tcPr>
          <w:p>
            <w:r>
              <w:t>Data processed, categories and intended uses</w:t>
            </w:r>
          </w:p>
        </w:tc>
      </w:tr>
      <w:tr>
        <w:tc>
          <w:tcPr>
            <w:tcW w:type="dxa" w:w="4853"/>
          </w:tcPr>
          <w:p>
            <w:r>
              <w:t>6</w:t>
            </w:r>
          </w:p>
        </w:tc>
        <w:tc>
          <w:tcPr>
            <w:tcW w:type="dxa" w:w="4853"/>
          </w:tcPr>
          <w:p>
            <w:r>
              <w:t>Affected individuals or groups</w:t>
            </w:r>
          </w:p>
        </w:tc>
      </w:tr>
      <w:tr>
        <w:tc>
          <w:tcPr>
            <w:tcW w:type="dxa" w:w="4853"/>
          </w:tcPr>
          <w:p>
            <w:r>
              <w:t>7</w:t>
            </w:r>
          </w:p>
        </w:tc>
        <w:tc>
          <w:tcPr>
            <w:tcW w:type="dxa" w:w="4853"/>
          </w:tcPr>
          <w:p>
            <w:r>
              <w:t>AI-supported decisions, human oversight and intervention</w:t>
            </w:r>
          </w:p>
        </w:tc>
      </w:tr>
      <w:tr>
        <w:tc>
          <w:tcPr>
            <w:tcW w:type="dxa" w:w="4853"/>
          </w:tcPr>
          <w:p>
            <w:r>
              <w:t>8</w:t>
            </w:r>
          </w:p>
        </w:tc>
        <w:tc>
          <w:tcPr>
            <w:tcW w:type="dxa" w:w="4853"/>
          </w:tcPr>
          <w:p>
            <w:r>
              <w:t>Risks and proposed safeguards</w:t>
            </w:r>
          </w:p>
        </w:tc>
      </w:tr>
      <w:tr>
        <w:tc>
          <w:tcPr>
            <w:tcW w:type="dxa" w:w="4853"/>
          </w:tcPr>
          <w:p>
            <w:r>
              <w:t>9</w:t>
            </w:r>
          </w:p>
        </w:tc>
        <w:tc>
          <w:tcPr>
            <w:tcW w:type="dxa" w:w="4853"/>
          </w:tcPr>
          <w:p>
            <w:r>
              <w:t>Proposed deployment date</w:t>
            </w:r>
          </w:p>
        </w:tc>
      </w:tr>
      <w:tr>
        <w:tc>
          <w:tcPr>
            <w:tcW w:type="dxa" w:w="4853"/>
          </w:tcPr>
          <w:p>
            <w:r>
              <w:t>10</w:t>
            </w:r>
          </w:p>
        </w:tc>
        <w:tc>
          <w:tcPr>
            <w:tcW w:type="dxa" w:w="4853"/>
          </w:tcPr>
          <w:p>
            <w:r>
              <w:t>Supporting vendor, privacy, security and assessment documentation</w:t>
            </w:r>
          </w:p>
        </w:tc>
      </w:tr>
    </w:tbl>
    <w:p>
      <w:r>
        <w:t>Each field must be addressed. “Not applicable” requires justification; “Unknown—requires follow-up” must identify the unresolved item. A request with unresolved material information gaps remains Under Review and may not be Approved or Approved with Conditions.</w:t>
      </w:r>
    </w:p>
    <w:p>
      <w:pPr>
        <w:pStyle w:val="Heading1"/>
      </w:pPr>
      <w:r>
        <w:t>5. Standard intake workflow and service targets</w:t>
      </w:r>
    </w:p>
    <w:p>
      <w:pPr>
        <w:pStyle w:val="Heading2"/>
      </w:pPr>
      <w:r>
        <w:t>1 — Submit</w:t>
      </w:r>
    </w:p>
    <w:p>
      <w:r>
        <w:t>Requester submits all ten fields before any purchase, deployment or introduction. This is a proposed process, not actual submissions.</w:t>
      </w:r>
    </w:p>
    <w:p>
      <w:pPr>
        <w:pStyle w:val="Heading2"/>
      </w:pPr>
      <w:r>
        <w:t>2 — Acknowledge</w:t>
      </w:r>
    </w:p>
    <w:p>
      <w:r>
        <w:t>GRC targets acknowledgment within one business day of submission.</w:t>
      </w:r>
    </w:p>
    <w:p>
      <w:pPr>
        <w:pStyle w:val="Heading2"/>
      </w:pPr>
      <w:r>
        <w:t>3 — Register</w:t>
      </w:r>
    </w:p>
    <w:p>
      <w:r>
        <w:t>GRC assigns intake/system IDs, creates a Proposed inventory record, and verifies named owners.</w:t>
      </w:r>
    </w:p>
    <w:p>
      <w:pPr>
        <w:pStyle w:val="Heading2"/>
      </w:pPr>
      <w:r>
        <w:t>4 — Screen and classify</w:t>
      </w:r>
    </w:p>
    <w:p>
      <w:r>
        <w:t>GRC targets beginning initial review within three business days, assessing impact, likelihood, data sensitivity and human impact with a written rationale.</w:t>
      </w:r>
    </w:p>
    <w:p>
      <w:pPr>
        <w:pStyle w:val="Heading2"/>
      </w:pPr>
      <w:r>
        <w:t>5 — Resolve gaps</w:t>
      </w:r>
    </w:p>
    <w:p>
      <w:r>
        <w:t>Incomplete requests remain Under Review. Each material gap receives an owner, target date, and resolution evidence. Approval remains blocked.</w:t>
      </w:r>
    </w:p>
    <w:p>
      <w:pPr>
        <w:pStyle w:val="Heading2"/>
      </w:pPr>
      <w:r>
        <w:t>6 — Review and authorize</w:t>
      </w:r>
    </w:p>
    <w:p>
      <w:r>
        <w:t>Route to the risk-tier approvers below; check legal restrictions. High systems require a documented impact assessment and human oversight plan before deployment.</w:t>
      </w:r>
    </w:p>
    <w:p>
      <w:pPr>
        <w:pStyle w:val="Heading2"/>
      </w:pPr>
      <w:r>
        <w:t>7 — Record decision</w:t>
      </w:r>
    </w:p>
    <w:p>
      <w:r>
        <w:t>Record risk, approvers, decision date, any restrictions, evidence references, and next review date; no simulated approval is implied.</w:t>
      </w:r>
    </w:p>
    <w:p>
      <w:pPr>
        <w:pStyle w:val="Heading2"/>
      </w:pPr>
      <w:r>
        <w:t>8 — Monitor and maintain</w:t>
      </w:r>
    </w:p>
    <w:p>
      <w:r>
        <w:t>Update for material changes, conduct risk-based reviews and perform high-risk monthly reviews/feasible automated alerts. Reassess before material changes.</w:t>
      </w:r>
    </w:p>
    <w:p>
      <w:pPr>
        <w:pStyle w:val="Heading2"/>
      </w:pPr>
      <w:r>
        <w:t>9 — Respond or retire</w:t>
      </w:r>
    </w:p>
    <w:p>
      <w:r>
        <w:t>After a serious high-risk AI incident, suspend the affected function, investigate and obtain documented restart authorization. Record suspension/retirement.</w:t>
      </w:r>
    </w:p>
    <w:p>
      <w:pPr>
        <w:pStyle w:val="Heading1"/>
      </w:pPr>
      <w:r>
        <w:t>6. Risk determination and approval matrix</w:t>
      </w:r>
    </w:p>
    <w:p>
      <w:r>
        <w:t>The four qualitative assessment factors are impact, likelihood, data sensitivity and human impact. Assign Low, Moderate, High or Critical with evidence-based written rationale; these categories and service targets are the simulation’s design, not NIST-mandated requirements.</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tcPr>
          <w:p>
            <w:r>
              <w:t>Tier</w:t>
            </w:r>
          </w:p>
        </w:tc>
        <w:tc>
          <w:tcPr>
            <w:tcW w:type="dxa" w:w="3235"/>
          </w:tcPr>
          <w:p>
            <w:r>
              <w:t>Required authorization</w:t>
            </w:r>
          </w:p>
        </w:tc>
        <w:tc>
          <w:tcPr>
            <w:tcW w:type="dxa" w:w="3235"/>
          </w:tcPr>
          <w:p>
            <w:r>
              <w:t>Key gates</w:t>
            </w:r>
          </w:p>
        </w:tc>
      </w:tr>
      <w:tr>
        <w:tc>
          <w:tcPr>
            <w:tcW w:type="dxa" w:w="3235"/>
          </w:tcPr>
          <w:p>
            <w:r>
              <w:t>Low</w:t>
            </w:r>
          </w:p>
        </w:tc>
        <w:tc>
          <w:tcPr>
            <w:tcW w:type="dxa" w:w="3235"/>
          </w:tcPr>
          <w:p>
            <w:r>
              <w:t>Business Owner and GRC</w:t>
            </w:r>
          </w:p>
        </w:tc>
        <w:tc>
          <w:tcPr>
            <w:tcW w:type="dxa" w:w="3235"/>
          </w:tcPr>
          <w:p>
            <w:r>
              <w:t>Completed intake and no material gaps.</w:t>
            </w:r>
          </w:p>
        </w:tc>
      </w:tr>
      <w:tr>
        <w:tc>
          <w:tcPr>
            <w:tcW w:type="dxa" w:w="3235"/>
          </w:tcPr>
          <w:p>
            <w:r>
              <w:t>Moderate</w:t>
            </w:r>
          </w:p>
        </w:tc>
        <w:tc>
          <w:tcPr>
            <w:tcW w:type="dxa" w:w="3235"/>
          </w:tcPr>
          <w:p>
            <w:r>
              <w:t>Business Owner, GRC, and relevant Security/Privacy reviewers</w:t>
            </w:r>
          </w:p>
        </w:tc>
        <w:tc>
          <w:tcPr>
            <w:tcW w:type="dxa" w:w="3235"/>
          </w:tcPr>
          <w:p>
            <w:r>
              <w:t>Completed intake, relevant specialty review and no material gaps.</w:t>
            </w:r>
          </w:p>
        </w:tc>
      </w:tr>
      <w:tr>
        <w:tc>
          <w:tcPr>
            <w:tcW w:type="dxa" w:w="3235"/>
          </w:tcPr>
          <w:p>
            <w:r>
              <w:t>High</w:t>
            </w:r>
          </w:p>
        </w:tc>
        <w:tc>
          <w:tcPr>
            <w:tcW w:type="dxa" w:w="3235"/>
          </w:tcPr>
          <w:p>
            <w:r>
              <w:t>AI Governance Committee</w:t>
            </w:r>
          </w:p>
        </w:tc>
        <w:tc>
          <w:tcPr>
            <w:tcW w:type="dxa" w:w="3235"/>
          </w:tcPr>
          <w:p>
            <w:r>
              <w:t>Documented impact assessment, human oversight plan, no material gaps; approval before deployment.</w:t>
            </w:r>
          </w:p>
        </w:tc>
      </w:tr>
      <w:tr>
        <w:tc>
          <w:tcPr>
            <w:tcW w:type="dxa" w:w="3235"/>
          </w:tcPr>
          <w:p>
            <w:r>
              <w:t>Critical</w:t>
            </w:r>
          </w:p>
        </w:tc>
        <w:tc>
          <w:tcPr>
            <w:tcW w:type="dxa" w:w="3235"/>
          </w:tcPr>
          <w:p>
            <w:r>
              <w:t>AI Governance Committee and Executive Leadership</w:t>
            </w:r>
          </w:p>
        </w:tc>
        <w:tc>
          <w:tcPr>
            <w:tcW w:type="dxa" w:w="3235"/>
          </w:tcPr>
          <w:p>
            <w:r>
              <w:t>Enhanced scrutiny; applicable legal restrictions govern regardless of approval.</w:t>
            </w:r>
          </w:p>
        </w:tc>
      </w:tr>
    </w:tbl>
    <w:p>
      <w:r>
        <w:t>Final authorization has no guaranteed turnaround time. The one- and three-business-day targets concern acknowledgment and initial review, not final approval. Rejected or legally prohibited proposals must not be deployed.</w:t>
      </w:r>
    </w:p>
    <w:p>
      <w:pPr>
        <w:pStyle w:val="Heading1"/>
      </w:pPr>
      <w:r>
        <w:t>7. Lifecycle states and audit evidence</w:t>
      </w:r>
    </w:p>
    <w:p>
      <w:r>
        <w:t>Permitted status values: Proposed; Under Review; Approved; Approved with Conditions; Rejected; Suspended; Retired. “Approved with Conditions” is available only where the conditions are legally permissible and all material information gaps have been resolved. It is never a workaround for the high-risk predeployment approval gate.</w:t>
      </w:r>
    </w:p>
    <w:p>
      <w:r>
        <w:t>At each decision or material change, capture the AI System ID, responsible approvers, decision and date, restrictions, supporting evidence references, next review date, and authorized recorder. Preserve change history and avoid overwriting evidence without trace. The companion workbook contains an Inventory, Intake Register, Gap Tracker, Decision Log and Change Log.</w:t>
      </w:r>
    </w:p>
    <w:p>
      <w:pPr>
        <w:pStyle w:val="Heading1"/>
      </w:pPr>
      <w:r>
        <w:t>8. Ongoing review, change control and incident handling</w:t>
      </w:r>
    </w:p>
    <w:p>
      <w:pPr>
        <w:pStyle w:val="ListBullet"/>
      </w:pPr>
      <w:r>
        <w:t>Update inventory records whenever material changes occur in purpose, functionality, provider, data processing, ownership or risk exposure. Reassess and obtain required authorization before implementing material changes.</w:t>
      </w:r>
    </w:p>
    <w:p>
      <w:pPr>
        <w:pStyle w:val="ListBullet"/>
      </w:pPr>
      <w:r>
        <w:t>Conduct scheduled reviews according to risk. High-risk systems require formal monthly reviews and continuous automated alerts where feasible, as established by the approved charter.</w:t>
      </w:r>
    </w:p>
    <w:p>
      <w:pPr>
        <w:pStyle w:val="ListBullet"/>
      </w:pPr>
      <w:r>
        <w:t>Following a serious high-risk AI incident, immediately suspend the affected function; preserve evidence; investigate, remediate and secure documented authorization before restarting.</w:t>
      </w:r>
    </w:p>
    <w:p>
      <w:pPr>
        <w:pStyle w:val="ListBullet"/>
      </w:pPr>
      <w:r>
        <w:t>Record system retirement and relevant records disposition. Review the governing charter annually and after material regulatory changes, serious incidents or significant AI modifications.</w:t>
      </w:r>
    </w:p>
    <w:p>
      <w:pPr>
        <w:pStyle w:val="Heading1"/>
      </w:pPr>
      <w:r>
        <w:t>9. Demonstration inventory and validation checklist</w:t>
      </w:r>
    </w:p>
    <w:p>
      <w:r>
        <w:t>The Excel workbook includes five illustrative systems, all set to Proposed with no claimed approvals: AI-001 facial recognition (historical case subject, illustrative record); AI-002 customer service chatbot; AI-003 employee scheduling; AI-004 inventory forecasting; AI-005 cybersecurity monitoring (AI-002–005 entirely hypothetical). Provisional risk tiers are scenario judgments pending proper assessment. Missing named owners are explicitly flagged.</w:t>
      </w:r>
    </w:p>
    <w:p>
      <w:pPr>
        <w:pStyle w:val="ListBullet"/>
      </w:pPr>
      <w:r>
        <w:t>Verify every inventory row identifies both named owners before any approval.</w:t>
      </w:r>
    </w:p>
    <w:p>
      <w:pPr>
        <w:pStyle w:val="ListBullet"/>
      </w:pPr>
      <w:r>
        <w:t>Check all ten submitted fields; track unknowns with owners and deadlines.</w:t>
      </w:r>
    </w:p>
    <w:p>
      <w:pPr>
        <w:pStyle w:val="ListBullet"/>
      </w:pPr>
      <w:r>
        <w:t>Verify risk justification, required authority and applicable legal constraints.</w:t>
      </w:r>
    </w:p>
    <w:p>
      <w:pPr>
        <w:pStyle w:val="ListBullet"/>
      </w:pPr>
      <w:r>
        <w:t>Ensure approved high-risk systems include impact assessment and oversight plan references.</w:t>
      </w:r>
    </w:p>
    <w:p>
      <w:pPr>
        <w:pStyle w:val="ListBullet"/>
      </w:pPr>
      <w:r>
        <w:t>Confirm approval evidence, restrictions and next review are logged.</w:t>
      </w:r>
    </w:p>
    <w:p>
      <w:pPr>
        <w:pStyle w:val="ListBullet"/>
      </w:pPr>
      <w:r>
        <w:t>Check material changes trigger reassessment before implementation and a change-log record.</w:t>
      </w:r>
    </w:p>
    <w:p>
      <w:pPr>
        <w:pStyle w:val="ListBullet"/>
      </w:pPr>
      <w:r>
        <w:t>Check access entitlements and durable audit logging within the actual system of record.</w:t>
      </w:r>
    </w:p>
    <w:p>
      <w:pPr>
        <w:pStyle w:val="Heading1"/>
      </w:pPr>
      <w:r>
        <w:t>10. NIST AI RMF conceptual alignment</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Function</w:t>
            </w:r>
          </w:p>
        </w:tc>
        <w:tc>
          <w:tcPr>
            <w:tcW w:type="dxa" w:w="4853"/>
          </w:tcPr>
          <w:p>
            <w:r>
              <w:t>Illustrative connection</w:t>
            </w:r>
          </w:p>
        </w:tc>
      </w:tr>
      <w:tr>
        <w:tc>
          <w:tcPr>
            <w:tcW w:type="dxa" w:w="4853"/>
          </w:tcPr>
          <w:p>
            <w:r>
              <w:t>GOVERN</w:t>
            </w:r>
          </w:p>
        </w:tc>
        <w:tc>
          <w:tcPr>
            <w:tcW w:type="dxa" w:w="4853"/>
          </w:tcPr>
          <w:p>
            <w:r>
              <w:t>Defined committee, accountabilities, approvals, roles, review and records.</w:t>
            </w:r>
          </w:p>
        </w:tc>
      </w:tr>
      <w:tr>
        <w:tc>
          <w:tcPr>
            <w:tcW w:type="dxa" w:w="4853"/>
          </w:tcPr>
          <w:p>
            <w:r>
              <w:t>MAP</w:t>
            </w:r>
          </w:p>
        </w:tc>
        <w:tc>
          <w:tcPr>
            <w:tcW w:type="dxa" w:w="4853"/>
          </w:tcPr>
          <w:p>
            <w:r>
              <w:t>Intake information, context, data, affected people, intended purpose and owner identification.</w:t>
            </w:r>
          </w:p>
        </w:tc>
      </w:tr>
      <w:tr>
        <w:tc>
          <w:tcPr>
            <w:tcW w:type="dxa" w:w="4853"/>
          </w:tcPr>
          <w:p>
            <w:r>
              <w:t>MEASURE</w:t>
            </w:r>
          </w:p>
        </w:tc>
        <w:tc>
          <w:tcPr>
            <w:tcW w:type="dxa" w:w="4853"/>
          </w:tcPr>
          <w:p>
            <w:r>
              <w:t>Four-factor assessment, evidence gathering and review of performance/fairness impacts.</w:t>
            </w:r>
          </w:p>
        </w:tc>
      </w:tr>
      <w:tr>
        <w:tc>
          <w:tcPr>
            <w:tcW w:type="dxa" w:w="4853"/>
          </w:tcPr>
          <w:p>
            <w:r>
              <w:t>MANAGE</w:t>
            </w:r>
          </w:p>
        </w:tc>
        <w:tc>
          <w:tcPr>
            <w:tcW w:type="dxa" w:w="4853"/>
          </w:tcPr>
          <w:p>
            <w:r>
              <w:t>Risk-tier decisions, safeguards, monitoring, incident containment and change control.</w:t>
            </w:r>
          </w:p>
        </w:tc>
      </w:tr>
    </w:tbl>
    <w:p>
      <w:r>
        <w:t>NIST AI RMF 1.0 is voluntary guidance; the requirements and review timelines in this simulation are proposed policy design choices. This mapping is conceptual, not a claim of formal conformance or certification.</w:t>
      </w:r>
    </w:p>
    <w:p>
      <w:pPr>
        <w:pStyle w:val="Heading1"/>
      </w:pPr>
      <w:r>
        <w:t>11. Reference sources</w:t>
      </w:r>
    </w:p>
    <w:p>
      <w:r>
        <w:t>Federal Trade Commission, Rite Aid Corporation case record: https://www.ftc.gov/legal-library/browse/cases-proceedings/2023190-rite-aid-corporation-ftc-v</w:t>
      </w:r>
    </w:p>
    <w:p>
      <w:r>
        <w:t>National Institute of Standards and Technology, AI Risk Management Framework: https://www.nist.gov/itl/ai-risk-management-framework</w:t>
      </w:r>
    </w:p>
    <w:p>
      <w:r>
        <w:t>Document owner (simulation): AI Governance / GRC  |  Version: 1.0  |  Status: DRAFT — FOR AGENT FLAMEZ REVIEW  |  Prepared: 21 October 2026</w:t>
      </w:r>
    </w:p>
    <w:sectPr w:rsidR="00FC693F" w:rsidRPr="0006063C" w:rsidSect="00034616">
      <w:footerReference w:type="default" r:id="rId9"/>
      <w:pgSz w:w="12240" w:h="15840"/>
      <w:pgMar w:top="1080"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EDUCATIONAL SIMULATION  •  DRAFT FOR REVIEW  •  NOT A RITE AID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