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Risk Assessment</w:t>
        <w:br/>
        <w:t>Methodology</w:t>
      </w:r>
    </w:p>
    <w:p>
      <w:r>
        <w:t>DOCUMENT 5  |  VERSION 1.0  |  DRAFT FOR REVIEW  |  21 OCTOBER 2026</w:t>
      </w:r>
    </w:p>
    <w:p>
      <w:r>
        <w:t>INDEPENDENT HISTORICAL EDUCATIONAL SIMULATION — NOT AFFILIATED WITH OR ENDORSED BY RITE AID</w:t>
      </w:r>
    </w:p>
    <w:p>
      <w:r>
        <w:t>Companion deliverable: Agent_Flamez_AI_Risk_Scoring_Workbook_V1.xlsx</w:t>
      </w:r>
    </w:p>
    <w:p>
      <w:pPr>
        <w:pStyle w:val="Heading1"/>
      </w:pPr>
      <w:r>
        <w:t>1. Purpose, scope, and source boundaries</w:t>
      </w:r>
    </w:p>
    <w:p>
      <w:r>
        <w:t>This proposed methodology establishes a repeatable, evidence-based process for assessing enterprise AI systems and documenting inherent risk, residual risk, controls, treatment, quality review, escalation, and authorization. It applies to the organization-wide inventory and intake process designed in Portfolio Document 4.</w:t>
      </w:r>
    </w:p>
    <w:p>
      <w:r>
        <w:t>The FTC Rite Aid matter is used as an independent historical case-study subject. AI-001 references that subject, but all assessments, hypothetical owners, values and proposed controls in these deliverables are illustrative; AI-002 through AI-005 are entirely fictional business scenarios. This project does not describe Rite Aid’s current governance program, approvals, or systems.</w:t>
      </w:r>
    </w:p>
    <w:p>
      <w:pPr>
        <w:pStyle w:val="Heading1"/>
      </w:pPr>
      <w:r>
        <w:t>2. Roles and separation of duties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4910"/>
          </w:tcPr>
          <w:p>
            <w:r>
              <w:t>Role</w:t>
            </w:r>
          </w:p>
        </w:tc>
        <w:tc>
          <w:tcPr>
            <w:tcW w:type="dxa" w:w="4910"/>
          </w:tcPr>
          <w:p>
            <w:r>
              <w:t>Proposed responsibility</w:t>
            </w:r>
          </w:p>
        </w:tc>
      </w:tr>
      <w:tr>
        <w:tc>
          <w:tcPr>
            <w:tcW w:type="dxa" w:w="4910"/>
          </w:tcPr>
          <w:p>
            <w:r>
              <w:t>Business and Technical Owners</w:t>
            </w:r>
          </w:p>
        </w:tc>
        <w:tc>
          <w:tcPr>
            <w:tcW w:type="dxa" w:w="4910"/>
          </w:tcPr>
          <w:p>
            <w:r>
              <w:t>Supply system facts, risks, controls and evidence.</w:t>
            </w:r>
          </w:p>
        </w:tc>
      </w:tr>
      <w:tr>
        <w:tc>
          <w:tcPr>
            <w:tcW w:type="dxa" w:w="4910"/>
          </w:tcPr>
          <w:p>
            <w:r>
              <w:t>GRC Assessor</w:t>
            </w:r>
          </w:p>
        </w:tc>
        <w:tc>
          <w:tcPr>
            <w:tcW w:type="dxa" w:w="4910"/>
          </w:tcPr>
          <w:p>
            <w:r>
              <w:t>Score inherent and residual risk; record justification and treatment.</w:t>
            </w:r>
          </w:p>
        </w:tc>
      </w:tr>
      <w:tr>
        <w:tc>
          <w:tcPr>
            <w:tcW w:type="dxa" w:w="4910"/>
          </w:tcPr>
          <w:p>
            <w:r>
              <w:t>Security / Privacy / Legal</w:t>
            </w:r>
          </w:p>
        </w:tc>
        <w:tc>
          <w:tcPr>
            <w:tcW w:type="dxa" w:w="4910"/>
          </w:tcPr>
          <w:p>
            <w:r>
              <w:t>Specialist review where relevant; assess mandatory requirements.</w:t>
            </w:r>
          </w:p>
        </w:tc>
      </w:tr>
      <w:tr>
        <w:tc>
          <w:tcPr>
            <w:tcW w:type="dxa" w:w="4910"/>
          </w:tcPr>
          <w:p>
            <w:r>
              <w:t>Independent GRC Quality Reviewer</w:t>
            </w:r>
          </w:p>
        </w:tc>
        <w:tc>
          <w:tcPr>
            <w:tcW w:type="dxa" w:w="4910"/>
          </w:tcPr>
          <w:p>
            <w:r>
              <w:t>Validate scores, evidence, rule application and unresolved gaps.</w:t>
            </w:r>
          </w:p>
        </w:tc>
      </w:tr>
      <w:tr>
        <w:tc>
          <w:tcPr>
            <w:tcW w:type="dxa" w:w="4910"/>
          </w:tcPr>
          <w:p>
            <w:r>
              <w:t>Risk Acceptance Authority</w:t>
            </w:r>
          </w:p>
        </w:tc>
        <w:tc>
          <w:tcPr>
            <w:tcW w:type="dxa" w:w="4910"/>
          </w:tcPr>
          <w:p>
            <w:r>
              <w:t>Documented acceptance using approved risk-based tier.</w:t>
            </w:r>
          </w:p>
        </w:tc>
      </w:tr>
      <w:tr>
        <w:tc>
          <w:tcPr>
            <w:tcW w:type="dxa" w:w="4910"/>
          </w:tcPr>
          <w:p>
            <w:r>
              <w:t>AI Governance Committee / Leadership</w:t>
            </w:r>
          </w:p>
        </w:tc>
        <w:tc>
          <w:tcPr>
            <w:tcW w:type="dxa" w:w="4910"/>
          </w:tcPr>
          <w:p>
            <w:r>
              <w:t>Required approvals and escalation according to risk.</w:t>
            </w:r>
          </w:p>
        </w:tc>
      </w:tr>
    </w:tbl>
    <w:p>
      <w:pPr>
        <w:pStyle w:val="Heading1"/>
      </w:pPr>
      <w:r>
        <w:t>3. Scoring scales and base classification</w:t>
      </w:r>
    </w:p>
    <w:p>
      <w:r>
        <w:t>Score each factor from 1 (lowest) to 5 (highest) with written reasoning. Likelihood describes probability; Impact describes severity; Data Sensitivity describes the nature and exposure of data; Human Impact describes effects on individuals, rights, fairness, and well-being. Exact score anchors require assessor judgment and evidence; the examples are not empirical measurements.</w:t>
      </w:r>
    </w:p>
    <w:p>
      <w:r>
        <w:t>BASE SCORE = IMPACT × LIKELIHOOD (possible range: 1–25).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4910"/>
          </w:tcPr>
          <w:p>
            <w:r>
              <w:t>Base score</w:t>
            </w:r>
          </w:p>
        </w:tc>
        <w:tc>
          <w:tcPr>
            <w:tcW w:type="dxa" w:w="4910"/>
          </w:tcPr>
          <w:p>
            <w:r>
              <w:t>Initial classification</w:t>
            </w:r>
          </w:p>
        </w:tc>
      </w:tr>
      <w:tr>
        <w:tc>
          <w:tcPr>
            <w:tcW w:type="dxa" w:w="4910"/>
          </w:tcPr>
          <w:p>
            <w:r>
              <w:t>1–4</w:t>
            </w:r>
          </w:p>
        </w:tc>
        <w:tc>
          <w:tcPr>
            <w:tcW w:type="dxa" w:w="4910"/>
          </w:tcPr>
          <w:p>
            <w:r>
              <w:t>Low</w:t>
            </w:r>
          </w:p>
        </w:tc>
      </w:tr>
      <w:tr>
        <w:tc>
          <w:tcPr>
            <w:tcW w:type="dxa" w:w="4910"/>
          </w:tcPr>
          <w:p>
            <w:r>
              <w:t>5–9</w:t>
            </w:r>
          </w:p>
        </w:tc>
        <w:tc>
          <w:tcPr>
            <w:tcW w:type="dxa" w:w="4910"/>
          </w:tcPr>
          <w:p>
            <w:r>
              <w:t>Moderate</w:t>
            </w:r>
          </w:p>
        </w:tc>
      </w:tr>
      <w:tr>
        <w:tc>
          <w:tcPr>
            <w:tcW w:type="dxa" w:w="4910"/>
          </w:tcPr>
          <w:p>
            <w:r>
              <w:t>10–16</w:t>
            </w:r>
          </w:p>
        </w:tc>
        <w:tc>
          <w:tcPr>
            <w:tcW w:type="dxa" w:w="4910"/>
          </w:tcPr>
          <w:p>
            <w:r>
              <w:t>High</w:t>
            </w:r>
          </w:p>
        </w:tc>
      </w:tr>
      <w:tr>
        <w:tc>
          <w:tcPr>
            <w:tcW w:type="dxa" w:w="4910"/>
          </w:tcPr>
          <w:p>
            <w:r>
              <w:t>17–25</w:t>
            </w:r>
          </w:p>
        </w:tc>
        <w:tc>
          <w:tcPr>
            <w:tcW w:type="dxa" w:w="4910"/>
          </w:tcPr>
          <w:p>
            <w:r>
              <w:t>Critical</w:t>
            </w:r>
          </w:p>
        </w:tc>
      </w:tr>
    </w:tbl>
    <w:p>
      <w:pPr>
        <w:pStyle w:val="Heading2"/>
      </w:pPr>
      <w:r>
        <w:t>Mandatory escalation floors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4910"/>
          </w:tcPr>
          <w:p>
            <w:r>
              <w:t>Condition</w:t>
            </w:r>
          </w:p>
        </w:tc>
        <w:tc>
          <w:tcPr>
            <w:tcW w:type="dxa" w:w="4910"/>
          </w:tcPr>
          <w:p>
            <w:r>
              <w:t>Minimum overall classification</w:t>
            </w:r>
          </w:p>
        </w:tc>
      </w:tr>
      <w:tr>
        <w:tc>
          <w:tcPr>
            <w:tcW w:type="dxa" w:w="4910"/>
          </w:tcPr>
          <w:p>
            <w:r>
              <w:t>Data Sensitivity = 4 or 5</w:t>
            </w:r>
          </w:p>
        </w:tc>
        <w:tc>
          <w:tcPr>
            <w:tcW w:type="dxa" w:w="4910"/>
          </w:tcPr>
          <w:p>
            <w:r>
              <w:t>High</w:t>
            </w:r>
          </w:p>
        </w:tc>
      </w:tr>
      <w:tr>
        <w:tc>
          <w:tcPr>
            <w:tcW w:type="dxa" w:w="4910"/>
          </w:tcPr>
          <w:p>
            <w:r>
              <w:t>Human Impact = 4</w:t>
            </w:r>
          </w:p>
        </w:tc>
        <w:tc>
          <w:tcPr>
            <w:tcW w:type="dxa" w:w="4910"/>
          </w:tcPr>
          <w:p>
            <w:r>
              <w:t>High</w:t>
            </w:r>
          </w:p>
        </w:tc>
      </w:tr>
      <w:tr>
        <w:tc>
          <w:tcPr>
            <w:tcW w:type="dxa" w:w="4910"/>
          </w:tcPr>
          <w:p>
            <w:r>
              <w:t>Human Impact = 5</w:t>
            </w:r>
          </w:p>
        </w:tc>
        <w:tc>
          <w:tcPr>
            <w:tcW w:type="dxa" w:w="4910"/>
          </w:tcPr>
          <w:p>
            <w:r>
              <w:t>Critical</w:t>
            </w:r>
          </w:p>
        </w:tc>
      </w:tr>
    </w:tbl>
    <w:p>
      <w:r>
        <w:t>Final classification equals the highest of the initial classification and all applicable escalation floors. A high-severity human impact cannot be averaged away by low likelihood. These organization-specific numeric thresholds are simulated policy decisions, not thresholds mandated by NIST.</w:t>
      </w:r>
    </w:p>
    <w:p>
      <w:pPr>
        <w:pStyle w:val="Heading1"/>
      </w:pPr>
      <w:r>
        <w:t>4. Inherent and residual risk</w:t>
      </w:r>
    </w:p>
    <w:p>
      <w:r>
        <w:t>Assess inherent risk before relying on proposed controls. Assess residual risk after controls are implemented and their effectiveness is demonstrated with evidence, using the identical four-factor method and escalation rules. Proposed, untested, or unverifiable controls receive no score-reduction credit. Residual scores should remain unchanged until validated reduction is justified. Legal prohibitions and regulatory obligations cannot be overridden by an acceptable score.</w:t>
      </w:r>
    </w:p>
    <w:p>
      <w:pPr>
        <w:pStyle w:val="Heading1"/>
      </w:pPr>
      <w:r>
        <w:t>5. Evidence requirements and incomplete submissions</w:t>
      </w:r>
    </w:p>
    <w:p>
      <w:r>
        <w:t>Address all eight evidence categories where applicable: (1) system purpose and description; (2) data inventory/classification; (3) vendor documentation and testing; (4) human impact assessment; (5) security and privacy review; (6) control test results; (7) reviewer scoring justification; and (8) approval/risk acceptance records. Justify exceptions and document outstanding evidence, owner, follow-up deadline and confidence impact. Unresolved material gaps prevent final approval.</w:t>
      </w:r>
    </w:p>
    <w:p>
      <w:pPr>
        <w:pStyle w:val="Heading1"/>
      </w:pPr>
      <w:r>
        <w:t>6. Review, quality assurance, and risk acceptance</w:t>
      </w:r>
    </w:p>
    <w:p>
      <w:r>
        <w:t>Every assessment must undergo documented review by a qualified GRC reviewer other than the original assessor. Staffing-related exceptions require justification and compensating independent oversight; they do not waive testing or approval requirements. The quality reviewer verifies calculations, source evidence, escalation thresholds, control testing, treatment status, and the disposition of gaps.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4910"/>
          </w:tcPr>
          <w:p>
            <w:r>
              <w:t>Residual risk</w:t>
            </w:r>
          </w:p>
        </w:tc>
        <w:tc>
          <w:tcPr>
            <w:tcW w:type="dxa" w:w="4910"/>
          </w:tcPr>
          <w:p>
            <w:r>
              <w:t>Risk acceptance authority</w:t>
            </w:r>
          </w:p>
        </w:tc>
      </w:tr>
      <w:tr>
        <w:tc>
          <w:tcPr>
            <w:tcW w:type="dxa" w:w="4910"/>
          </w:tcPr>
          <w:p>
            <w:r>
              <w:t>Low</w:t>
            </w:r>
          </w:p>
        </w:tc>
        <w:tc>
          <w:tcPr>
            <w:tcW w:type="dxa" w:w="4910"/>
          </w:tcPr>
          <w:p>
            <w:r>
              <w:t>Business Owner + GRC</w:t>
            </w:r>
          </w:p>
        </w:tc>
      </w:tr>
      <w:tr>
        <w:tc>
          <w:tcPr>
            <w:tcW w:type="dxa" w:w="4910"/>
          </w:tcPr>
          <w:p>
            <w:r>
              <w:t>Moderate</w:t>
            </w:r>
          </w:p>
        </w:tc>
        <w:tc>
          <w:tcPr>
            <w:tcW w:type="dxa" w:w="4910"/>
          </w:tcPr>
          <w:p>
            <w:r>
              <w:t>Business Owner + GRC + relevant Security/Privacy reviewers</w:t>
            </w:r>
          </w:p>
        </w:tc>
      </w:tr>
      <w:tr>
        <w:tc>
          <w:tcPr>
            <w:tcW w:type="dxa" w:w="4910"/>
          </w:tcPr>
          <w:p>
            <w:r>
              <w:t>High</w:t>
            </w:r>
          </w:p>
        </w:tc>
        <w:tc>
          <w:tcPr>
            <w:tcW w:type="dxa" w:w="4910"/>
          </w:tcPr>
          <w:p>
            <w:r>
              <w:t>AI Governance Committee</w:t>
            </w:r>
          </w:p>
        </w:tc>
      </w:tr>
      <w:tr>
        <w:tc>
          <w:tcPr>
            <w:tcW w:type="dxa" w:w="4910"/>
          </w:tcPr>
          <w:p>
            <w:r>
              <w:t>Critical</w:t>
            </w:r>
          </w:p>
        </w:tc>
        <w:tc>
          <w:tcPr>
            <w:tcW w:type="dxa" w:w="4910"/>
          </w:tcPr>
          <w:p>
            <w:r>
              <w:t>AI Governance Committee + Executive Leadership</w:t>
            </w:r>
          </w:p>
        </w:tc>
      </w:tr>
    </w:tbl>
    <w:p>
      <w:r>
        <w:t>Risk acceptance requires justification, effective control evidence, approvers, decision date, conditions and reassessment date. Risk acceptance is distinct from deployment approval. High-risk deployment additionally requires an impact assessment, a human oversight plan and committee approval under Document 3.</w:t>
      </w:r>
    </w:p>
    <w:p>
      <w:pPr>
        <w:pStyle w:val="Heading1"/>
      </w:pPr>
      <w:r>
        <w:t>7. Treatment and escalation</w:t>
      </w:r>
    </w:p>
    <w:p>
      <w:r>
        <w:t>Every identified risk requires a treatment plan and recorded owner, action, target date, evidence and status. Permitted choices: Mitigate, Avoid, Transfer/Share, or Accept. Transfer/Share does not remove statutory duties or accountability. An unacceptable or legally prohibited use must be avoided, regardless of internal risk acceptance.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4910"/>
          </w:tcPr>
          <w:p>
            <w:r>
              <w:t>Classification</w:t>
            </w:r>
          </w:p>
        </w:tc>
        <w:tc>
          <w:tcPr>
            <w:tcW w:type="dxa" w:w="4910"/>
          </w:tcPr>
          <w:p>
            <w:r>
              <w:t>Escalation obligation</w:t>
            </w:r>
          </w:p>
        </w:tc>
      </w:tr>
      <w:tr>
        <w:tc>
          <w:tcPr>
            <w:tcW w:type="dxa" w:w="4910"/>
          </w:tcPr>
          <w:p>
            <w:r>
              <w:t>Low</w:t>
            </w:r>
          </w:p>
        </w:tc>
        <w:tc>
          <w:tcPr>
            <w:tcW w:type="dxa" w:w="4910"/>
          </w:tcPr>
          <w:p>
            <w:r>
              <w:t>Routine risk reporting</w:t>
            </w:r>
          </w:p>
        </w:tc>
      </w:tr>
      <w:tr>
        <w:tc>
          <w:tcPr>
            <w:tcW w:type="dxa" w:w="4910"/>
          </w:tcPr>
          <w:p>
            <w:r>
              <w:t>Moderate</w:t>
            </w:r>
          </w:p>
        </w:tc>
        <w:tc>
          <w:tcPr>
            <w:tcW w:type="dxa" w:w="4910"/>
          </w:tcPr>
          <w:p>
            <w:r>
              <w:t>Next scheduled governance review</w:t>
            </w:r>
          </w:p>
        </w:tc>
      </w:tr>
      <w:tr>
        <w:tc>
          <w:tcPr>
            <w:tcW w:type="dxa" w:w="4910"/>
          </w:tcPr>
          <w:p>
            <w:r>
              <w:t>High</w:t>
            </w:r>
          </w:p>
        </w:tc>
        <w:tc>
          <w:tcPr>
            <w:tcW w:type="dxa" w:w="4910"/>
          </w:tcPr>
          <w:p>
            <w:r>
              <w:t>Committee escalation within 2 business days of classification</w:t>
            </w:r>
          </w:p>
        </w:tc>
      </w:tr>
      <w:tr>
        <w:tc>
          <w:tcPr>
            <w:tcW w:type="dxa" w:w="4910"/>
          </w:tcPr>
          <w:p>
            <w:r>
              <w:t>Critical</w:t>
            </w:r>
          </w:p>
        </w:tc>
        <w:tc>
          <w:tcPr>
            <w:tcW w:type="dxa" w:w="4910"/>
          </w:tcPr>
          <w:p>
            <w:r>
              <w:t>Immediate committee and executive escalation</w:t>
            </w:r>
          </w:p>
        </w:tc>
      </w:tr>
    </w:tbl>
    <w:p>
      <w:r>
        <w:t>Serious incidents involving operating high-risk AI additionally require immediate suspension of the affected function, investigation, and documented approval prior to restart. These proposed internal escalation targets are not regulatory notification deadlines.</w:t>
      </w:r>
    </w:p>
    <w:p>
      <w:pPr>
        <w:pStyle w:val="Heading1"/>
      </w:pPr>
      <w:r>
        <w:t>8. Reassessment, records and assessment lifecycle</w:t>
      </w:r>
    </w:p>
    <w:p>
      <w:r>
        <w:t>Reassess upon material system, data or purpose changes (before implementation), serious incidents, material regulatory changes, significant control failures, and scheduled risk-based reassessment. High-risk systems separately receive monthly operating reviews and alerts where feasible under the charter.</w:t>
      </w:r>
    </w:p>
    <w:p>
      <w:r>
        <w:t>Maintain ten categories of records: assessment/system identifiers; assessor/date; four inherent scores; base calculation/escalation; controls and test evidence; four residual scores; treatment plan; GRC quality review; acceptance and deployment approvals; and next review date. Preserve prior assessment versions in a separate history worksheet, including status transitions, assignees, evidence and decision dates.</w:t>
      </w:r>
    </w:p>
    <w:p>
      <w:r>
        <w:t>Permitted assessment statuses: Draft; Evidence Pending; Quality Review; Approval Pending; Approved; Revision Required; Superseded. Approval of an assessment does not independently authorize AI system deployment. Spreadsheet history demonstrates a process only; tamper-resistant logs and restricted access require an appropriate organizational platform.</w:t>
      </w:r>
    </w:p>
    <w:p>
      <w:pPr>
        <w:pStyle w:val="Heading1"/>
      </w:pPr>
      <w:r>
        <w:t>9. Companion workbook and five illustrative systems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73"/>
        <w:gridCol w:w="3273"/>
        <w:gridCol w:w="3273"/>
      </w:tblGrid>
      <w:tr>
        <w:tc>
          <w:tcPr>
            <w:tcW w:type="dxa" w:w="3273"/>
          </w:tcPr>
          <w:p>
            <w:r>
              <w:t>ID</w:t>
            </w:r>
          </w:p>
        </w:tc>
        <w:tc>
          <w:tcPr>
            <w:tcW w:type="dxa" w:w="3273"/>
          </w:tcPr>
          <w:p>
            <w:r>
              <w:t>Illustrative system</w:t>
            </w:r>
          </w:p>
        </w:tc>
        <w:tc>
          <w:tcPr>
            <w:tcW w:type="dxa" w:w="3273"/>
          </w:tcPr>
          <w:p>
            <w:r>
              <w:t>Evidence / status</w:t>
            </w:r>
          </w:p>
        </w:tc>
      </w:tr>
      <w:tr>
        <w:tc>
          <w:tcPr>
            <w:tcW w:type="dxa" w:w="3273"/>
          </w:tcPr>
          <w:p>
            <w:r>
              <w:t>AI-001</w:t>
            </w:r>
          </w:p>
        </w:tc>
        <w:tc>
          <w:tcPr>
            <w:tcW w:type="dxa" w:w="3273"/>
          </w:tcPr>
          <w:p>
            <w:r>
              <w:t>Facial recognition (historical subject)</w:t>
            </w:r>
          </w:p>
        </w:tc>
        <w:tc>
          <w:tcPr>
            <w:tcW w:type="dxa" w:w="3273"/>
          </w:tcPr>
          <w:p>
            <w:r>
              <w:t>Draft; illustrative scoring; no actual effectiveness testing or approvals</w:t>
            </w:r>
          </w:p>
        </w:tc>
      </w:tr>
      <w:tr>
        <w:tc>
          <w:tcPr>
            <w:tcW w:type="dxa" w:w="3273"/>
          </w:tcPr>
          <w:p>
            <w:r>
              <w:t>AI-002</w:t>
            </w:r>
          </w:p>
        </w:tc>
        <w:tc>
          <w:tcPr>
            <w:tcW w:type="dxa" w:w="3273"/>
          </w:tcPr>
          <w:p>
            <w:r>
              <w:t>Customer service chatbot</w:t>
            </w:r>
          </w:p>
        </w:tc>
        <w:tc>
          <w:tcPr>
            <w:tcW w:type="dxa" w:w="3273"/>
          </w:tcPr>
          <w:p>
            <w:r>
              <w:t>Draft; illustrative scoring; no actual effectiveness testing or approvals</w:t>
            </w:r>
          </w:p>
        </w:tc>
      </w:tr>
      <w:tr>
        <w:tc>
          <w:tcPr>
            <w:tcW w:type="dxa" w:w="3273"/>
          </w:tcPr>
          <w:p>
            <w:r>
              <w:t>AI-003</w:t>
            </w:r>
          </w:p>
        </w:tc>
        <w:tc>
          <w:tcPr>
            <w:tcW w:type="dxa" w:w="3273"/>
          </w:tcPr>
          <w:p>
            <w:r>
              <w:t>Employee scheduling AI</w:t>
            </w:r>
          </w:p>
        </w:tc>
        <w:tc>
          <w:tcPr>
            <w:tcW w:type="dxa" w:w="3273"/>
          </w:tcPr>
          <w:p>
            <w:r>
              <w:t>Draft; illustrative scoring; no actual effectiveness testing or approvals</w:t>
            </w:r>
          </w:p>
        </w:tc>
      </w:tr>
      <w:tr>
        <w:tc>
          <w:tcPr>
            <w:tcW w:type="dxa" w:w="3273"/>
          </w:tcPr>
          <w:p>
            <w:r>
              <w:t>AI-004</w:t>
            </w:r>
          </w:p>
        </w:tc>
        <w:tc>
          <w:tcPr>
            <w:tcW w:type="dxa" w:w="3273"/>
          </w:tcPr>
          <w:p>
            <w:r>
              <w:t>Inventory forecasting AI</w:t>
            </w:r>
          </w:p>
        </w:tc>
        <w:tc>
          <w:tcPr>
            <w:tcW w:type="dxa" w:w="3273"/>
          </w:tcPr>
          <w:p>
            <w:r>
              <w:t>Draft; illustrative scoring; no actual effectiveness testing or approvals</w:t>
            </w:r>
          </w:p>
        </w:tc>
      </w:tr>
      <w:tr>
        <w:tc>
          <w:tcPr>
            <w:tcW w:type="dxa" w:w="3273"/>
          </w:tcPr>
          <w:p>
            <w:r>
              <w:t>AI-005</w:t>
            </w:r>
          </w:p>
        </w:tc>
        <w:tc>
          <w:tcPr>
            <w:tcW w:type="dxa" w:w="3273"/>
          </w:tcPr>
          <w:p>
            <w:r>
              <w:t>Cybersecurity monitoring AI</w:t>
            </w:r>
          </w:p>
        </w:tc>
        <w:tc>
          <w:tcPr>
            <w:tcW w:type="dxa" w:w="3273"/>
          </w:tcPr>
          <w:p>
            <w:r>
              <w:t>Draft; illustrative scoring; no actual effectiveness testing or approvals</w:t>
            </w:r>
          </w:p>
        </w:tc>
      </w:tr>
    </w:tbl>
    <w:p>
      <w:r>
        <w:t>In the companion workbook, inherent and residual scores initially match because no verified control-effectiveness evidence has been supplied. Example proposed safeguards are recorded as unimplemented treatment plans. No system is represented as approved or deployed in the simulation.</w:t>
      </w:r>
    </w:p>
    <w:p>
      <w:pPr>
        <w:pStyle w:val="Heading1"/>
      </w:pPr>
      <w:r>
        <w:t>10. NIST AI RMF relationship and references</w:t>
      </w:r>
    </w:p>
    <w:p>
      <w:r>
        <w:t>This simulated process is conceptually aligned with NIST AI RMF 1.0 functions: GOVERN (roles, responsibilities, policy and accountability); MAP (context, affected groups, impact, data); MEASURE (evidence, testing and risk estimates); and MANAGE (treatment, monitoring, escalation, re-evaluation). NIST AI RMF is voluntary guidance and does not prescribe these internal approval tiers, numeric cutoffs, or deadlines.</w:t>
      </w:r>
    </w:p>
    <w:p>
      <w:r>
        <w:t>NIST AI Risk Management Framework 1.0 (AI 100-1): https://nvlpubs.nist.gov/nistpubs/ai/NIST.AI.100-1.pdf</w:t>
      </w:r>
    </w:p>
    <w:p>
      <w:r>
        <w:t>FTC Rite Aid case records and order documents: https://www.ftc.gov/legal-library/browse/cases-proceedings/2023190-rite-aid-corporation-ftc-v</w:t>
      </w:r>
    </w:p>
    <w:p>
      <w:pPr>
        <w:pStyle w:val="Heading1"/>
      </w:pPr>
      <w:r>
        <w:t>11. Review checklist and sign-off</w:t>
      </w:r>
    </w:p>
    <w:p>
      <w:r>
        <w:t>Draft prepared for portfolio-owner review; no formal organizational authorization is claimed. Review that scoring floors, quality checks, workbook formulas, fictional-system labeling, and legal restrictions are described correctly. Approval of this portfolio draft is separate from authorizing any actual AI system.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4910"/>
          </w:tcPr>
          <w:p>
            <w:r>
              <w:t>Review item</w:t>
            </w:r>
          </w:p>
        </w:tc>
        <w:tc>
          <w:tcPr>
            <w:tcW w:type="dxa" w:w="4910"/>
          </w:tcPr>
          <w:p>
            <w:r>
              <w:t>Reviewer response</w:t>
            </w:r>
          </w:p>
        </w:tc>
      </w:tr>
      <w:tr>
        <w:tc>
          <w:tcPr>
            <w:tcW w:type="dxa" w:w="4910"/>
          </w:tcPr>
          <w:p>
            <w:r>
              <w:t>Content and methodology accuracy</w:t>
            </w:r>
          </w:p>
        </w:tc>
        <w:tc>
          <w:tcPr>
            <w:tcW w:type="dxa" w:w="4910"/>
          </w:tcPr>
          <w:p>
            <w:r>
              <w:t>Pending user review</w:t>
            </w:r>
          </w:p>
        </w:tc>
      </w:tr>
      <w:tr>
        <w:tc>
          <w:tcPr>
            <w:tcW w:type="dxa" w:w="4910"/>
          </w:tcPr>
          <w:p>
            <w:r>
              <w:t>Illustrative labels and legal safeguards</w:t>
            </w:r>
          </w:p>
        </w:tc>
        <w:tc>
          <w:tcPr>
            <w:tcW w:type="dxa" w:w="4910"/>
          </w:tcPr>
          <w:p>
            <w:r>
              <w:t>Pending user review</w:t>
            </w:r>
          </w:p>
        </w:tc>
      </w:tr>
      <w:tr>
        <w:tc>
          <w:tcPr>
            <w:tcW w:type="dxa" w:w="4910"/>
          </w:tcPr>
          <w:p>
            <w:r>
              <w:t>Workbook calculations and example records</w:t>
            </w:r>
          </w:p>
        </w:tc>
        <w:tc>
          <w:tcPr>
            <w:tcW w:type="dxa" w:w="4910"/>
          </w:tcPr>
          <w:p>
            <w:r>
              <w:t>Pending user review</w:t>
            </w:r>
          </w:p>
        </w:tc>
      </w:tr>
      <w:tr>
        <w:tc>
          <w:tcPr>
            <w:tcW w:type="dxa" w:w="4910"/>
          </w:tcPr>
          <w:p>
            <w:r>
              <w:t>Portfolio owner approval</w:t>
            </w:r>
          </w:p>
        </w:tc>
        <w:tc>
          <w:tcPr>
            <w:tcW w:type="dxa" w:w="4910"/>
          </w:tcPr>
          <w:p>
            <w:r>
              <w:t>Pending user decision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10" w:bottom="936" w:left="12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AGENT FLAMEZ  •  AI GOVERNANCE PORTFOLIO  |  EDUCATIONAL SIMULATION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304B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304B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5304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