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AI Vendor Due Diligence</w:t>
      </w:r>
    </w:p>
    <w:p>
      <w:r>
        <w:t>PROCEDURE  •  VERSION 1.0  •  21 October 2026  •  DOCUMENT 6A</w:t>
      </w:r>
    </w:p>
    <w:p>
      <w:r>
        <w:t>DRAFT FOR PORTFOLIO REVIEW — proposed governance controls, not an operational Rite Aid policy.</w:t>
      </w:r>
    </w:p>
    <w:p>
      <w:pPr>
        <w:pStyle w:val="Heading1"/>
      </w:pPr>
      <w:r>
        <w:t>1  Purpose, scope, and evidence boundaries</w:t>
      </w:r>
    </w:p>
    <w:p>
      <w:r>
        <w:t>This educational procedure illustrates risk-based review of third-party AI services before contractual commitment and throughout the vendor lifecycle. It is an independent historical case-study exercise motivated by publicly reported FTC Rite Aid facial-recognition concerns. It does not assert that Rite Aid used the fictional vendors or adopted the processes in this document.</w:t>
      </w:r>
    </w:p>
    <w:p>
      <w:r>
        <w:t>Historical case source: FTC, Rite Aid Corporation matter (2023 complaint and resulting order). Distinguish allegations, order requirements, and fictional controls. Check applicable legal restrictions before any contemplated AI use. A prohibited use remains prohibited regardless of scoring, vendor approval, or risk acceptance.</w:t>
      </w:r>
    </w:p>
    <w:p>
      <w:pPr>
        <w:pStyle w:val="Heading1"/>
      </w:pPr>
      <w:r>
        <w:t>2  Intake triggers and relationship to AI system governance</w:t>
      </w:r>
    </w:p>
    <w:p>
      <w:r>
        <w:t>Initiate due diligence (a) before any new purchase or contract commitment, (b) before material changes in vendor, service, data, subcontractors, or system purpose, and (c) on the risk-based monitoring schedule. Cross-reference the vendor ID and all linked AI System IDs in Document 4. Vendor approval and system deployment approval are distinct decisions.</w:t>
      </w:r>
    </w:p>
    <w:p>
      <w:pPr>
        <w:pStyle w:val="Heading1"/>
      </w:pPr>
      <w:r>
        <w:t>3  Eight due diligence domains and evidence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 domain</w:t>
            </w:r>
          </w:p>
        </w:tc>
        <w:tc>
          <w:tcPr>
            <w:tcW w:type="dxa" w:w="4320"/>
          </w:tcPr>
          <w:p>
            <w:r>
              <w:t>Required focus / evidence example</w:t>
            </w:r>
          </w:p>
        </w:tc>
      </w:tr>
      <w:tr>
        <w:tc>
          <w:tcPr>
            <w:tcW w:type="dxa" w:w="4320"/>
          </w:tcPr>
          <w:p>
            <w:r>
              <w:t>1. Company/service overview</w:t>
            </w:r>
          </w:p>
        </w:tc>
        <w:tc>
          <w:tcPr>
            <w:tcW w:type="dxa" w:w="4320"/>
          </w:tcPr>
          <w:p>
            <w:r>
              <w:t>Purpose, service architecture, roles, jurisdiction and dependencies</w:t>
            </w:r>
          </w:p>
        </w:tc>
      </w:tr>
      <w:tr>
        <w:tc>
          <w:tcPr>
            <w:tcW w:type="dxa" w:w="4320"/>
          </w:tcPr>
          <w:p>
            <w:r>
              <w:t>2. Information security</w:t>
            </w:r>
          </w:p>
        </w:tc>
        <w:tc>
          <w:tcPr>
            <w:tcW w:type="dxa" w:w="4320"/>
          </w:tcPr>
          <w:p>
            <w:r>
              <w:t>Security assessment/assurance, identity/access, encryption, vulnerability handling</w:t>
            </w:r>
          </w:p>
        </w:tc>
      </w:tr>
      <w:tr>
        <w:tc>
          <w:tcPr>
            <w:tcW w:type="dxa" w:w="4320"/>
          </w:tcPr>
          <w:p>
            <w:r>
              <w:t>3. Data privacy</w:t>
            </w:r>
          </w:p>
        </w:tc>
        <w:tc>
          <w:tcPr>
            <w:tcW w:type="dxa" w:w="4320"/>
          </w:tcPr>
          <w:p>
            <w:r>
              <w:t>Processing purposes, sensitive data, retention, deletion, data flows</w:t>
            </w:r>
          </w:p>
        </w:tc>
      </w:tr>
      <w:tr>
        <w:tc>
          <w:tcPr>
            <w:tcW w:type="dxa" w:w="4320"/>
          </w:tcPr>
          <w:p>
            <w:r>
              <w:t>4. AI performance/reliability</w:t>
            </w:r>
          </w:p>
        </w:tc>
        <w:tc>
          <w:tcPr>
            <w:tcW w:type="dxa" w:w="4320"/>
          </w:tcPr>
          <w:p>
            <w:r>
              <w:t>Performance tests, error rates, model limits, changes</w:t>
            </w:r>
          </w:p>
        </w:tc>
      </w:tr>
      <w:tr>
        <w:tc>
          <w:tcPr>
            <w:tcW w:type="dxa" w:w="4320"/>
          </w:tcPr>
          <w:p>
            <w:r>
              <w:t>5. Fairness/human impact</w:t>
            </w:r>
          </w:p>
        </w:tc>
        <w:tc>
          <w:tcPr>
            <w:tcW w:type="dxa" w:w="4320"/>
          </w:tcPr>
          <w:p>
            <w:r>
              <w:t>Population-specific testing, foreseeable harms, meaningful human oversight</w:t>
            </w:r>
          </w:p>
        </w:tc>
      </w:tr>
      <w:tr>
        <w:tc>
          <w:tcPr>
            <w:tcW w:type="dxa" w:w="4320"/>
          </w:tcPr>
          <w:p>
            <w:r>
              <w:t>6. Legal/regulatory</w:t>
            </w:r>
          </w:p>
        </w:tc>
        <w:tc>
          <w:tcPr>
            <w:tcW w:type="dxa" w:w="4320"/>
          </w:tcPr>
          <w:p>
            <w:r>
              <w:t>Legal restrictions, contractual compliance and use limitations</w:t>
            </w:r>
          </w:p>
        </w:tc>
      </w:tr>
      <w:tr>
        <w:tc>
          <w:tcPr>
            <w:tcW w:type="dxa" w:w="4320"/>
          </w:tcPr>
          <w:p>
            <w:r>
              <w:t>7. Incident response</w:t>
            </w:r>
          </w:p>
        </w:tc>
        <w:tc>
          <w:tcPr>
            <w:tcW w:type="dxa" w:w="4320"/>
          </w:tcPr>
          <w:p>
            <w:r>
              <w:t>Incident plans, notification contacts, testing and escalation</w:t>
            </w:r>
          </w:p>
        </w:tc>
      </w:tr>
      <w:tr>
        <w:tc>
          <w:tcPr>
            <w:tcW w:type="dxa" w:w="4320"/>
          </w:tcPr>
          <w:p>
            <w:r>
              <w:t>8. Ongoing oversight/exit</w:t>
            </w:r>
          </w:p>
        </w:tc>
        <w:tc>
          <w:tcPr>
            <w:tcW w:type="dxa" w:w="4320"/>
          </w:tcPr>
          <w:p>
            <w:r>
              <w:t>Subcontractors, monitoring, portability, termination, data disposition</w:t>
            </w:r>
          </w:p>
        </w:tc>
      </w:tr>
    </w:tbl>
    <w:p>
      <w:r>
        <w:t>Eight evidence categories to request where applicable: (1) security/assurance; (2) processing and retention; (3) AI performance tests; (4) fairness/human-impact tests; (5) human oversight; (6) incident/notification procedures; (7) subcontractors/dependencies; (8) contractual/legal compliance. Examine relevance, currency and reliability. Mark justified N/A explicitly. For unknown items, record an evidence gap, its owner, target date and effect on confidence. Material gaps block final approval.</w:t>
      </w:r>
    </w:p>
    <w:p>
      <w:pPr>
        <w:pStyle w:val="Heading1"/>
      </w:pPr>
      <w:r>
        <w:t>4  Vendor classification and authorization</w:t>
      </w:r>
    </w:p>
    <w:p>
      <w:r>
        <w:t>Set the vendor risk floor to the highest associated AI system classification (Low, Moderate, High, Critical). Consider sensitive-data exposure, subcontractors, operational dependency and insufficient control evidence; these may increase but not reduce the rating. Refer to Document 5 for underlying AI system risk methodology. Do not imply this vendor overlay is a NIST-prescribed formula.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Vendor risk</w:t>
            </w:r>
          </w:p>
        </w:tc>
        <w:tc>
          <w:tcPr>
            <w:tcW w:type="dxa" w:w="4320"/>
          </w:tcPr>
          <w:p>
            <w:r>
              <w:t>Required approval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Business Owner and GRC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Business Owner, GRC, relevant Security/Privacy reviewers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AI Governance Committee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AI Governance Committee and Executive Leadership</w:t>
            </w:r>
          </w:p>
        </w:tc>
      </w:tr>
    </w:tbl>
    <w:p>
      <w:r>
        <w:t>Document approvers, dates, conditions and evidence references. Keep vendor due diligence, residual-risk acceptance, purchase authority, and AI deployment authorization separately identifiable. Resolve material evidence gaps before approval; legal restrictions always prevail.</w:t>
      </w:r>
    </w:p>
    <w:p>
      <w:pPr>
        <w:pStyle w:val="Heading1"/>
      </w:pPr>
      <w:r>
        <w:t>5  Contract safeguard review</w:t>
      </w:r>
    </w:p>
    <w:p>
      <w:r>
        <w:t>Legal/Privacy must review before contractual commitment. Document disposition and exceptions for all eight safeguard categories: data use/ownership (including model-training limits), privacy/security, incident notification, audit/assessment rights, AI performance/limitations, subcontractor oversight, corrective action/cooperation, and termination/exit. Record proposed terms separately from terms actually executed. Missing mandatory legal safeguards prohibit approval.</w:t>
      </w:r>
    </w:p>
    <w:p>
      <w:pPr>
        <w:pStyle w:val="Heading1"/>
      </w:pPr>
      <w:r>
        <w:t>6  Periodic and event-driven vendor oversight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Vendor risk</w:t>
            </w:r>
          </w:p>
        </w:tc>
        <w:tc>
          <w:tcPr>
            <w:tcW w:type="dxa" w:w="4320"/>
          </w:tcPr>
          <w:p>
            <w:r>
              <w:t>Formal reassessment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Every 6 months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</w:tbl>
    <w:p>
      <w:r>
        <w:t>Also reassess following material service changes, serious incidents, significant control failures or relevant regulatory developments. This schedule is separate from Document 3’s monthly high-risk AI system monitoring and alerts where feasible.</w:t>
      </w:r>
    </w:p>
    <w:p>
      <w:pPr>
        <w:pStyle w:val="Heading1"/>
      </w:pPr>
      <w:r>
        <w:t>7  Findings, remediation and escalation</w:t>
      </w:r>
    </w:p>
    <w:p>
      <w:r>
        <w:t>Each finding must record severity, description, owner, corrective action, due date, evidence reference, status and independent verification of closure. High findings: notify AI Governance Committee within two business days. Critical findings: escalate immediately to the committee and executive leadership. Unresolved material evidence gaps prevent onboarding approval. Control changes or remediation are not deemed verified without supporting evidence.</w:t>
      </w:r>
    </w:p>
    <w:p>
      <w:pPr>
        <w:pStyle w:val="Heading1"/>
      </w:pPr>
      <w:r>
        <w:t>8  Vendor incident notifications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level</w:t>
            </w:r>
          </w:p>
        </w:tc>
        <w:tc>
          <w:tcPr>
            <w:tcW w:type="dxa" w:w="4320"/>
          </w:tcPr>
          <w:p>
            <w:r>
              <w:t>Proposed contractual deadline from vendor discovery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Within 24 hours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Within 48 hours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Within five business days</w:t>
            </w:r>
          </w:p>
        </w:tc>
      </w:tr>
      <w:tr>
        <w:tc>
          <w:tcPr>
            <w:tcW w:type="dxa" w:w="4320"/>
          </w:tcPr>
          <w:p>
            <w:r>
              <w:t>Material new information</w:t>
            </w:r>
          </w:p>
        </w:tc>
        <w:tc>
          <w:tcPr>
            <w:tcW w:type="dxa" w:w="4320"/>
          </w:tcPr>
          <w:p>
            <w:r>
              <w:t>Prompt ongoing updates</w:t>
            </w:r>
          </w:p>
        </w:tc>
      </w:tr>
    </w:tbl>
    <w:p>
      <w:r>
        <w:t>Stricter applicable legal/regulatory deadlines prevail. Legal/Privacy determines legal notices. These vendor notice deadlines do not delay internal containment: serious incidents affecting an operating high-risk AI function trigger immediate suspension, investigation, and written authorization before restart under Document 3.</w:t>
      </w:r>
    </w:p>
    <w:p>
      <w:pPr>
        <w:pStyle w:val="Heading1"/>
      </w:pPr>
      <w:r>
        <w:t>9  Exit and termination</w:t>
      </w:r>
    </w:p>
    <w:p>
      <w:r>
        <w:t>Complete and retain evidence of six exit controls: data return/secure deletion; verification of deletion or lawful retention; vendor account/credential/integration revocation; business continuity and transition planning; subcontractor handling; and final risk review. Legal/Privacy reviews retention, preservation and contractual obligations. Do not delete legally preserved information.</w:t>
      </w:r>
    </w:p>
    <w:p>
      <w:pPr>
        <w:pStyle w:val="Heading1"/>
      </w:pPr>
      <w:r>
        <w:t>10  Recordkeeping, states and history</w:t>
      </w:r>
    </w:p>
    <w:p>
      <w:r>
        <w:t>Document ten record categories: linked vendor/system identifiers; assessment date/reviewer; eight review domains; evidence and gaps; vendor risk; findings/actions; approval; next review; incidents/exit; and historical assessment versions. Preserve earlier evidence and decisions in a separate assessment-history worksheet. Maintain dated status changes, reviewer identity, reasons and references; Excel templates do not themselves enforce tamper-proof audit logs.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 status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Assessment preparation</w:t>
            </w:r>
          </w:p>
        </w:tc>
      </w:tr>
      <w:tr>
        <w:tc>
          <w:tcPr>
            <w:tcW w:type="dxa" w:w="4320"/>
          </w:tcPr>
          <w:p>
            <w:r>
              <w:t>Evidence Pending</w:t>
            </w:r>
          </w:p>
        </w:tc>
        <w:tc>
          <w:tcPr>
            <w:tcW w:type="dxa" w:w="4320"/>
          </w:tcPr>
          <w:p>
            <w:r>
              <w:t>Required documents outstanding</w:t>
            </w:r>
          </w:p>
        </w:tc>
      </w:tr>
      <w:tr>
        <w:tc>
          <w:tcPr>
            <w:tcW w:type="dxa" w:w="4320"/>
          </w:tcPr>
          <w:p>
            <w:r>
              <w:t>Under Review</w:t>
            </w:r>
          </w:p>
        </w:tc>
        <w:tc>
          <w:tcPr>
            <w:tcW w:type="dxa" w:w="4320"/>
          </w:tcPr>
          <w:p>
            <w:r>
              <w:t>GRC/specialist assessment</w:t>
            </w:r>
          </w:p>
        </w:tc>
      </w:tr>
      <w:tr>
        <w:tc>
          <w:tcPr>
            <w:tcW w:type="dxa" w:w="4320"/>
          </w:tcPr>
          <w:p>
            <w:r>
              <w:t>Remediation Required</w:t>
            </w:r>
          </w:p>
        </w:tc>
        <w:tc>
          <w:tcPr>
            <w:tcW w:type="dxa" w:w="4320"/>
          </w:tcPr>
          <w:p>
            <w:r>
              <w:t>Deficiencies require action</w:t>
            </w:r>
          </w:p>
        </w:tc>
      </w:tr>
      <w:tr>
        <w:tc>
          <w:tcPr>
            <w:tcW w:type="dxa" w:w="4320"/>
          </w:tcPr>
          <w:p>
            <w:r>
              <w:t>Approval Pending</w:t>
            </w:r>
          </w:p>
        </w:tc>
        <w:tc>
          <w:tcPr>
            <w:tcW w:type="dxa" w:w="4320"/>
          </w:tcPr>
          <w:p>
            <w:r>
              <w:t>Awaiting decision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Required vendor approvals completed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Vendor not authorized</w:t>
            </w:r>
          </w:p>
        </w:tc>
      </w:tr>
      <w:tr>
        <w:tc>
          <w:tcPr>
            <w:tcW w:type="dxa" w:w="4320"/>
          </w:tcPr>
          <w:p>
            <w:r>
              <w:t>Suspended</w:t>
            </w:r>
          </w:p>
        </w:tc>
        <w:tc>
          <w:tcPr>
            <w:tcW w:type="dxa" w:w="4320"/>
          </w:tcPr>
          <w:p>
            <w:r>
              <w:t>Existing approval temporarily withdrawn</w:t>
            </w:r>
          </w:p>
        </w:tc>
      </w:tr>
      <w:tr>
        <w:tc>
          <w:tcPr>
            <w:tcW w:type="dxa" w:w="4320"/>
          </w:tcPr>
          <w:p>
            <w:r>
              <w:t>Superseded</w:t>
            </w:r>
          </w:p>
        </w:tc>
        <w:tc>
          <w:tcPr>
            <w:tcW w:type="dxa" w:w="4320"/>
          </w:tcPr>
          <w:p>
            <w:r>
              <w:t>Replaced by newer approved assessment</w:t>
            </w:r>
          </w:p>
        </w:tc>
      </w:tr>
    </w:tbl>
    <w:p>
      <w:pPr>
        <w:pStyle w:val="Heading1"/>
      </w:pPr>
      <w:r>
        <w:t>11  Roles and accountability</w:t>
      </w:r>
    </w:p>
    <w:p>
      <w:r>
        <w:t>Business Owner: identifies purpose, business dependence and accountable action owner. Technical Owner: architecture, integrations and evidence gathering. GRC: coordinates assessment, records findings and escalation. Security/Privacy/Legal: specialist evaluation and contract review. AI Governance Committee and leadership: tiered approvals. Internal Audit: independent assurance with read-only evidence access where authorized.</w:t>
      </w:r>
    </w:p>
    <w:p>
      <w:pPr>
        <w:pStyle w:val="Heading1"/>
      </w:pPr>
      <w:r>
        <w:t>12  Excel workbook guide and simulated examples</w:t>
      </w:r>
    </w:p>
    <w:p>
      <w:r>
        <w:t>Companion workbook Document 6B contains five FICTIONAL vendors aligned with Document 4 systems: facial recognition, chatbot, scheduling, forecasting and cybersecurity monitoring. Initial profiles are not approved. Missing records are explicitly identified as evidence pending; no vendor certifications, successful tests, implemented mitigations, or contracts are asserted. Workbook tabs: Guide; Vendor Register; Due Diligence; Evidence Gaps; Findings Actions; Contract Review; Incident Exit; Assessment History; Status History.</w:t>
      </w:r>
    </w:p>
    <w:p>
      <w:pPr>
        <w:pStyle w:val="Heading1"/>
      </w:pPr>
      <w:r>
        <w:t>13  Framework and primary references</w:t>
      </w:r>
    </w:p>
    <w:p>
      <w:r>
        <w:t>NIST AI Risk Management Framework 1.0 (voluntary guidance): GOVERN (roles, documentation, third-party governance), MAP (context and affected parties), MEASURE (testing/evidence), MANAGE (treatment, tracking, monitoring). The crosswalk is conceptual; none of the internal numeric/timing thresholds are mandated by NIST.</w:t>
      </w:r>
    </w:p>
    <w:p>
      <w:r>
        <w:t>NIST AI RMF: https://nvlpubs.nist.gov/nistpubs/ai/NIST.AI.100-1.pdf</w:t>
      </w:r>
    </w:p>
    <w:p>
      <w:r>
        <w:t>FTC Rite Aid case: https://www.ftc.gov/legal-library/browse/cases-proceedings/2023190-rite-aid-corporation-ftc-v</w:t>
      </w:r>
    </w:p>
    <w:p>
      <w:r>
        <w:t>Source classification: FTC materials = historical public record; this procedure and fictional supplier examples = proposed educational simulation. Validate any binding legal requirement against the final order and applicable law before real-world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Independent historical educational simulation  •  Not affiliated with or endorsed by Rite Aid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AGENT FLAMEZ  /  AI GOVERNANCE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F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F4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F4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