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Controls &amp; Human Oversight Policy</w:t>
      </w:r>
    </w:p>
    <w:p>
      <w:r>
        <w:t>DOCUMENT 7A  |  VERSION 1.0  |  DRAFT FOR REVIEW  |  21 OCTOBER 2026</w:t>
      </w:r>
    </w:p>
    <w:p>
      <w:r>
        <w:t>Independent historical Rite Aid AI governance educational simulation. Not affiliated with, endorsed by, or representative of Rite Aid's current internal program.</w:t>
      </w:r>
    </w:p>
    <w:p>
      <w:pPr>
        <w:pStyle w:val="Heading1"/>
      </w:pPr>
      <w:r>
        <w:t>1. Document Control &amp; Purpose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Item</w:t>
            </w:r>
          </w:p>
        </w:tc>
        <w:tc>
          <w:tcPr>
            <w:tcW w:type="dxa" w:w="4896"/>
          </w:tcPr>
          <w:p>
            <w:r>
              <w:t>Definition</w:t>
            </w:r>
          </w:p>
        </w:tc>
      </w:tr>
      <w:tr>
        <w:tc>
          <w:tcPr>
            <w:tcW w:type="dxa" w:w="4896"/>
          </w:tcPr>
          <w:p>
            <w:r>
              <w:t>Portfolio document</w:t>
            </w:r>
          </w:p>
        </w:tc>
        <w:tc>
          <w:tcPr>
            <w:tcW w:type="dxa" w:w="4896"/>
          </w:tcPr>
          <w:p>
            <w:r>
              <w:t>7A — AI Controls and Human Oversight Policy</w:t>
            </w:r>
          </w:p>
        </w:tc>
      </w:tr>
      <w:tr>
        <w:tc>
          <w:tcPr>
            <w:tcW w:type="dxa" w:w="4896"/>
          </w:tcPr>
          <w:p>
            <w:r>
              <w:t>Companion workbook</w:t>
            </w:r>
          </w:p>
        </w:tc>
        <w:tc>
          <w:tcPr>
            <w:tcW w:type="dxa" w:w="4896"/>
          </w:tcPr>
          <w:p>
            <w:r>
              <w:t>7B — AI Controls Testing Matrix V1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 — user review required</w:t>
            </w:r>
          </w:p>
        </w:tc>
      </w:tr>
      <w:tr>
        <w:tc>
          <w:tcPr>
            <w:tcW w:type="dxa" w:w="4896"/>
          </w:tcPr>
          <w:p>
            <w:r>
              <w:t>Applicability</w:t>
            </w:r>
          </w:p>
        </w:tc>
        <w:tc>
          <w:tcPr>
            <w:tcW w:type="dxa" w:w="4896"/>
          </w:tcPr>
          <w:p>
            <w:r>
              <w:t>Illustrative organization-wide governance policy; not an operationally deployed control</w:t>
            </w:r>
          </w:p>
        </w:tc>
      </w:tr>
      <w:tr>
        <w:tc>
          <w:tcPr>
            <w:tcW w:type="dxa" w:w="4896"/>
          </w:tcPr>
          <w:p>
            <w:r>
              <w:t>Authority</w:t>
            </w:r>
          </w:p>
        </w:tc>
        <w:tc>
          <w:tcPr>
            <w:tcW w:type="dxa" w:w="4896"/>
          </w:tcPr>
          <w:p>
            <w:r>
              <w:t>Proposed AI Governance Committee; actual appointments not asserted</w:t>
            </w:r>
          </w:p>
        </w:tc>
      </w:tr>
    </w:tbl>
    <w:p/>
    <w:p>
      <w:r>
        <w:t>Purpose. Convert the previously approved AI Governance Charter, Inventory/Intake Process and Risk Assessment Methodology into assignable, testable controls. This is a proposed educational policy. Historical Rite Aid FTC case material informs the example scenario but does not establish actual organizational implementation.</w:t>
      </w:r>
    </w:p>
    <w:p>
      <w:pPr>
        <w:pStyle w:val="Heading1"/>
      </w:pPr>
      <w:r>
        <w:t>2. Scope and Eight Control Categories</w:t>
      </w:r>
    </w:p>
    <w:p>
      <w:r>
        <w:t>Every AI system shall be assessed against every category. Applicability must be recorded; a Not Applicable conclusion requires written justification and GRC review. Applicable controls must be implemented and tested in proportion to system risk.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Category</w:t>
            </w:r>
          </w:p>
        </w:tc>
        <w:tc>
          <w:tcPr>
            <w:tcW w:type="dxa" w:w="4896"/>
          </w:tcPr>
          <w:p>
            <w:r>
              <w:t>Illustrative control objective</w:t>
            </w:r>
          </w:p>
        </w:tc>
      </w:tr>
      <w:tr>
        <w:tc>
          <w:tcPr>
            <w:tcW w:type="dxa" w:w="4896"/>
          </w:tcPr>
          <w:p>
            <w:r>
              <w:t>Data governance and privacy</w:t>
            </w:r>
          </w:p>
        </w:tc>
        <w:tc>
          <w:tcPr>
            <w:tcW w:type="dxa" w:w="4896"/>
          </w:tcPr>
          <w:p>
            <w:r>
              <w:t>Data minimization, appropriate handling and retention, data lineage</w:t>
            </w:r>
          </w:p>
        </w:tc>
      </w:tr>
      <w:tr>
        <w:tc>
          <w:tcPr>
            <w:tcW w:type="dxa" w:w="4896"/>
          </w:tcPr>
          <w:p>
            <w:r>
              <w:t>Security and access control</w:t>
            </w:r>
          </w:p>
        </w:tc>
        <w:tc>
          <w:tcPr>
            <w:tcW w:type="dxa" w:w="4896"/>
          </w:tcPr>
          <w:p>
            <w:r>
              <w:t>Least privilege, authentication, logging, integrity</w:t>
            </w:r>
          </w:p>
        </w:tc>
      </w:tr>
      <w:tr>
        <w:tc>
          <w:tcPr>
            <w:tcW w:type="dxa" w:w="4896"/>
          </w:tcPr>
          <w:p>
            <w:r>
              <w:t>Accuracy and reliability</w:t>
            </w:r>
          </w:p>
        </w:tc>
        <w:tc>
          <w:tcPr>
            <w:tcW w:type="dxa" w:w="4896"/>
          </w:tcPr>
          <w:p>
            <w:r>
              <w:t>Performance validation, known limitations, error management</w:t>
            </w:r>
          </w:p>
        </w:tc>
      </w:tr>
      <w:tr>
        <w:tc>
          <w:tcPr>
            <w:tcW w:type="dxa" w:w="4896"/>
          </w:tcPr>
          <w:p>
            <w:r>
              <w:t>Fairness and human impact</w:t>
            </w:r>
          </w:p>
        </w:tc>
        <w:tc>
          <w:tcPr>
            <w:tcW w:type="dxa" w:w="4896"/>
          </w:tcPr>
          <w:p>
            <w:r>
              <w:t>Impact evaluation, disparity analysis and corrective action</w:t>
            </w:r>
          </w:p>
        </w:tc>
      </w:tr>
      <w:tr>
        <w:tc>
          <w:tcPr>
            <w:tcW w:type="dxa" w:w="4896"/>
          </w:tcPr>
          <w:p>
            <w:r>
              <w:t>Human oversight and intervention</w:t>
            </w:r>
          </w:p>
        </w:tc>
        <w:tc>
          <w:tcPr>
            <w:tcW w:type="dxa" w:w="4896"/>
          </w:tcPr>
          <w:p>
            <w:r>
              <w:t>Meaningful human review, override and stop authority</w:t>
            </w:r>
          </w:p>
        </w:tc>
      </w:tr>
      <w:tr>
        <w:tc>
          <w:tcPr>
            <w:tcW w:type="dxa" w:w="4896"/>
          </w:tcPr>
          <w:p>
            <w:r>
              <w:t>Transparency and documentation</w:t>
            </w:r>
          </w:p>
        </w:tc>
        <w:tc>
          <w:tcPr>
            <w:tcW w:type="dxa" w:w="4896"/>
          </w:tcPr>
          <w:p>
            <w:r>
              <w:t>Intended use, limitations, responsibilities, decision records</w:t>
            </w:r>
          </w:p>
        </w:tc>
      </w:tr>
      <w:tr>
        <w:tc>
          <w:tcPr>
            <w:tcW w:type="dxa" w:w="4896"/>
          </w:tcPr>
          <w:p>
            <w:r>
              <w:t>Monitoring and change control</w:t>
            </w:r>
          </w:p>
        </w:tc>
        <w:tc>
          <w:tcPr>
            <w:tcW w:type="dxa" w:w="4896"/>
          </w:tcPr>
          <w:p>
            <w:r>
              <w:t>Drift monitoring, change approvals, post-change reassessment</w:t>
            </w:r>
          </w:p>
        </w:tc>
      </w:tr>
      <w:tr>
        <w:tc>
          <w:tcPr>
            <w:tcW w:type="dxa" w:w="4896"/>
          </w:tcPr>
          <w:p>
            <w:r>
              <w:t>Incident response and recovery</w:t>
            </w:r>
          </w:p>
        </w:tc>
        <w:tc>
          <w:tcPr>
            <w:tcW w:type="dxa" w:w="4896"/>
          </w:tcPr>
          <w:p>
            <w:r>
              <w:t>Containment, investigation, escalation and restart approval</w:t>
            </w:r>
          </w:p>
        </w:tc>
      </w:tr>
    </w:tbl>
    <w:p/>
    <w:p>
      <w:pPr>
        <w:pStyle w:val="Heading1"/>
      </w:pPr>
      <w:r>
        <w:t>3. Mandatory Human Oversight</w:t>
      </w:r>
    </w:p>
    <w:p>
      <w:r>
        <w:t>High and Critical risk AI systems must have a documented, tested oversight plan covering: (1) qualified and trained reviewers; (2) meaningful examination of AI outputs and supporting information; (3) authority to override recommendations; (4) escalation of disputed, uncertain or harmful outputs; (5) records of significant decisions and interventions; and (6) designated stop/suspend authority. Low and Moderate systems require an applicability assessment for the same six safeguards.</w:t>
      </w:r>
    </w:p>
    <w:p>
      <w:r>
        <w:t>Human review must be substantive rather than a rubber stamp. Reviewers must know system limitations and have time, information and authority to intervene. Human oversight does not permit conduct prohibited by law or an applicable order.</w:t>
      </w:r>
    </w:p>
    <w:p>
      <w:pPr>
        <w:pStyle w:val="Heading1"/>
      </w:pPr>
      <w:r>
        <w:t>4. Ownership and Responsibility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Role</w:t>
            </w:r>
          </w:p>
        </w:tc>
        <w:tc>
          <w:tcPr>
            <w:tcW w:type="dxa" w:w="4896"/>
          </w:tcPr>
          <w:p>
            <w:r>
              <w:t>Responsibility</w:t>
            </w:r>
          </w:p>
        </w:tc>
      </w:tr>
      <w:tr>
        <w:tc>
          <w:tcPr>
            <w:tcW w:type="dxa" w:w="4896"/>
          </w:tcPr>
          <w:p>
            <w:r>
              <w:t>Business Owner</w:t>
            </w:r>
          </w:p>
        </w:tc>
        <w:tc>
          <w:tcPr>
            <w:tcW w:type="dxa" w:w="4896"/>
          </w:tcPr>
          <w:p>
            <w:r>
              <w:t>Accountable for business use, risk and effects on people</w:t>
            </w:r>
          </w:p>
        </w:tc>
      </w:tr>
      <w:tr>
        <w:tc>
          <w:tcPr>
            <w:tcW w:type="dxa" w:w="4896"/>
          </w:tcPr>
          <w:p>
            <w:r>
              <w:t>Technical Owner</w:t>
            </w:r>
          </w:p>
        </w:tc>
        <w:tc>
          <w:tcPr>
            <w:tcW w:type="dxa" w:w="4896"/>
          </w:tcPr>
          <w:p>
            <w:r>
              <w:t>Accountable for technical operations, safeguards and changes</w:t>
            </w:r>
          </w:p>
        </w:tc>
      </w:tr>
      <w:tr>
        <w:tc>
          <w:tcPr>
            <w:tcW w:type="dxa" w:w="4896"/>
          </w:tcPr>
          <w:p>
            <w:r>
              <w:t>Named Control Owner</w:t>
            </w:r>
          </w:p>
        </w:tc>
        <w:tc>
          <w:tcPr>
            <w:tcW w:type="dxa" w:w="4896"/>
          </w:tcPr>
          <w:p>
            <w:r>
              <w:t>Runs assigned control, coordinates tests, remediates deficiencies</w:t>
            </w:r>
          </w:p>
        </w:tc>
      </w:tr>
      <w:tr>
        <w:tc>
          <w:tcPr>
            <w:tcW w:type="dxa" w:w="4896"/>
          </w:tcPr>
          <w:p>
            <w:r>
              <w:t>GRC</w:t>
            </w:r>
          </w:p>
        </w:tc>
        <w:tc>
          <w:tcPr>
            <w:tcW w:type="dxa" w:w="4896"/>
          </w:tcPr>
          <w:p>
            <w:r>
              <w:t>Defines and oversees requirements, reviews exceptions and reporting</w:t>
            </w:r>
          </w:p>
        </w:tc>
      </w:tr>
      <w:tr>
        <w:tc>
          <w:tcPr>
            <w:tcW w:type="dxa" w:w="4896"/>
          </w:tcPr>
          <w:p>
            <w:r>
              <w:t>Independent Reviewer</w:t>
            </w:r>
          </w:p>
        </w:tc>
        <w:tc>
          <w:tcPr>
            <w:tcW w:type="dxa" w:w="4896"/>
          </w:tcPr>
          <w:p>
            <w:r>
              <w:t>Verifies closure of significant findings</w:t>
            </w:r>
          </w:p>
        </w:tc>
      </w:tr>
      <w:tr>
        <w:tc>
          <w:tcPr>
            <w:tcW w:type="dxa" w:w="4896"/>
          </w:tcPr>
          <w:p>
            <w:r>
              <w:t>AI Governance Committee</w:t>
            </w:r>
          </w:p>
        </w:tc>
        <w:tc>
          <w:tcPr>
            <w:tcW w:type="dxa" w:w="4896"/>
          </w:tcPr>
          <w:p>
            <w:r>
              <w:t>Oversees High/Critical issues and appropriate approvals</w:t>
            </w:r>
          </w:p>
        </w:tc>
      </w:tr>
    </w:tbl>
    <w:p/>
    <w:p>
      <w:r>
        <w:t>Every applicable control must name a Control Owner. Business and Technical Owner responsibilities remain in force even when they also serve as Control Owners.</w:t>
      </w:r>
    </w:p>
    <w:p>
      <w:pPr>
        <w:pStyle w:val="Heading1"/>
      </w:pPr>
      <w:r>
        <w:t>5. Testing and Evidence</w:t>
      </w:r>
    </w:p>
    <w:p>
      <w:r>
        <w:t>Every applicable control shall undergo documented (1) predeployment testing, (2) scheduled risk-based testing, (3) event-triggered retesting, (4) evidence retention, (5) remediation management and (6) independent verification of significant finding closure. Depth and methods shall be tailored to risk.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AI classification</w:t>
            </w:r>
          </w:p>
        </w:tc>
        <w:tc>
          <w:tcPr>
            <w:tcW w:type="dxa" w:w="4896"/>
          </w:tcPr>
          <w:p>
            <w:r>
              <w:t>Formal control testing cycle</w:t>
            </w:r>
          </w:p>
        </w:tc>
      </w:tr>
      <w:tr>
        <w:tc>
          <w:tcPr>
            <w:tcW w:type="dxa" w:w="4896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Annually</w:t>
            </w:r>
          </w:p>
        </w:tc>
      </w:tr>
      <w:tr>
        <w:tc>
          <w:tcPr>
            <w:tcW w:type="dxa" w:w="4896"/>
          </w:tcPr>
          <w:p>
            <w:r>
              <w:t>Moderate</w:t>
            </w:r>
          </w:p>
        </w:tc>
        <w:tc>
          <w:tcPr>
            <w:tcW w:type="dxa" w:w="4896"/>
          </w:tcPr>
          <w:p>
            <w:r>
              <w:t>Every 6 months</w:t>
            </w:r>
          </w:p>
        </w:tc>
      </w:tr>
      <w:tr>
        <w:tc>
          <w:tcPr>
            <w:tcW w:type="dxa" w:w="4896"/>
          </w:tcPr>
          <w:p>
            <w:r>
              <w:t>High</w:t>
            </w:r>
          </w:p>
        </w:tc>
        <w:tc>
          <w:tcPr>
            <w:tcW w:type="dxa" w:w="4896"/>
          </w:tcPr>
          <w:p>
            <w:r>
              <w:t>Quarterly</w:t>
            </w:r>
          </w:p>
        </w:tc>
      </w:tr>
      <w:tr>
        <w:tc>
          <w:tcPr>
            <w:tcW w:type="dxa" w:w="4896"/>
          </w:tcPr>
          <w:p>
            <w:r>
              <w:t>Critical</w:t>
            </w:r>
          </w:p>
        </w:tc>
        <w:tc>
          <w:tcPr>
            <w:tcW w:type="dxa" w:w="4896"/>
          </w:tcPr>
          <w:p>
            <w:r>
              <w:t>Monthly</w:t>
            </w:r>
          </w:p>
        </w:tc>
      </w:tr>
    </w:tbl>
    <w:p/>
    <w:p>
      <w:r>
        <w:t>Event testing is required after material changes, significant control failures and relevant serious incidents. The charter's separate monthly monitoring and continuous alerts where feasible for High-risk AI still apply. Control testing is not interchangeable with system monitoring.</w:t>
      </w:r>
    </w:p>
    <w:p>
      <w:pPr>
        <w:pStyle w:val="Heading1"/>
      </w:pPr>
      <w:r>
        <w:t>6. Control Effectiveness Ratings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Rating</w:t>
            </w:r>
          </w:p>
        </w:tc>
        <w:tc>
          <w:tcPr>
            <w:tcW w:type="dxa" w:w="4896"/>
          </w:tcPr>
          <w:p>
            <w:r>
              <w:t>Permitted interpretation</w:t>
            </w:r>
          </w:p>
        </w:tc>
      </w:tr>
      <w:tr>
        <w:tc>
          <w:tcPr>
            <w:tcW w:type="dxa" w:w="4896"/>
          </w:tcPr>
          <w:p>
            <w:r>
              <w:t>Effective</w:t>
            </w:r>
          </w:p>
        </w:tc>
        <w:tc>
          <w:tcPr>
            <w:tcW w:type="dxa" w:w="4896"/>
          </w:tcPr>
          <w:p>
            <w:r>
              <w:t>Evidence-backed testing shows required criteria met</w:t>
            </w:r>
          </w:p>
        </w:tc>
      </w:tr>
      <w:tr>
        <w:tc>
          <w:tcPr>
            <w:tcW w:type="dxa" w:w="4896"/>
          </w:tcPr>
          <w:p>
            <w:r>
              <w:t>Partially Effective</w:t>
            </w:r>
          </w:p>
        </w:tc>
        <w:tc>
          <w:tcPr>
            <w:tcW w:type="dxa" w:w="4896"/>
          </w:tcPr>
          <w:p>
            <w:r>
              <w:t>Some requirements met; deficiencies remain</w:t>
            </w:r>
          </w:p>
        </w:tc>
      </w:tr>
      <w:tr>
        <w:tc>
          <w:tcPr>
            <w:tcW w:type="dxa" w:w="4896"/>
          </w:tcPr>
          <w:p>
            <w:r>
              <w:t>Ineffective</w:t>
            </w:r>
          </w:p>
        </w:tc>
        <w:tc>
          <w:tcPr>
            <w:tcW w:type="dxa" w:w="4896"/>
          </w:tcPr>
          <w:p>
            <w:r>
              <w:t>Control fails required testing</w:t>
            </w:r>
          </w:p>
        </w:tc>
      </w:tr>
      <w:tr>
        <w:tc>
          <w:tcPr>
            <w:tcW w:type="dxa" w:w="4896"/>
          </w:tcPr>
          <w:p>
            <w:r>
              <w:t>Not Tested</w:t>
            </w:r>
          </w:p>
        </w:tc>
        <w:tc>
          <w:tcPr>
            <w:tcW w:type="dxa" w:w="4896"/>
          </w:tcPr>
          <w:p>
            <w:r>
              <w:t>Effectiveness not demonstrated</w:t>
            </w:r>
          </w:p>
        </w:tc>
      </w:tr>
      <w:tr>
        <w:tc>
          <w:tcPr>
            <w:tcW w:type="dxa" w:w="4896"/>
          </w:tcPr>
          <w:p>
            <w:r>
              <w:t>Not Applicable</w:t>
            </w:r>
          </w:p>
        </w:tc>
        <w:tc>
          <w:tcPr>
            <w:tcW w:type="dxa" w:w="4896"/>
          </w:tcPr>
          <w:p>
            <w:r>
              <w:t>Documented justification reviewed by GRC</w:t>
            </w:r>
          </w:p>
        </w:tc>
      </w:tr>
    </w:tbl>
    <w:p/>
    <w:p>
      <w:r>
        <w:t>Only demonstrated effectiveness may support lower residual risk scores. Untested, hypothetical, or merely planned controls receive no risk-reduction credit.</w:t>
      </w:r>
    </w:p>
    <w:p>
      <w:pPr>
        <w:pStyle w:val="Heading1"/>
      </w:pPr>
      <w:r>
        <w:t>7. Test Records and History</w:t>
      </w:r>
    </w:p>
    <w:p>
      <w:r>
        <w:t>Each test must retain twelve record categories: (1) Control ID and AI System ID; (2) Control Owner; (3) objective; (4) procedure; (5) expected outcome; (6) actual outcome; (7) evidence reference; (8) tester/date; (9) effectiveness rating; (10) finding and corrective action; (11) independent closure verification; and (12) next testing date.</w:t>
      </w:r>
    </w:p>
    <w:p>
      <w:r>
        <w:t>Every execution is assigned a unique Test ID. Earlier test outcomes, evidence links, findings, remediation and reviewer decisions remain in a distinct Test History sheet; subsequent tests do not overwrite earlier records. A workbook demonstrates this structure but does not itself enforce tamper-resistant logging.</w:t>
      </w:r>
    </w:p>
    <w:p>
      <w:pPr>
        <w:pStyle w:val="Heading1"/>
      </w:pPr>
      <w:r>
        <w:t>8. Failed Controls, Escalation and Remediation</w:t>
      </w:r>
    </w:p>
    <w:p>
      <w:r>
        <w:t>Failures must be recorded and severity-assessed; an owner, correction and deadline assigned; serious findings escalated; correction retested; and significant closures independently verified. Escalate High findings within two business days and Critical findings immediately. Material failures that undermine mandatory High/Critical deployment safeguards must be resolved before deployment or restart.</w:t>
      </w:r>
    </w:p>
    <w:p>
      <w:r>
        <w:t>A serious incident involving an operating High-risk AI function requires immediate suspension of the affected functionality, investigation and documented authorization before restart, consistent with the previously approved charter.</w:t>
      </w:r>
    </w:p>
    <w:p>
      <w:pPr>
        <w:pStyle w:val="Heading1"/>
      </w:pPr>
      <w:r>
        <w:t>9. Exceptions and Approval Boundaries</w:t>
      </w:r>
    </w:p>
    <w:p>
      <w:r>
        <w:t>Any permitted exception requires seven elements: written reason; risk assessment; compensating controls; appropriate risk-based authorization; expiration date; periodic review; and documented evidence-based closure. Exceptions are not self-authorizing. They cannot waive prohibitions, legal obligations, or mandatory deployment safeguards.</w:t>
      </w:r>
    </w:p>
    <w:p>
      <w:r>
        <w:t>Approval authority follows the approved tiered framework: Low — Business Owner and GRC; Moderate — Business Owner, GRC and relevant Security/Privacy reviewers; High — AI Governance Committee; Critical — AI Governance Committee plus Executive Leadership. Risk acceptance, control exceptions and deployment approval are distinct decisions.</w:t>
      </w:r>
    </w:p>
    <w:p>
      <w:pPr>
        <w:pStyle w:val="Heading1"/>
      </w:pPr>
      <w:r>
        <w:t>10. Governance Reporting</w:t>
      </w:r>
    </w:p>
    <w:p>
      <w:r>
        <w:t>GRC shall report seven metrics: control coverage; testing completion; effectiveness distribution; open findings by severity; overdue remediation; active exceptions and expiration; and meaningful human interventions/overrides. The Committee receives monthly control reports for High/Critical AI systems. Critical failures and serious incidents trigger immediate escalation.</w:t>
      </w:r>
    </w:p>
    <w:p>
      <w:pPr>
        <w:pStyle w:val="Heading1"/>
      </w:pPr>
      <w:r>
        <w:t>11. Testing Lifecycle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Meaning</w:t>
            </w:r>
          </w:p>
        </w:tc>
      </w:tr>
      <w:tr>
        <w:tc>
          <w:tcPr>
            <w:tcW w:type="dxa" w:w="4896"/>
          </w:tcPr>
          <w:p>
            <w:r>
              <w:t>Not Scheduled</w:t>
            </w:r>
          </w:p>
        </w:tc>
        <w:tc>
          <w:tcPr>
            <w:tcW w:type="dxa" w:w="4896"/>
          </w:tcPr>
          <w:p>
            <w:r>
              <w:t>No test date set</w:t>
            </w:r>
          </w:p>
        </w:tc>
      </w:tr>
      <w:tr>
        <w:tc>
          <w:tcPr>
            <w:tcW w:type="dxa" w:w="4896"/>
          </w:tcPr>
          <w:p>
            <w:r>
              <w:t>Scheduled</w:t>
            </w:r>
          </w:p>
        </w:tc>
        <w:tc>
          <w:tcPr>
            <w:tcW w:type="dxa" w:w="4896"/>
          </w:tcPr>
          <w:p>
            <w:r>
              <w:t>Planned</w:t>
            </w:r>
          </w:p>
        </w:tc>
      </w:tr>
      <w:tr>
        <w:tc>
          <w:tcPr>
            <w:tcW w:type="dxa" w:w="4896"/>
          </w:tcPr>
          <w:p>
            <w:r>
              <w:t>In Progress</w:t>
            </w:r>
          </w:p>
        </w:tc>
        <w:tc>
          <w:tcPr>
            <w:tcW w:type="dxa" w:w="4896"/>
          </w:tcPr>
          <w:p>
            <w:r>
              <w:t>Execution underway</w:t>
            </w:r>
          </w:p>
        </w:tc>
      </w:tr>
      <w:tr>
        <w:tc>
          <w:tcPr>
            <w:tcW w:type="dxa" w:w="4896"/>
          </w:tcPr>
          <w:p>
            <w:r>
              <w:t>Evidence Pending</w:t>
            </w:r>
          </w:p>
        </w:tc>
        <w:tc>
          <w:tcPr>
            <w:tcW w:type="dxa" w:w="4896"/>
          </w:tcPr>
          <w:p>
            <w:r>
              <w:t>Required proof outstanding</w:t>
            </w:r>
          </w:p>
        </w:tc>
      </w:tr>
      <w:tr>
        <w:tc>
          <w:tcPr>
            <w:tcW w:type="dxa" w:w="4896"/>
          </w:tcPr>
          <w:p>
            <w:r>
              <w:t>Completed</w:t>
            </w:r>
          </w:p>
        </w:tc>
        <w:tc>
          <w:tcPr>
            <w:tcW w:type="dxa" w:w="4896"/>
          </w:tcPr>
          <w:p>
            <w:r>
              <w:t>Test completed; not necessarily passed</w:t>
            </w:r>
          </w:p>
        </w:tc>
      </w:tr>
      <w:tr>
        <w:tc>
          <w:tcPr>
            <w:tcW w:type="dxa" w:w="4896"/>
          </w:tcPr>
          <w:p>
            <w:r>
              <w:t>Remediation Open</w:t>
            </w:r>
          </w:p>
        </w:tc>
        <w:tc>
          <w:tcPr>
            <w:tcW w:type="dxa" w:w="4896"/>
          </w:tcPr>
          <w:p>
            <w:r>
              <w:t>Deficiency pending resolution</w:t>
            </w:r>
          </w:p>
        </w:tc>
      </w:tr>
      <w:tr>
        <w:tc>
          <w:tcPr>
            <w:tcW w:type="dxa" w:w="4896"/>
          </w:tcPr>
          <w:p>
            <w:r>
              <w:t>Retest Pending</w:t>
            </w:r>
          </w:p>
        </w:tc>
        <w:tc>
          <w:tcPr>
            <w:tcW w:type="dxa" w:w="4896"/>
          </w:tcPr>
          <w:p>
            <w:r>
              <w:t>Correction awaits verification</w:t>
            </w:r>
          </w:p>
        </w:tc>
      </w:tr>
      <w:tr>
        <w:tc>
          <w:tcPr>
            <w:tcW w:type="dxa" w:w="4896"/>
          </w:tcPr>
          <w:p>
            <w:r>
              <w:t>Closed</w:t>
            </w:r>
          </w:p>
        </w:tc>
        <w:tc>
          <w:tcPr>
            <w:tcW w:type="dxa" w:w="4896"/>
          </w:tcPr>
          <w:p>
            <w:r>
              <w:t>Required verification and approval concluded</w:t>
            </w:r>
          </w:p>
        </w:tc>
      </w:tr>
    </w:tbl>
    <w:p/>
    <w:p>
      <w:r>
        <w:t>Test workflow status must not be conflated with effectiveness rating. A completed test may be Ineffective and require remediation. Retain dated status changes in Test History or status log.</w:t>
      </w:r>
    </w:p>
    <w:p>
      <w:pPr>
        <w:pStyle w:val="Heading1"/>
      </w:pPr>
      <w:r>
        <w:t>12. Simulation Controls, Limitations, and Alignment</w:t>
      </w:r>
    </w:p>
    <w:p>
      <w:r>
        <w:t>Five examples: AI-001 facial recognition (historical case-study subject, illustrative control details); AI-002 customer service chatbot; AI-003 employee scheduling; AI-004 inventory forecasting; AI-005 cybersecurity monitoring (AI-002–005 entirely hypothetical). All example tests are Not Tested and have no verified operating results, named employees, or fictional evidence of completion.</w:t>
      </w:r>
    </w:p>
    <w:p>
      <w:r>
        <w:t>NIST AI RMF conceptual alignment: GOVERN (roles, policies, oversight), MAP (systems, context, impacts), MEASURE (testing and evidence), MANAGE (treatment, monitoring, escalation). The RMF is voluntary guidance; the control categories and cadences in this policy are proposed design choices, not NIST mandates.</w:t>
      </w:r>
    </w:p>
    <w:p>
      <w:pPr>
        <w:pStyle w:val="Heading1"/>
      </w:pPr>
      <w:r>
        <w:t>13. Reference Materials</w:t>
      </w:r>
    </w:p>
    <w:p>
      <w:r>
        <w:t>NIST AI Risk Management Framework (AI RMF 1.0): https://nvlpubs.nist.gov/nistpubs/ai/NIST.AI.100-1.pdf</w:t>
      </w:r>
    </w:p>
    <w:p>
      <w:r>
        <w:t>FTC Rite Aid matter (historical case documentation): https://www.ftc.gov/legal-library/browse/cases-proceedings/2023190-rite-aid-corporation-ftc-v</w:t>
      </w:r>
    </w:p>
    <w:p>
      <w:r>
        <w:t>Next step: User reviews and approves or requests edits. Approval of the educational portfolio document is not operational approval of any AI system.</w:t>
      </w:r>
    </w:p>
    <w:sectPr w:rsidR="00FC693F" w:rsidRPr="0006063C" w:rsidSect="00034616">
      <w:footerReference w:type="default" r:id="rId9"/>
      <w:pgSz w:w="12240" w:h="15840"/>
      <w:pgMar w:top="1066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FLAMEZ  |  EDUCATIONAL SIMULATION  |  DRAFT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75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75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