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Monitoring &amp; Incident Response Plan</w:t>
      </w:r>
    </w:p>
    <w:p>
      <w:pPr>
        <w:pStyle w:val="Subtitle"/>
      </w:pPr>
      <w:r>
        <w:t>Document 8A | Proposed policy and operating procedure</w:t>
      </w:r>
    </w:p>
    <w:p>
      <w:r>
        <w:rPr>
          <w:b/>
          <w:sz w:val="16"/>
        </w:rPr>
        <w:t>INDEPENDENT HISTORICAL EDUCATIONAL SIMULATION  |  NOT AFFILIATED WITH RITE AID</w:t>
      </w:r>
    </w:p>
    <w:p>
      <w:r>
        <w:t>Version 1.0  |  21 October 2026  |  Status: Draft — awaiting portfolio owner approval</w:t>
      </w:r>
    </w:p>
    <w:p>
      <w:pPr>
        <w:pStyle w:val="Heading1"/>
      </w:pPr>
      <w:r>
        <w:t>1. Purpose, scope and source distinctions</w:t>
      </w:r>
    </w:p>
    <w:p>
      <w:r>
        <w:t>Design proposed post-deployment monitoring and AI incident response for all AI systems in the organization-wide educational simulation. This document does not describe Rite Aid's current operations. The historical FTC Rite Aid facial-recognition matter serves only as case-study context; illustrative alerts and incidents are not historical findings.</w:t>
      </w:r>
    </w:p>
    <w:p>
      <w:r>
        <w:t>Reference framework: NIST AI RMF 1.0 (Govern, Map, Measure, Manage), voluntary guidance. Numerical targets and frequencies below are portfolio design choices rather than NIST or FTC mandates.</w:t>
      </w:r>
    </w:p>
    <w:p>
      <w:pPr>
        <w:pStyle w:val="Heading1"/>
      </w:pPr>
      <w:r>
        <w:t>2. Monitoring requirements and ownership</w:t>
      </w:r>
    </w:p>
    <w:p>
      <w:r>
        <w:t>Every system shall be reviewed for applicability of all eight categories. Any Not Applicable determination requires written justification and GRC review. Record indicator definitions, owner roles, evidence locations, thresholds, and review dates in the monitoring tracker.</w:t>
      </w:r>
    </w:p>
    <w:tbl>
      <w:tblPr>
        <w:tblStyle w:val="LightShading-Accent1"/>
        <w:tblW w:type="auto" w:w="0"/>
        <w:jc w:val="center"/>
        <w:tblLook w:firstColumn="1" w:firstRow="1" w:lastColumn="0" w:lastRow="0" w:noHBand="0" w:noVBand="1" w:val="04A0"/>
      </w:tblPr>
      <w:tblGrid>
        <w:gridCol w:w="4925"/>
        <w:gridCol w:w="4925"/>
      </w:tblGrid>
      <w:tr>
        <w:tc>
          <w:tcPr>
            <w:tcW w:type="dxa" w:w="4925"/>
            <w:shd w:fill="17324F"/>
          </w:tcPr>
          <w:p>
            <w:r>
              <w:rPr>
                <w:b/>
                <w:color w:val="FFFFFF"/>
                <w:sz w:val="16"/>
              </w:rPr>
              <w:t>Monitoring domain</w:t>
            </w:r>
          </w:p>
        </w:tc>
        <w:tc>
          <w:tcPr>
            <w:tcW w:type="dxa" w:w="4925"/>
            <w:shd w:fill="17324F"/>
          </w:tcPr>
          <w:p>
            <w:r>
              <w:rPr>
                <w:b/>
                <w:color w:val="FFFFFF"/>
                <w:sz w:val="16"/>
              </w:rPr>
              <w:t>Example proposed indicator</w:t>
            </w:r>
          </w:p>
        </w:tc>
      </w:tr>
      <w:tr>
        <w:tc>
          <w:tcPr>
            <w:tcW w:type="dxa" w:w="4925"/>
          </w:tcPr>
          <w:p>
            <w:r>
              <w:rPr>
                <w:sz w:val="16"/>
              </w:rPr>
              <w:t>Accuracy and performance</w:t>
            </w:r>
          </w:p>
        </w:tc>
        <w:tc>
          <w:tcPr>
            <w:tcW w:type="dxa" w:w="4925"/>
          </w:tcPr>
          <w:p>
            <w:r>
              <w:rPr>
                <w:sz w:val="16"/>
              </w:rPr>
              <w:t>Error and false-match trend</w:t>
            </w:r>
          </w:p>
        </w:tc>
      </w:tr>
      <w:tr>
        <w:tc>
          <w:tcPr>
            <w:tcW w:type="dxa" w:w="4925"/>
          </w:tcPr>
          <w:p>
            <w:r>
              <w:rPr>
                <w:sz w:val="16"/>
              </w:rPr>
              <w:t>Fairness and human impact</w:t>
            </w:r>
          </w:p>
        </w:tc>
        <w:tc>
          <w:tcPr>
            <w:tcW w:type="dxa" w:w="4925"/>
          </w:tcPr>
          <w:p>
            <w:r>
              <w:rPr>
                <w:sz w:val="16"/>
              </w:rPr>
              <w:t>Complaints and unequal outcomes</w:t>
            </w:r>
          </w:p>
        </w:tc>
      </w:tr>
      <w:tr>
        <w:tc>
          <w:tcPr>
            <w:tcW w:type="dxa" w:w="4925"/>
          </w:tcPr>
          <w:p>
            <w:r>
              <w:rPr>
                <w:sz w:val="16"/>
              </w:rPr>
              <w:t>Privacy and data protection</w:t>
            </w:r>
          </w:p>
        </w:tc>
        <w:tc>
          <w:tcPr>
            <w:tcW w:type="dxa" w:w="4925"/>
          </w:tcPr>
          <w:p>
            <w:r>
              <w:rPr>
                <w:sz w:val="16"/>
              </w:rPr>
              <w:t>Unapproved sensitive-data processing</w:t>
            </w:r>
          </w:p>
        </w:tc>
      </w:tr>
      <w:tr>
        <w:tc>
          <w:tcPr>
            <w:tcW w:type="dxa" w:w="4925"/>
          </w:tcPr>
          <w:p>
            <w:r>
              <w:rPr>
                <w:sz w:val="16"/>
              </w:rPr>
              <w:t>Security</w:t>
            </w:r>
          </w:p>
        </w:tc>
        <w:tc>
          <w:tcPr>
            <w:tcW w:type="dxa" w:w="4925"/>
          </w:tcPr>
          <w:p>
            <w:r>
              <w:rPr>
                <w:sz w:val="16"/>
              </w:rPr>
              <w:t>Suspicious access and vulnerabilities</w:t>
            </w:r>
          </w:p>
        </w:tc>
      </w:tr>
      <w:tr>
        <w:tc>
          <w:tcPr>
            <w:tcW w:type="dxa" w:w="4925"/>
          </w:tcPr>
          <w:p>
            <w:r>
              <w:rPr>
                <w:sz w:val="16"/>
              </w:rPr>
              <w:t>Human oversight</w:t>
            </w:r>
          </w:p>
        </w:tc>
        <w:tc>
          <w:tcPr>
            <w:tcW w:type="dxa" w:w="4925"/>
          </w:tcPr>
          <w:p>
            <w:r>
              <w:rPr>
                <w:sz w:val="16"/>
              </w:rPr>
              <w:t>Override and escalation frequency</w:t>
            </w:r>
          </w:p>
        </w:tc>
      </w:tr>
      <w:tr>
        <w:tc>
          <w:tcPr>
            <w:tcW w:type="dxa" w:w="4925"/>
          </w:tcPr>
          <w:p>
            <w:r>
              <w:rPr>
                <w:sz w:val="16"/>
              </w:rPr>
              <w:t>System changes and drift</w:t>
            </w:r>
          </w:p>
        </w:tc>
        <w:tc>
          <w:tcPr>
            <w:tcW w:type="dxa" w:w="4925"/>
          </w:tcPr>
          <w:p>
            <w:r>
              <w:rPr>
                <w:sz w:val="16"/>
              </w:rPr>
              <w:t>Unreviewed model or data changes</w:t>
            </w:r>
          </w:p>
        </w:tc>
      </w:tr>
      <w:tr>
        <w:tc>
          <w:tcPr>
            <w:tcW w:type="dxa" w:w="4925"/>
          </w:tcPr>
          <w:p>
            <w:r>
              <w:rPr>
                <w:sz w:val="16"/>
              </w:rPr>
              <w:t>Vendor and third-party issues</w:t>
            </w:r>
          </w:p>
        </w:tc>
        <w:tc>
          <w:tcPr>
            <w:tcW w:type="dxa" w:w="4925"/>
          </w:tcPr>
          <w:p>
            <w:r>
              <w:rPr>
                <w:sz w:val="16"/>
              </w:rPr>
              <w:t>Vendor incidents or open findings</w:t>
            </w:r>
          </w:p>
        </w:tc>
      </w:tr>
      <w:tr>
        <w:tc>
          <w:tcPr>
            <w:tcW w:type="dxa" w:w="4925"/>
          </w:tcPr>
          <w:p>
            <w:r>
              <w:rPr>
                <w:sz w:val="16"/>
              </w:rPr>
              <w:t>Incidents and corrective actions</w:t>
            </w:r>
          </w:p>
        </w:tc>
        <w:tc>
          <w:tcPr>
            <w:tcW w:type="dxa" w:w="4925"/>
          </w:tcPr>
          <w:p>
            <w:r>
              <w:rPr>
                <w:sz w:val="16"/>
              </w:rPr>
              <w:t>Open incidents and overdue actions</w:t>
            </w:r>
          </w:p>
        </w:tc>
      </w:tr>
    </w:tbl>
    <w:p>
      <w:r>
        <w:t>High-risk AI systems: formal monthly monitoring reviews and continuous automated alerts where feasible. High/Critical controls reporting: monthly to the AI Governance Committee. Where a baseline is unknown, mark it Unknown; do not invent thresholds or claim an alert is live.</w:t>
      </w:r>
    </w:p>
    <w:p>
      <w:pPr>
        <w:pStyle w:val="Heading1"/>
      </w:pPr>
      <w:r>
        <w:t>3. Severity, response, and escalation</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shd w:fill="17324F"/>
          </w:tcPr>
          <w:p>
            <w:r>
              <w:rPr>
                <w:b/>
                <w:color w:val="FFFFFF"/>
                <w:sz w:val="16"/>
              </w:rPr>
              <w:t>Level</w:t>
            </w:r>
          </w:p>
        </w:tc>
        <w:tc>
          <w:tcPr>
            <w:tcW w:type="dxa" w:w="3283"/>
            <w:shd w:fill="17324F"/>
          </w:tcPr>
          <w:p>
            <w:r>
              <w:rPr>
                <w:b/>
                <w:color w:val="FFFFFF"/>
                <w:sz w:val="16"/>
              </w:rPr>
              <w:t>Initial response target</w:t>
            </w:r>
          </w:p>
        </w:tc>
        <w:tc>
          <w:tcPr>
            <w:tcW w:type="dxa" w:w="3283"/>
            <w:shd w:fill="17324F"/>
          </w:tcPr>
          <w:p>
            <w:r>
              <w:rPr>
                <w:b/>
                <w:color w:val="FFFFFF"/>
                <w:sz w:val="16"/>
              </w:rPr>
              <w:t>Escalation / containment</w:t>
            </w:r>
          </w:p>
        </w:tc>
      </w:tr>
      <w:tr>
        <w:tc>
          <w:tcPr>
            <w:tcW w:type="dxa" w:w="3283"/>
          </w:tcPr>
          <w:p>
            <w:r>
              <w:rPr>
                <w:sz w:val="16"/>
              </w:rPr>
              <w:t>Low</w:t>
            </w:r>
          </w:p>
        </w:tc>
        <w:tc>
          <w:tcPr>
            <w:tcW w:type="dxa" w:w="3283"/>
          </w:tcPr>
          <w:p>
            <w:r>
              <w:rPr>
                <w:sz w:val="16"/>
              </w:rPr>
              <w:t>Within 2 business days</w:t>
            </w:r>
          </w:p>
        </w:tc>
        <w:tc>
          <w:tcPr>
            <w:tcW w:type="dxa" w:w="3283"/>
          </w:tcPr>
          <w:p>
            <w:r>
              <w:rPr>
                <w:sz w:val="16"/>
              </w:rPr>
              <w:t>Routine review</w:t>
            </w:r>
          </w:p>
        </w:tc>
      </w:tr>
      <w:tr>
        <w:tc>
          <w:tcPr>
            <w:tcW w:type="dxa" w:w="3283"/>
          </w:tcPr>
          <w:p>
            <w:r>
              <w:rPr>
                <w:sz w:val="16"/>
              </w:rPr>
              <w:t>Moderate</w:t>
            </w:r>
          </w:p>
        </w:tc>
        <w:tc>
          <w:tcPr>
            <w:tcW w:type="dxa" w:w="3283"/>
          </w:tcPr>
          <w:p>
            <w:r>
              <w:rPr>
                <w:sz w:val="16"/>
              </w:rPr>
              <w:t>Within 1 business day</w:t>
            </w:r>
          </w:p>
        </w:tc>
        <w:tc>
          <w:tcPr>
            <w:tcW w:type="dxa" w:w="3283"/>
          </w:tcPr>
          <w:p>
            <w:r>
              <w:rPr>
                <w:sz w:val="16"/>
              </w:rPr>
              <w:t>Investigation and documented follow-up</w:t>
            </w:r>
          </w:p>
        </w:tc>
      </w:tr>
      <w:tr>
        <w:tc>
          <w:tcPr>
            <w:tcW w:type="dxa" w:w="3283"/>
          </w:tcPr>
          <w:p>
            <w:r>
              <w:rPr>
                <w:sz w:val="16"/>
              </w:rPr>
              <w:t>High</w:t>
            </w:r>
          </w:p>
        </w:tc>
        <w:tc>
          <w:tcPr>
            <w:tcW w:type="dxa" w:w="3283"/>
          </w:tcPr>
          <w:p>
            <w:r>
              <w:rPr>
                <w:sz w:val="16"/>
              </w:rPr>
              <w:t>Within 1 hour</w:t>
            </w:r>
          </w:p>
        </w:tc>
        <w:tc>
          <w:tcPr>
            <w:tcW w:type="dxa" w:w="3283"/>
          </w:tcPr>
          <w:p>
            <w:r>
              <w:rPr>
                <w:sz w:val="16"/>
              </w:rPr>
              <w:t>Immediate containment assessment; committee escalation within 2 business days</w:t>
            </w:r>
          </w:p>
        </w:tc>
      </w:tr>
      <w:tr>
        <w:tc>
          <w:tcPr>
            <w:tcW w:type="dxa" w:w="3283"/>
          </w:tcPr>
          <w:p>
            <w:r>
              <w:rPr>
                <w:sz w:val="16"/>
              </w:rPr>
              <w:t>Critical</w:t>
            </w:r>
          </w:p>
        </w:tc>
        <w:tc>
          <w:tcPr>
            <w:tcW w:type="dxa" w:w="3283"/>
          </w:tcPr>
          <w:p>
            <w:r>
              <w:rPr>
                <w:sz w:val="16"/>
              </w:rPr>
              <w:t>Immediately</w:t>
            </w:r>
          </w:p>
        </w:tc>
        <w:tc>
          <w:tcPr>
            <w:tcW w:type="dxa" w:w="3283"/>
          </w:tcPr>
          <w:p>
            <w:r>
              <w:rPr>
                <w:sz w:val="16"/>
              </w:rPr>
              <w:t>Immediate escalation to committee/executive leadership and appropriate containment</w:t>
            </w:r>
          </w:p>
        </w:tc>
      </w:tr>
    </w:tbl>
    <w:p>
      <w:r>
        <w:t>Override rule: a serious incident involving an operating high-risk AI function requires immediate suspension of the affected function regardless of alert level or general target. Designated responders may suspend immediately without prior committee approval.</w:t>
      </w:r>
    </w:p>
    <w:p>
      <w:pPr>
        <w:pStyle w:val="Heading1"/>
      </w:pPr>
      <w:r>
        <w:t>4. Incident response authority and stages</w:t>
      </w:r>
    </w:p>
    <w:tbl>
      <w:tblPr>
        <w:tblStyle w:val="LightShading-Accent1"/>
        <w:tblW w:type="auto" w:w="0"/>
        <w:jc w:val="center"/>
        <w:tblLook w:firstColumn="1" w:firstRow="1" w:lastColumn="0" w:lastRow="0" w:noHBand="0" w:noVBand="1" w:val="04A0"/>
      </w:tblPr>
      <w:tblGrid>
        <w:gridCol w:w="4925"/>
        <w:gridCol w:w="4925"/>
      </w:tblGrid>
      <w:tr>
        <w:tc>
          <w:tcPr>
            <w:tcW w:type="dxa" w:w="4925"/>
            <w:shd w:fill="17324F"/>
          </w:tcPr>
          <w:p>
            <w:r>
              <w:rPr>
                <w:b/>
                <w:color w:val="FFFFFF"/>
                <w:sz w:val="16"/>
              </w:rPr>
              <w:t>Role</w:t>
            </w:r>
          </w:p>
        </w:tc>
        <w:tc>
          <w:tcPr>
            <w:tcW w:type="dxa" w:w="4925"/>
            <w:shd w:fill="17324F"/>
          </w:tcPr>
          <w:p>
            <w:r>
              <w:rPr>
                <w:b/>
                <w:color w:val="FFFFFF"/>
                <w:sz w:val="16"/>
              </w:rPr>
              <w:t>Accountability</w:t>
            </w:r>
          </w:p>
        </w:tc>
      </w:tr>
      <w:tr>
        <w:tc>
          <w:tcPr>
            <w:tcW w:type="dxa" w:w="4925"/>
          </w:tcPr>
          <w:p>
            <w:r>
              <w:rPr>
                <w:sz w:val="16"/>
              </w:rPr>
              <w:t>Incident Commander</w:t>
            </w:r>
          </w:p>
        </w:tc>
        <w:tc>
          <w:tcPr>
            <w:tcW w:type="dxa" w:w="4925"/>
          </w:tcPr>
          <w:p>
            <w:r>
              <w:rPr>
                <w:sz w:val="16"/>
              </w:rPr>
              <w:t>Directs coordination, timeline, decisions</w:t>
            </w:r>
          </w:p>
        </w:tc>
      </w:tr>
      <w:tr>
        <w:tc>
          <w:tcPr>
            <w:tcW w:type="dxa" w:w="4925"/>
          </w:tcPr>
          <w:p>
            <w:r>
              <w:rPr>
                <w:sz w:val="16"/>
              </w:rPr>
              <w:t>Technical Owner</w:t>
            </w:r>
          </w:p>
        </w:tc>
        <w:tc>
          <w:tcPr>
            <w:tcW w:type="dxa" w:w="4925"/>
          </w:tcPr>
          <w:p>
            <w:r>
              <w:rPr>
                <w:sz w:val="16"/>
              </w:rPr>
              <w:t>Technical containment, logs, evidence</w:t>
            </w:r>
          </w:p>
        </w:tc>
      </w:tr>
      <w:tr>
        <w:tc>
          <w:tcPr>
            <w:tcW w:type="dxa" w:w="4925"/>
          </w:tcPr>
          <w:p>
            <w:r>
              <w:rPr>
                <w:sz w:val="16"/>
              </w:rPr>
              <w:t>Business Owner</w:t>
            </w:r>
          </w:p>
        </w:tc>
        <w:tc>
          <w:tcPr>
            <w:tcW w:type="dxa" w:w="4925"/>
          </w:tcPr>
          <w:p>
            <w:r>
              <w:rPr>
                <w:sz w:val="16"/>
              </w:rPr>
              <w:t>Operational and human impacts</w:t>
            </w:r>
          </w:p>
        </w:tc>
      </w:tr>
      <w:tr>
        <w:tc>
          <w:tcPr>
            <w:tcW w:type="dxa" w:w="4925"/>
          </w:tcPr>
          <w:p>
            <w:r>
              <w:rPr>
                <w:sz w:val="16"/>
              </w:rPr>
              <w:t>GRC</w:t>
            </w:r>
          </w:p>
        </w:tc>
        <w:tc>
          <w:tcPr>
            <w:tcW w:type="dxa" w:w="4925"/>
          </w:tcPr>
          <w:p>
            <w:r>
              <w:rPr>
                <w:sz w:val="16"/>
              </w:rPr>
              <w:t>Risk records, controls, remediation</w:t>
            </w:r>
          </w:p>
        </w:tc>
      </w:tr>
      <w:tr>
        <w:tc>
          <w:tcPr>
            <w:tcW w:type="dxa" w:w="4925"/>
          </w:tcPr>
          <w:p>
            <w:r>
              <w:rPr>
                <w:sz w:val="16"/>
              </w:rPr>
              <w:t>Legal/Privacy</w:t>
            </w:r>
          </w:p>
        </w:tc>
        <w:tc>
          <w:tcPr>
            <w:tcW w:type="dxa" w:w="4925"/>
          </w:tcPr>
          <w:p>
            <w:r>
              <w:rPr>
                <w:sz w:val="16"/>
              </w:rPr>
              <w:t>Legal holds, rights, notification obligations</w:t>
            </w:r>
          </w:p>
        </w:tc>
      </w:tr>
      <w:tr>
        <w:tc>
          <w:tcPr>
            <w:tcW w:type="dxa" w:w="4925"/>
          </w:tcPr>
          <w:p>
            <w:r>
              <w:rPr>
                <w:sz w:val="16"/>
              </w:rPr>
              <w:t>AI Governance Committee</w:t>
            </w:r>
          </w:p>
        </w:tc>
        <w:tc>
          <w:tcPr>
            <w:tcW w:type="dxa" w:w="4925"/>
          </w:tcPr>
          <w:p>
            <w:r>
              <w:rPr>
                <w:sz w:val="16"/>
              </w:rPr>
              <w:t>Oversight and required restart approvals</w:t>
            </w:r>
          </w:p>
        </w:tc>
      </w:tr>
      <w:tr>
        <w:tc>
          <w:tcPr>
            <w:tcW w:type="dxa" w:w="4925"/>
          </w:tcPr>
          <w:p>
            <w:r>
              <w:rPr>
                <w:sz w:val="16"/>
              </w:rPr>
              <w:t>Executive Leadership</w:t>
            </w:r>
          </w:p>
        </w:tc>
        <w:tc>
          <w:tcPr>
            <w:tcW w:type="dxa" w:w="4925"/>
          </w:tcPr>
          <w:p>
            <w:r>
              <w:rPr>
                <w:sz w:val="16"/>
              </w:rPr>
              <w:t>Critical incident oversight</w:t>
            </w:r>
          </w:p>
        </w:tc>
      </w:tr>
    </w:tbl>
    <w:p>
      <w:r>
        <w:t>Six required stages: (1) Detect/report; (2) Triage/classify; (3) Contain; (4) Investigate; (5) Remediate/validate; (6) Authorize recovery where permissible, and review. Record evidence and timestamps for all stages.</w:t>
      </w:r>
    </w:p>
    <w:p>
      <w:pPr>
        <w:pStyle w:val="Heading1"/>
      </w:pPr>
      <w:r>
        <w:t>5. Mandatory incident evidence</w:t>
      </w:r>
    </w:p>
    <w:p>
      <w:r>
        <w:t>Each incident record shall cover 12 categories: incident and system IDs; detection time/source; description; severity/affected people; Incident Commander/owners; containment and timestamps; evidence references; investigation/root cause; corrective action/validation; communications/legal review; restart authorization; and closure/lessons learned. Label unknowns, allegations, and confirmed facts separately; limit sensitive personal information.</w:t>
      </w:r>
    </w:p>
    <w:p>
      <w:pPr>
        <w:pStyle w:val="Heading1"/>
      </w:pPr>
      <w:r>
        <w:t>6. Investigation and communication safeguards</w:t>
      </w:r>
    </w:p>
    <w:p>
      <w:r>
        <w:t>Apply all seven investigation safeguards proportionately: preserve evidence; chain of custody; sensitive-data protection; incident timeline; fact/uncertainty separation; root cause and impact analysis; and retention/legal holds. Evidence preservation must not delay immediate containment.</w:t>
      </w:r>
    </w:p>
    <w:p>
      <w:r>
        <w:t>Apply all seven communications controls: internal notification; Legal/Privacy review; affected-person notification where required; regulatory notification where required; vendor coordination; approved external spokespeople; and a communication log. Legal/Privacy determines applicable external deadlines. Document 6 vendor notice targets (Critical 24h, High 48h, Moderate 5 business days from discovery) are vendor-to-organization contractual proposals, not regulatory reporting deadlines.</w:t>
      </w:r>
    </w:p>
    <w:p>
      <w:pPr>
        <w:pStyle w:val="Heading1"/>
      </w:pPr>
      <w:r>
        <w:t>7. Recovery gate and post-incident learning</w:t>
      </w:r>
    </w:p>
    <w:p>
      <w:r>
        <w:t>Before any restart of suspended high-risk AI functionality: document root cause assessment, completed remediation, control retesting, updated risk assessment, Legal/Privacy clearance, formal AI Governance Committee and other required authorization, and enhanced post-restart monitoring. No restart is permitted where laws or binding orders prohibit it. Incident closure may occur with permanent discontinuation.</w:t>
      </w:r>
    </w:p>
    <w:p>
      <w:r>
        <w:t>Every incident receives a proportional eight-area post-incident review: timeline; causes; human impacts; control effectiveness; action plans; policy/training updates; governance reporting; and follow-up verification. Target review completion for High/Critical incidents: 10 business days after containment and stabilization; Incident Commander approves documented extensions.</w:t>
      </w:r>
    </w:p>
    <w:p>
      <w:pPr>
        <w:pStyle w:val="Heading1"/>
      </w:pPr>
      <w:r>
        <w:t>8. Tracking, reporting and records</w:t>
      </w:r>
    </w:p>
    <w:p>
      <w:r>
        <w:t>Incident lifecycle: Reported, Triage, Containment Active, Investigation, Remediation Active, Recovery Pending, Monitoring Recovery, Closed. Preserve immutable-where-practicable incident histories, with prior versions never overwritten. Excel illustrates records but does not enforce technical immutability or role-based access.</w:t>
      </w:r>
    </w:p>
    <w:p>
      <w:r>
        <w:t>Report nine metrics: Monitoring coverage; Monitoring review completion; Alerts by severity; Open incidents; Initial response timeliness; Containment timeliness; Overdue corrective actions; Repeat incidents; Recovery and closure verification. Missing operational data is Not logged / Unknown, not zero. Escalate Critical issues and serious incidents immediately; reporting cycles do not delay action.</w:t>
      </w:r>
    </w:p>
    <w:p>
      <w:pPr>
        <w:pStyle w:val="Heading1"/>
      </w:pPr>
      <w:r>
        <w:t>9. Supporting references</w:t>
      </w:r>
    </w:p>
    <w:p>
      <w:r>
        <w:t>FTC historical Rite Aid case records: https://www.ftc.gov/legal-library/browse/cases-proceedings/2023190-rite-aid-corporation-ftc-v</w:t>
      </w:r>
    </w:p>
    <w:p>
      <w:r>
        <w:t>NIST Artificial Intelligence Risk Management Framework (AI RMF 1.0): https://www.nist.gov/publications/artificial-intelligence-risk-management-framework-ai-rmf-10</w:t>
      </w:r>
    </w:p>
    <w:sectPr w:rsidR="00FC693F" w:rsidRPr="0006063C" w:rsidSect="00034616">
      <w:footerReference w:type="default" r:id="rId9"/>
      <w:pgSz w:w="12240" w:h="15840"/>
      <w:pgMar w:top="1152" w:right="1195" w:bottom="1008" w:left="1195"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Agent Flamez • Historical Rite Aid AI governance case study • Proposed controls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C3A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