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Governance Implementation Roadmap</w:t>
      </w:r>
    </w:p>
    <w:p>
      <w:r>
        <w:t>DOCUMENT 9A  |  VERSION 1  |  DRAFT — AWAITING REVIEW</w:t>
      </w:r>
    </w:p>
    <w:p>
      <w:r>
        <w:t>Independent historical Rite Aid case-study simulation • Illustrative 90-day program • No company affiliation</w:t>
      </w:r>
    </w:p>
    <w:p>
      <w:pPr>
        <w:pStyle w:val="Heading1"/>
      </w:pPr>
      <w:r>
        <w:t>1 | Executive overview and portfolio context</w:t>
      </w:r>
    </w:p>
    <w:p>
      <w:r>
        <w:t>Objective: demonstrate how a proposed AI governance program could be organized and verified over an illustrative 90-day horizon, using independent educational materials informed by historical FTC records concerning Rite Aid and NIST AI RMF 1.0. This is neither an authorized Rite Aid program nor an account of operations actually performed.</w:t>
      </w:r>
    </w:p>
    <w:p>
      <w:r>
        <w:t>Portfolio evidence: independently designed gap assessment, risk register, charter, AI inventory/intake, risk assessment method, vendor review, controls/human oversight, incident response and this implementation proposal. These products evidence design capabilities only. No operational deployment, test results, committee action, staffing, budget or business outcome is asserted.</w:t>
      </w:r>
    </w:p>
    <w:p>
      <w:r>
        <w:t>Historical-source distinction: FTC materials describe allegations about Rite Aid’s past facial-recognition practices and a five-year court-ordered restriction on use for security or surveillance purposes. Refer to the March 2024 stipulated order for controlling terms; this plan offers no legal opinion about current permissions or status.</w:t>
      </w:r>
    </w:p>
    <w:p>
      <w:pPr>
        <w:pStyle w:val="Heading1"/>
      </w:pPr>
      <w:r>
        <w:t>2 | Governance responsibilities and legal safeguards</w:t>
      </w:r>
    </w:p>
    <w:p>
      <w:r>
        <w:t>Priority levels: P0 immediate legal restrictions / serious harm; P1 governance foundations; P2 operational assessments and controls; P3 validation and improvement. P0 action is not deferred by the project timetable. Any affected system remains unapproved for operation until all applicable law, court orders, and system-specific mandatory safeguards permit use.</w:t>
      </w:r>
    </w:p>
    <w:p>
      <w:r>
        <w:t>RACI: exactly one Accountable role per implementation task; one or more Responsible roles; Consulted and Informed roles documented. Roles are fictional functional assignments: Executive Sponsor, AI Governance Committee, GRC Program Lead, Business Owner, Technical Owner, Legal/Privacy and Internal Audit (independent assurance).</w:t>
      </w:r>
    </w:p>
    <w:p>
      <w:pPr>
        <w:pStyle w:val="Heading1"/>
      </w:pPr>
      <w:r>
        <w:t>3 | Ninety-day implementation phases</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Phase</w:t>
            </w:r>
          </w:p>
        </w:tc>
        <w:tc>
          <w:tcPr>
            <w:tcW w:type="dxa" w:w="2880"/>
          </w:tcPr>
          <w:p>
            <w:r>
              <w:t>Target</w:t>
            </w:r>
          </w:p>
        </w:tc>
        <w:tc>
          <w:tcPr>
            <w:tcW w:type="dxa" w:w="2880"/>
          </w:tcPr>
          <w:p>
            <w:r>
              <w:t>Illustrative focus</w:t>
            </w:r>
          </w:p>
        </w:tc>
      </w:tr>
      <w:tr>
        <w:tc>
          <w:tcPr>
            <w:tcW w:type="dxa" w:w="2880"/>
          </w:tcPr>
          <w:p>
            <w:r>
              <w:t>Foundation</w:t>
            </w:r>
          </w:p>
        </w:tc>
        <w:tc>
          <w:tcPr>
            <w:tcW w:type="dxa" w:w="2880"/>
          </w:tcPr>
          <w:p>
            <w:r>
              <w:t>Days 1–30</w:t>
            </w:r>
          </w:p>
        </w:tc>
        <w:tc>
          <w:tcPr>
            <w:tcW w:type="dxa" w:w="2880"/>
          </w:tcPr>
          <w:p>
            <w:r>
              <w:t>Legal-use safeguards, charter, accountability, inventory and intake</w:t>
            </w:r>
          </w:p>
        </w:tc>
      </w:tr>
      <w:tr>
        <w:tc>
          <w:tcPr>
            <w:tcW w:type="dxa" w:w="2880"/>
          </w:tcPr>
          <w:p>
            <w:r>
              <w:t>Controls</w:t>
            </w:r>
          </w:p>
        </w:tc>
        <w:tc>
          <w:tcPr>
            <w:tcW w:type="dxa" w:w="2880"/>
          </w:tcPr>
          <w:p>
            <w:r>
              <w:t>Days 31–60</w:t>
            </w:r>
          </w:p>
        </w:tc>
        <w:tc>
          <w:tcPr>
            <w:tcW w:type="dxa" w:w="2880"/>
          </w:tcPr>
          <w:p>
            <w:r>
              <w:t>Risk assessments, third-party reviews, controls and human oversight</w:t>
            </w:r>
          </w:p>
        </w:tc>
      </w:tr>
      <w:tr>
        <w:tc>
          <w:tcPr>
            <w:tcW w:type="dxa" w:w="2880"/>
          </w:tcPr>
          <w:p>
            <w:r>
              <w:t>Operationalize</w:t>
            </w:r>
          </w:p>
        </w:tc>
        <w:tc>
          <w:tcPr>
            <w:tcW w:type="dxa" w:w="2880"/>
          </w:tcPr>
          <w:p>
            <w:r>
              <w:t>Days 61–90</w:t>
            </w:r>
          </w:p>
        </w:tc>
        <w:tc>
          <w:tcPr>
            <w:tcW w:type="dxa" w:w="2880"/>
          </w:tcPr>
          <w:p>
            <w:r>
              <w:t>Verification, monitoring, incident readiness, reporting and handoff</w:t>
            </w:r>
          </w:p>
        </w:tc>
      </w:tr>
    </w:tbl>
    <w:p>
      <w:r>
        <w:t>Targets are relative project days, not historical calendar dates. Tasks may overlap and dependencies control sequencing. A completed calendar phase does not demonstrate an approved gate.</w:t>
      </w:r>
    </w:p>
    <w:p>
      <w:pPr>
        <w:pStyle w:val="Heading1"/>
      </w:pPr>
      <w:r>
        <w:t>4 | Eight workstreams and task breakdown</w:t>
      </w:r>
    </w:p>
    <w:p>
      <w:pPr>
        <w:pStyle w:val="Heading2"/>
      </w:pPr>
      <w:r>
        <w:t>1. Governance foundation</w:t>
      </w:r>
    </w:p>
    <w:p>
      <w:r>
        <w:t>T-01 · Document legal-use restrictions and urgent safeguards  |  Phase 1 · P0 · Accountable: Legal/Privacy · Gate: Day 30 · NIST: GOVERN 1.1.</w:t>
      </w:r>
    </w:p>
    <w:p>
      <w:r>
        <w:t>T-02 · Propose executive sponsor and AI governance committee charter adoption  |  Phase 1 · P1 · Accountable: GRC Program Lead · Gate: Day 30 · NIST: GOVERN 1.1.</w:t>
      </w:r>
    </w:p>
    <w:p>
      <w:r>
        <w:t>T-03 · Assign governance roles and RACI decision rights  |  Phase 1 · P1 · Accountable: GRC Program Lead · Gate: Day 30 · NIST: GOVERN 1.1.</w:t>
      </w:r>
    </w:p>
    <w:p>
      <w:r>
        <w:t>T-04 · Establish policy exception and approval process  |  Phase 1 · P1 · Accountable: AI Governance Committee · Gate: Day 30 · NIST: GOVERN 1.1.</w:t>
      </w:r>
    </w:p>
    <w:p>
      <w:pPr>
        <w:pStyle w:val="Heading2"/>
      </w:pPr>
      <w:r>
        <w:t>2. AI inventory and intake</w:t>
      </w:r>
    </w:p>
    <w:p>
      <w:r>
        <w:t>T-05 · Define inventory scope and required fields  |  Phase 1 · P1 · Accountable: Business Owner · Gate: Day 30 · NIST: MAP 1.1.</w:t>
      </w:r>
    </w:p>
    <w:p>
      <w:r>
        <w:t>T-06 · Design intake request and legal-use screening  |  Phase 1 · P1 · Accountable: Business Owner · Gate: Day 30 · NIST: MAP 1.1.</w:t>
      </w:r>
    </w:p>
    <w:p>
      <w:r>
        <w:t>T-07 · Assign illustrative system and business owners  |  Phase 1 · P1 · Accountable: Business Owner · Gate: Day 30 · NIST: MAP 1.1.</w:t>
      </w:r>
    </w:p>
    <w:p>
      <w:r>
        <w:t>T-08 · Establish inventory change review cadence  |  Phase 1 · P1 · Accountable: Business Owner · Gate: Day 30 · NIST: MAP 1.1.</w:t>
      </w:r>
    </w:p>
    <w:p>
      <w:pPr>
        <w:pStyle w:val="Heading2"/>
      </w:pPr>
      <w:r>
        <w:t>3. Risk assessment</w:t>
      </w:r>
    </w:p>
    <w:p>
      <w:r>
        <w:t>T-09 · Implement proposed risk scoring guidance  |  Phase 2 · P1 · Accountable: GRC Program Lead · Gate: Day 60 · NIST: MEASURE 1.1.</w:t>
      </w:r>
    </w:p>
    <w:p>
      <w:r>
        <w:t>T-10 · Develop human impact and privacy assessment workflows  |  Phase 2 · P2 · Accountable: GRC Program Lead · Gate: Day 60 · NIST: MEASURE 1.1.</w:t>
      </w:r>
    </w:p>
    <w:p>
      <w:r>
        <w:t>T-11 · Define high-risk escalation and risk acceptance limits  |  Phase 2 · P2 · Accountable: GRC Program Lead · Gate: Day 60 · NIST: MEASURE 1.1.</w:t>
      </w:r>
    </w:p>
    <w:p>
      <w:r>
        <w:t>T-12 · Prepare risk treatment and re-assessment procedures  |  Phase 2 · P2 · Accountable: GRC Program Lead · Gate: Day 60 · NIST: MEASURE 1.1.</w:t>
      </w:r>
    </w:p>
    <w:p>
      <w:pPr>
        <w:pStyle w:val="Heading2"/>
      </w:pPr>
      <w:r>
        <w:t>4. Vendor oversight</w:t>
      </w:r>
    </w:p>
    <w:p>
      <w:r>
        <w:t>T-13 · Establish vendor AI due-diligence checklist  |  Phase 2 · P1 · Accountable: Legal/Privacy · Gate: Day 60 · NIST: MANAGE 1.2.</w:t>
      </w:r>
    </w:p>
    <w:p>
      <w:r>
        <w:t>T-14 · Draft contract and privacy/security review requirements  |  Phase 2 · P2 · Accountable: Legal/Privacy · Gate: Day 60 · NIST: MANAGE 1.2.</w:t>
      </w:r>
    </w:p>
    <w:p>
      <w:r>
        <w:t>T-15 · Define third-party incident communication process  |  Phase 2 · P2 · Accountable: Legal/Privacy · Gate: Day 60 · NIST: MANAGE 1.2.</w:t>
      </w:r>
    </w:p>
    <w:p>
      <w:r>
        <w:t>T-16 · Set vendor reassessment and exit requirements  |  Phase 2 · P2 · Accountable: Legal/Privacy · Gate: Day 60 · NIST: MANAGE 1.2.</w:t>
      </w:r>
    </w:p>
    <w:p>
      <w:pPr>
        <w:pStyle w:val="Heading2"/>
      </w:pPr>
      <w:r>
        <w:t>5. Controls and human oversight</w:t>
      </w:r>
    </w:p>
    <w:p>
      <w:r>
        <w:t>T-17 · Assign control owners and applicability decisions  |  Phase 2 · P1 · Accountable: Technical Owner · Gate: Day 60 · NIST: MANAGE 1.2.</w:t>
      </w:r>
    </w:p>
    <w:p>
      <w:r>
        <w:t>T-18 · Specify human review and override safeguards  |  Phase 2 · P2 · Accountable: Technical Owner · Gate: Day 60 · NIST: MANAGE 1.2.</w:t>
      </w:r>
    </w:p>
    <w:p>
      <w:r>
        <w:t>T-19 · Define technical control test procedures  |  Phase 2 · P2 · Accountable: Technical Owner · Gate: Day 60 · NIST: MANAGE 1.2.</w:t>
      </w:r>
    </w:p>
    <w:p>
      <w:r>
        <w:t>T-20 · Set system-specific predeployment authorization gate  |  Phase 2 · P2 · Accountable: AI Governance Committee · Gate: Day 60 · NIST: MANAGE 1.2.</w:t>
      </w:r>
    </w:p>
    <w:p>
      <w:pPr>
        <w:pStyle w:val="Heading2"/>
      </w:pPr>
      <w:r>
        <w:t>6. Monitoring and incident response</w:t>
      </w:r>
    </w:p>
    <w:p>
      <w:r>
        <w:t>T-21 · Design monitoring categories and review schedule  |  Phase 2 · P1 · Accountable: Technical Owner · Gate: Day 60 · NIST: MANAGE 1.2.</w:t>
      </w:r>
    </w:p>
    <w:p>
      <w:r>
        <w:t>T-22 · Document alert classification and response targets  |  Phase 3 · P3 · Accountable: Technical Owner · Gate: Day 90 · NIST: MANAGE 1.2.</w:t>
      </w:r>
    </w:p>
    <w:p>
      <w:r>
        <w:t>T-23 · Prepare incident records, evidence handling and escalation  |  Phase 3 · P3 · Accountable: Technical Owner · Gate: Day 90 · NIST: MANAGE 1.2.</w:t>
      </w:r>
    </w:p>
    <w:p>
      <w:r>
        <w:t>T-24 · Prepare fictional tabletop exercise and evaluation form  |  Phase 3 · P3 · Accountable: Technical Owner · Gate: Day 90 · NIST: MANAGE 1.2.</w:t>
      </w:r>
    </w:p>
    <w:p>
      <w:pPr>
        <w:pStyle w:val="Heading2"/>
      </w:pPr>
      <w:r>
        <w:t>7. Evidence and assurance</w:t>
      </w:r>
    </w:p>
    <w:p>
      <w:r>
        <w:t>T-25 · Establish evidence repository requirements  |  Phase 1 · P1 · Accountable: GRC Program Lead · Gate: Day 30 · NIST: MEASURE 1.1.</w:t>
      </w:r>
    </w:p>
    <w:p>
      <w:r>
        <w:t>T-26 · Define GRC independent verification workflow  |  Phase 3 · P3 · Accountable: GRC Program Lead · Gate: Day 90 · NIST: MEASURE 1.1.</w:t>
      </w:r>
    </w:p>
    <w:p>
      <w:r>
        <w:t>T-27 · Create three milestone gate evidence packets  |  Phase 3 · P3 · Accountable: GRC Program Lead · Gate: Day 90 · NIST: MEASURE 1.1.</w:t>
      </w:r>
    </w:p>
    <w:p>
      <w:r>
        <w:t>T-28 · Define validation, audit, and remediation follow-up  |  Phase 3 · P3 · Accountable: GRC Program Lead · Gate: Day 90 · NIST: MEASURE 1.1.</w:t>
      </w:r>
    </w:p>
    <w:p>
      <w:pPr>
        <w:pStyle w:val="Heading2"/>
      </w:pPr>
      <w:r>
        <w:t>8. Reporting and operational handoff</w:t>
      </w:r>
    </w:p>
    <w:p>
      <w:r>
        <w:t>T-29 · Design nine-metric implementation dashboard  |  Phase 2 · P1 · Accountable: GRC Program Lead · Gate: Day 60 · NIST: GOVERN 1.1.</w:t>
      </w:r>
    </w:p>
    <w:p>
      <w:r>
        <w:t>T-30 · Establish weekly reporting and controlled change log  |  Phase 3 · P3 · Accountable: GRC Program Lead · Gate: Day 90 · NIST: GOVERN 1.1.</w:t>
      </w:r>
    </w:p>
    <w:p>
      <w:r>
        <w:t>T-31 · Prepare Day 90 operational handoff checklist  |  Phase 3 · P3 · Accountable: GRC Program Lead · Gate: Day 90 · NIST: GOVERN 1.1.</w:t>
      </w:r>
    </w:p>
    <w:p>
      <w:r>
        <w:t>T-32 · Define ongoing committee reporting and improvement backlog  |  Phase 3 · P3 · Accountable: AI Governance Committee · Gate: Day 90 · NIST: GOVERN 1.1.</w:t>
      </w:r>
    </w:p>
    <w:p>
      <w:r>
        <w:t>Every task has a separate evidence requirement, dependency, RACI assignment, verification/approval fields and initial Not Started status in the Excel project tracker.</w:t>
      </w:r>
    </w:p>
    <w:p>
      <w:pPr>
        <w:pStyle w:val="Heading1"/>
      </w:pPr>
      <w:r>
        <w:t>5 | RACI and formal milestone approvals</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Gate</w:t>
            </w:r>
          </w:p>
        </w:tc>
        <w:tc>
          <w:tcPr>
            <w:tcW w:type="dxa" w:w="2880"/>
          </w:tcPr>
          <w:p>
            <w:r>
              <w:t>Target</w:t>
            </w:r>
          </w:p>
        </w:tc>
        <w:tc>
          <w:tcPr>
            <w:tcW w:type="dxa" w:w="2880"/>
          </w:tcPr>
          <w:p>
            <w:r>
              <w:t>Required submission</w:t>
            </w:r>
          </w:p>
        </w:tc>
      </w:tr>
      <w:tr>
        <w:tc>
          <w:tcPr>
            <w:tcW w:type="dxa" w:w="2880"/>
          </w:tcPr>
          <w:p>
            <w:r>
              <w:t>G1</w:t>
            </w:r>
          </w:p>
        </w:tc>
        <w:tc>
          <w:tcPr>
            <w:tcW w:type="dxa" w:w="2880"/>
          </w:tcPr>
          <w:p>
            <w:r>
              <w:t>Day 30</w:t>
            </w:r>
          </w:p>
        </w:tc>
        <w:tc>
          <w:tcPr>
            <w:tcW w:type="dxa" w:w="2880"/>
          </w:tcPr>
          <w:p>
            <w:r>
              <w:t>Governance roles, legal restrictions, inventory, intake evidence</w:t>
            </w:r>
          </w:p>
        </w:tc>
      </w:tr>
      <w:tr>
        <w:tc>
          <w:tcPr>
            <w:tcW w:type="dxa" w:w="2880"/>
          </w:tcPr>
          <w:p>
            <w:r>
              <w:t>G2</w:t>
            </w:r>
          </w:p>
        </w:tc>
        <w:tc>
          <w:tcPr>
            <w:tcW w:type="dxa" w:w="2880"/>
          </w:tcPr>
          <w:p>
            <w:r>
              <w:t>Day 60</w:t>
            </w:r>
          </w:p>
        </w:tc>
        <w:tc>
          <w:tcPr>
            <w:tcW w:type="dxa" w:w="2880"/>
          </w:tcPr>
          <w:p>
            <w:r>
              <w:t>Risk assessments, vendor review, controls and human oversight</w:t>
            </w:r>
          </w:p>
        </w:tc>
      </w:tr>
      <w:tr>
        <w:tc>
          <w:tcPr>
            <w:tcW w:type="dxa" w:w="2880"/>
          </w:tcPr>
          <w:p>
            <w:r>
              <w:t>G3</w:t>
            </w:r>
          </w:p>
        </w:tc>
        <w:tc>
          <w:tcPr>
            <w:tcW w:type="dxa" w:w="2880"/>
          </w:tcPr>
          <w:p>
            <w:r>
              <w:t>Day 90</w:t>
            </w:r>
          </w:p>
        </w:tc>
        <w:tc>
          <w:tcPr>
            <w:tcW w:type="dxa" w:w="2880"/>
          </w:tcPr>
          <w:p>
            <w:r>
              <w:t>Testing/validation, monitoring, incident readiness, metrics and handoff</w:t>
            </w:r>
          </w:p>
        </w:tc>
      </w:tr>
    </w:tbl>
    <w:p>
      <w:r>
        <w:t>Each gate requires documentary evidence, GRC verification, and documented AI Governance Committee approval. Any incomplete gate remains open with owners and remediation. Gates never override system-specific approvals or legal constraints.</w:t>
      </w:r>
    </w:p>
    <w:p>
      <w:pPr>
        <w:pStyle w:val="Heading1"/>
      </w:pPr>
      <w:r>
        <w:t>6 | Evidence register, validation and assurance</w:t>
      </w:r>
    </w:p>
    <w:p>
      <w:r>
        <w:t>A dedicated register captures evidence ID, task, description/type, location, owner, collection/review date, GRC result, approval record, and retention/access classification. Separate states distinguish Designed (portfolio artifact), Implemented (operational execution evidenced), and Verified (evidence accepted by an appropriate reviewer). All proposed operational tasks start Not Started.</w:t>
      </w:r>
    </w:p>
    <w:p>
      <w:r>
        <w:t>Workbook checks flag completion without accepted evidence/approval and missing or multiple accountable roles. These flags assist reviewers; formulas cannot approve a task, gate or system.</w:t>
      </w:r>
    </w:p>
    <w:p>
      <w:pPr>
        <w:pStyle w:val="Heading1"/>
      </w:pPr>
      <w:r>
        <w:t>7 | Implementation risks, reporting and change control</w:t>
      </w:r>
    </w:p>
    <w:p>
      <w:r>
        <w:t>An initially empty Risks and Issues Register captures ID/type, description, priority/impact, owner, affected task/gate, mitigation, due/status, and escalation/evidence. P0 issues escalate immediately; unresolved milestone blockers go to the committee before gate approval.</w:t>
      </w:r>
    </w:p>
    <w:p>
      <w:r>
        <w:t>Weekly progress reporting goes to the GRC Program Lead and Executive Sponsor. Material change requests require impact assessment and documented authorization. A single append-oriented Change and Decision Log preserves requester/date, old/new values, rationale, approval status, effective date, evidence and historical decisions. No organizational approvals are populated.</w:t>
      </w:r>
    </w:p>
    <w:p>
      <w:pPr>
        <w:pStyle w:val="Heading1"/>
      </w:pPr>
      <w:r>
        <w:t>8 | Resources, assumptions and contingency planning</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Area</w:t>
            </w:r>
          </w:p>
        </w:tc>
        <w:tc>
          <w:tcPr>
            <w:tcW w:type="dxa" w:w="4320"/>
          </w:tcPr>
          <w:p>
            <w:r>
              <w:t>Initial treatment</w:t>
            </w:r>
          </w:p>
        </w:tc>
      </w:tr>
      <w:tr>
        <w:tc>
          <w:tcPr>
            <w:tcW w:type="dxa" w:w="4320"/>
          </w:tcPr>
          <w:p>
            <w:r>
              <w:t>Staffing / role availability</w:t>
            </w:r>
          </w:p>
        </w:tc>
        <w:tc>
          <w:tcPr>
            <w:tcW w:type="dxa" w:w="4320"/>
          </w:tcPr>
          <w:p>
            <w:r>
              <w:t>To Be Determined: No headcount or capacity evidenced</w:t>
            </w:r>
          </w:p>
        </w:tc>
      </w:tr>
      <w:tr>
        <w:tc>
          <w:tcPr>
            <w:tcW w:type="dxa" w:w="4320"/>
          </w:tcPr>
          <w:p>
            <w:r>
              <w:t>Budget considerations</w:t>
            </w:r>
          </w:p>
        </w:tc>
        <w:tc>
          <w:tcPr>
            <w:tcW w:type="dxa" w:w="4320"/>
          </w:tcPr>
          <w:p>
            <w:r>
              <w:t>To Be Determined: No expenditure values known</w:t>
            </w:r>
          </w:p>
        </w:tc>
      </w:tr>
      <w:tr>
        <w:tc>
          <w:tcPr>
            <w:tcW w:type="dxa" w:w="4320"/>
          </w:tcPr>
          <w:p>
            <w:r>
              <w:t>Technology and tooling</w:t>
            </w:r>
          </w:p>
        </w:tc>
        <w:tc>
          <w:tcPr>
            <w:tcW w:type="dxa" w:w="4320"/>
          </w:tcPr>
          <w:p>
            <w:r>
              <w:t>Assumption: Access to suitable registers and logs presumed</w:t>
            </w:r>
          </w:p>
        </w:tc>
      </w:tr>
      <w:tr>
        <w:tc>
          <w:tcPr>
            <w:tcW w:type="dxa" w:w="4320"/>
          </w:tcPr>
          <w:p>
            <w:r>
              <w:t>Training needs</w:t>
            </w:r>
          </w:p>
        </w:tc>
        <w:tc>
          <w:tcPr>
            <w:tcW w:type="dxa" w:w="4320"/>
          </w:tcPr>
          <w:p>
            <w:r>
              <w:t>Assumption: Role-specific training needed</w:t>
            </w:r>
          </w:p>
        </w:tc>
      </w:tr>
      <w:tr>
        <w:tc>
          <w:tcPr>
            <w:tcW w:type="dxa" w:w="4320"/>
          </w:tcPr>
          <w:p>
            <w:r>
              <w:t>External dependencies</w:t>
            </w:r>
          </w:p>
        </w:tc>
        <w:tc>
          <w:tcPr>
            <w:tcW w:type="dxa" w:w="4320"/>
          </w:tcPr>
          <w:p>
            <w:r>
              <w:t>Assumption: Vendor responses and legal reviews may be needed</w:t>
            </w:r>
          </w:p>
        </w:tc>
      </w:tr>
      <w:tr>
        <w:tc>
          <w:tcPr>
            <w:tcW w:type="dxa" w:w="4320"/>
          </w:tcPr>
          <w:p>
            <w:r>
              <w:t>Key assumptions</w:t>
            </w:r>
          </w:p>
        </w:tc>
        <w:tc>
          <w:tcPr>
            <w:tcW w:type="dxa" w:w="4320"/>
          </w:tcPr>
          <w:p>
            <w:r>
              <w:t>Assumption: Illustrative timeline assumes timely stakeholder availability</w:t>
            </w:r>
          </w:p>
        </w:tc>
      </w:tr>
      <w:tr>
        <w:tc>
          <w:tcPr>
            <w:tcW w:type="dxa" w:w="4320"/>
          </w:tcPr>
          <w:p>
            <w:r>
              <w:t>Implementation constraints</w:t>
            </w:r>
          </w:p>
        </w:tc>
        <w:tc>
          <w:tcPr>
            <w:tcW w:type="dxa" w:w="4320"/>
          </w:tcPr>
          <w:p>
            <w:r>
              <w:t>Known historical case restriction: FTC court order must be evaluated for relevant uses</w:t>
            </w:r>
          </w:p>
        </w:tc>
      </w:tr>
      <w:tr>
        <w:tc>
          <w:tcPr>
            <w:tcW w:type="dxa" w:w="4320"/>
          </w:tcPr>
          <w:p>
            <w:r>
              <w:t>Contingency planning</w:t>
            </w:r>
          </w:p>
        </w:tc>
        <w:tc>
          <w:tcPr>
            <w:tcW w:type="dxa" w:w="4320"/>
          </w:tcPr>
          <w:p>
            <w:r>
              <w:t>Proposed: Delayed milestones remain open</w:t>
            </w:r>
          </w:p>
        </w:tc>
      </w:tr>
    </w:tbl>
    <w:p>
      <w:r>
        <w:t>Do not infer available personnel, budget or technology from public materials. Confirm dependencies, review assumptions and re-baseline the project if resources are insufficient. A mandatory safeguard cannot be waived merely to satisfy Day 90.</w:t>
      </w:r>
    </w:p>
    <w:p>
      <w:pPr>
        <w:pStyle w:val="Heading1"/>
      </w:pPr>
      <w:r>
        <w:t>9 | NIST AI RMF alignment</w:t>
      </w:r>
    </w:p>
    <w:p>
      <w:r>
        <w:t>Each of the 32 tasks has a primary, verified NIST AI RMF 1.0 Core subcategory and a brief mapping rationale in the workbook. The mappings deliberately use the official GOVERN 1.1 (legal requirements), MAP 1.1 (system context), MEASURE 1.1 (risk metrics), and MANAGE 1.2 (risk treatment prioritization) outcomes. Mappings are interpretive proposed alignments, not an audit finding.</w:t>
      </w:r>
    </w:p>
    <w:p>
      <w:r>
        <w:t>NIST GOVERN 1.1: legal/regulatory requirements understood and documented; MAP 1.1: intended purpose and context understood; MEASURE 1.1: risk measurement methods selected; MANAGE 1.2: risk treatment prioritized by impact, likelihood and resources. NIST AI RMF is voluntary guidance; an FTC order or other binding rule takes precedence.</w:t>
      </w:r>
    </w:p>
    <w:p>
      <w:pPr>
        <w:pStyle w:val="Heading1"/>
      </w:pPr>
      <w:r>
        <w:t>10 | Nine success metrics and operational handoff</w:t>
      </w:r>
    </w:p>
    <w:p>
      <w:r>
        <w:t>Metrics: Verified task completion rate; Milestone approval status; AI inventory coverage; Risk assessment coverage; Vendor review completion; Control verification rate; P0/P1 remediation; Monitoring and incident readiness; Evidence acceptance rate. Unavailable evidence displays Not Measured; it is not converted into zero, 100%, or success.</w:t>
      </w:r>
    </w:p>
    <w:p>
      <w:r>
        <w:t>Day 90 handoff requires documented acceptance of seven responsibilities: operational ownership, monitoring, risk register upkeep, vendor oversight, incident response readiness, governance reporting, and continuous improvement. GRC must verify evidence and the committee must approve handoff; unresolved items remain assigned. No handoff makes legally prohibited system operation permissible.</w:t>
      </w:r>
    </w:p>
    <w:p>
      <w:pPr>
        <w:pStyle w:val="Heading2"/>
      </w:pPr>
      <w:r>
        <w:t>Employer-ready project summary</w:t>
      </w:r>
    </w:p>
    <w:p>
      <w:r>
        <w:t>Developed an independent educational AI governance case study based on historical public FTC Rite Aid materials and NIST AI RMF guidance. Designed governance and risk-management documentation, third-party oversight, controls and incident response procedures, and a proposed 90-day implementation roadmap with traceable RACI, evidence and approval gates. This work is independent; no Rite Aid affiliation, operational deployment, or verified outcome is claimed.</w:t>
      </w:r>
    </w:p>
    <w:p>
      <w:pPr>
        <w:pStyle w:val="Heading2"/>
      </w:pPr>
      <w:r>
        <w:t>Official source references and interpretation boundaries</w:t>
      </w:r>
    </w:p>
    <w:p>
      <w:r>
        <w:t>NIST AI RMF 1.0 Core: https://airc.nist.gov/airmf-resources/airmf/5-sec-core/</w:t>
      </w:r>
    </w:p>
    <w:p>
      <w:r>
        <w:t>NIST AI RMF 1.0 publication: https://nvlpubs.nist.gov/nistpubs/ai/NIST.AI.100-1.pdf</w:t>
      </w:r>
    </w:p>
    <w:p>
      <w:r>
        <w:t>FTC Rite Aid case materials, updated March 8, 2024: https://search.ftc.gov/legal-library/browse/cases-proceedings/2023190-rite-aid-corporation-ftc-v</w:t>
      </w:r>
    </w:p>
    <w:p>
      <w:r>
        <w:t>FTC December 19, 2023 announcement: https://www.ftc.gov/news-events/news/press-releases/2023/12/rite-aid-banned-using-ai-facial-recognition-after-ftc-says-retailer-deployed-technology-without</w:t>
      </w:r>
    </w:p>
    <w:p>
      <w:r>
        <w:t>Interpretation note: reported allegations, court-order requirements, assumptions and proposed controls are distinct. Source material is historical; this document does not establish the organization’s current regulatory or operational status.</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INDEPENDENT EDUCATIONAL SIMULATION  •  DRAFT — AWAITING REVIEW</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AGENT FLAMEZ  /  INDEPENDENT AI GOVERNANCE PORTFOLIO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24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67D8D"/>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24D"/>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