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HealthTech</w:t>
      </w:r>
    </w:p>
    <w:p>
      <w:pPr>
        <w:pStyle w:val="Title"/>
      </w:pPr>
      <w:r>
        <w:t>IAM ACCESS REQUEST &amp; APPROVAL MATRIX</w:t>
      </w:r>
    </w:p>
    <w:p>
      <w:r>
        <w:t>Document #3  |  Version 1.0  |  October 27, 2026  |  Portfolio-author reviewed</w:t>
      </w:r>
    </w:p>
    <w:p>
      <w:r>
        <w:rPr>
          <w:b/>
        </w:rPr>
        <w:t>INDEPENDENT EDUCATIONAL SIMULATION — Northstar HealthTech is fictional. This document describes proposed IAM governance practices, not deployed controls, executive approval, or audit certification.</w:t>
      </w:r>
    </w:p>
    <w:p>
      <w:pPr>
        <w:pStyle w:val="Heading1"/>
      </w:pPr>
      <w:r>
        <w:t>1. Purpose and scope</w:t>
      </w:r>
    </w:p>
    <w:p>
      <w:r>
        <w:t>Establish a consistent, documented authorization process for requesting, approving, provisioning, and verifying employee access. The matrix supports least privilege, role-based access control, separation of duties, accountability, and auditable approval evidence.</w:t>
      </w:r>
    </w:p>
    <w:p>
      <w:r>
        <w:t>Scope includes Microsoft Entra ID, Microsoft 365, critical cloud applications, sensitive applications, privileged administrator access, and temporary and emergency employee access. It applies to standard access requests, onboarding, and employee role transfers. Offboarding is governed by the separate JML Procedure. Contractors, vendors, and service accounts are outside this employee-focused scope.</w:t>
      </w:r>
    </w:p>
    <w:p>
      <w:pPr>
        <w:pStyle w:val="Heading1"/>
      </w:pPr>
      <w:r>
        <w:t>2. Roles and responsibilities</w:t>
      </w:r>
    </w:p>
    <w:tbl>
      <w:tblPr>
        <w:tblStyle w:val="LightShading-Accent1"/>
        <w:tblW w:type="auto" w:w="0"/>
        <w:jc w:val="center"/>
        <w:tblLook w:firstColumn="1" w:firstRow="1" w:lastColumn="0" w:lastRow="0" w:noHBand="0" w:noVBand="1" w:val="04A0"/>
      </w:tblPr>
      <w:tblGrid>
        <w:gridCol w:w="4939"/>
        <w:gridCol w:w="4939"/>
      </w:tblGrid>
      <w:tr>
        <w:trPr>
          <w:tblHeader/>
        </w:trPr>
        <w:tc>
          <w:tcPr>
            <w:tcW w:type="dxa" w:w="4939"/>
          </w:tcPr>
          <w:p>
            <w:pPr>
              <w:spacing w:after="20"/>
            </w:pPr>
            <w:r>
              <w:t>Role</w:t>
            </w:r>
          </w:p>
        </w:tc>
        <w:tc>
          <w:tcPr>
            <w:tcW w:type="dxa" w:w="4939"/>
          </w:tcPr>
          <w:p>
            <w:pPr>
              <w:spacing w:after="20"/>
            </w:pPr>
            <w:r>
              <w:t>Responsibility</w:t>
            </w:r>
          </w:p>
        </w:tc>
      </w:tr>
      <w:tr>
        <w:tc>
          <w:tcPr>
            <w:tcW w:type="dxa" w:w="4939"/>
          </w:tcPr>
          <w:p>
            <w:pPr>
              <w:spacing w:after="20"/>
            </w:pPr>
            <w:r>
              <w:t>Department Manager</w:t>
            </w:r>
          </w:p>
        </w:tc>
        <w:tc>
          <w:tcPr>
            <w:tcW w:type="dxa" w:w="4939"/>
          </w:tcPr>
          <w:p>
            <w:pPr>
              <w:spacing w:after="20"/>
            </w:pPr>
            <w:r>
              <w:t>Identifies business access needs and approves standard employee access.</w:t>
            </w:r>
          </w:p>
        </w:tc>
      </w:tr>
      <w:tr>
        <w:tc>
          <w:tcPr>
            <w:tcW w:type="dxa" w:w="4939"/>
          </w:tcPr>
          <w:p>
            <w:pPr>
              <w:spacing w:after="20"/>
            </w:pPr>
            <w:r>
              <w:t>Security Team</w:t>
            </w:r>
          </w:p>
        </w:tc>
        <w:tc>
          <w:tcPr>
            <w:tcW w:type="dxa" w:w="4939"/>
          </w:tcPr>
          <w:p>
            <w:pPr>
              <w:spacing w:after="20"/>
            </w:pPr>
            <w:r>
              <w:t>Provides additional approval for sensitive and privileged access.</w:t>
            </w:r>
          </w:p>
        </w:tc>
      </w:tr>
      <w:tr>
        <w:tc>
          <w:tcPr>
            <w:tcW w:type="dxa" w:w="4939"/>
          </w:tcPr>
          <w:p>
            <w:pPr>
              <w:spacing w:after="20"/>
            </w:pPr>
            <w:r>
              <w:t>Designated Security Incident Lead</w:t>
            </w:r>
          </w:p>
        </w:tc>
        <w:tc>
          <w:tcPr>
            <w:tcW w:type="dxa" w:w="4939"/>
          </w:tcPr>
          <w:p>
            <w:pPr>
              <w:spacing w:after="20"/>
            </w:pPr>
            <w:r>
              <w:t>Authorizes emergency access and coordinates incident oversight.</w:t>
            </w:r>
          </w:p>
        </w:tc>
      </w:tr>
      <w:tr>
        <w:tc>
          <w:tcPr>
            <w:tcW w:type="dxa" w:w="4939"/>
          </w:tcPr>
          <w:p>
            <w:pPr>
              <w:spacing w:after="20"/>
            </w:pPr>
            <w:r>
              <w:t>IT/IAM Administrator</w:t>
            </w:r>
          </w:p>
        </w:tc>
        <w:tc>
          <w:tcPr>
            <w:tcW w:type="dxa" w:w="4939"/>
          </w:tcPr>
          <w:p>
            <w:pPr>
              <w:spacing w:after="20"/>
            </w:pPr>
            <w:r>
              <w:t>Implements approved access, verifies privileges, retains evidence, closes completed requests.</w:t>
            </w:r>
          </w:p>
        </w:tc>
      </w:tr>
      <w:tr>
        <w:tc>
          <w:tcPr>
            <w:tcW w:type="dxa" w:w="4939"/>
          </w:tcPr>
          <w:p>
            <w:pPr>
              <w:spacing w:after="20"/>
            </w:pPr>
            <w:r>
              <w:t>IAM Governance Analyst</w:t>
            </w:r>
          </w:p>
        </w:tc>
        <w:tc>
          <w:tcPr>
            <w:tcW w:type="dxa" w:w="4939"/>
          </w:tcPr>
          <w:p>
            <w:pPr>
              <w:spacing w:after="20"/>
            </w:pPr>
            <w:r>
              <w:t>Monitors approval compliance, exceptions, missing evidence, and overdue remediation.</w:t>
            </w:r>
          </w:p>
        </w:tc>
      </w:tr>
      <w:tr>
        <w:tc>
          <w:tcPr>
            <w:tcW w:type="dxa" w:w="4939"/>
          </w:tcPr>
          <w:p>
            <w:pPr>
              <w:spacing w:after="20"/>
            </w:pPr>
            <w:r>
              <w:t>Human Resources</w:t>
            </w:r>
          </w:p>
        </w:tc>
        <w:tc>
          <w:tcPr>
            <w:tcW w:type="dxa" w:w="4939"/>
          </w:tcPr>
          <w:p>
            <w:pPr>
              <w:spacing w:after="20"/>
            </w:pPr>
            <w:r>
              <w:t>Supplies validated employee and role information for onboarding and transfers.</w:t>
            </w:r>
          </w:p>
        </w:tc>
      </w:tr>
      <w:tr>
        <w:tc>
          <w:tcPr>
            <w:tcW w:type="dxa" w:w="4939"/>
          </w:tcPr>
          <w:p>
            <w:pPr>
              <w:spacing w:after="20"/>
            </w:pPr>
            <w:r>
              <w:t>Executive Sponsor</w:t>
            </w:r>
          </w:p>
        </w:tc>
        <w:tc>
          <w:tcPr>
            <w:tcW w:type="dxa" w:w="4939"/>
          </w:tcPr>
          <w:p>
            <w:pPr>
              <w:spacing w:after="20"/>
            </w:pPr>
            <w:r>
              <w:t>Provides governance oversight and support for escalated program issues.</w:t>
            </w:r>
          </w:p>
        </w:tc>
      </w:tr>
    </w:tbl>
    <w:p>
      <w:r>
        <w:t>Separation of duties: IT cannot replace required manager or Security authorization. The implementing administrator must not use their own provisioning action as evidence of independent authorization. IT verifies individual requests; IAM Governance monitors exception trends and supporting evidence.</w:t>
      </w:r>
    </w:p>
    <w:p>
      <w:pPr>
        <w:pStyle w:val="Heading1"/>
      </w:pPr>
      <w:r>
        <w:t>3. Access categories and approval requirements</w:t>
      </w:r>
    </w:p>
    <w:tbl>
      <w:tblPr>
        <w:tblStyle w:val="LightShading-Accent1"/>
        <w:tblW w:type="auto" w:w="0"/>
        <w:jc w:val="center"/>
        <w:tblLook w:firstColumn="1" w:firstRow="1" w:lastColumn="0" w:lastRow="0" w:noHBand="0" w:noVBand="1" w:val="04A0"/>
      </w:tblPr>
      <w:tblGrid>
        <w:gridCol w:w="3293"/>
        <w:gridCol w:w="3293"/>
        <w:gridCol w:w="3293"/>
      </w:tblGrid>
      <w:tr>
        <w:trPr>
          <w:tblHeader/>
        </w:trPr>
        <w:tc>
          <w:tcPr>
            <w:tcW w:type="dxa" w:w="3293"/>
          </w:tcPr>
          <w:p>
            <w:pPr>
              <w:spacing w:after="20"/>
            </w:pPr>
            <w:r>
              <w:t>Access category</w:t>
            </w:r>
          </w:p>
        </w:tc>
        <w:tc>
          <w:tcPr>
            <w:tcW w:type="dxa" w:w="3293"/>
          </w:tcPr>
          <w:p>
            <w:pPr>
              <w:spacing w:after="20"/>
            </w:pPr>
            <w:r>
              <w:t>Required authorization</w:t>
            </w:r>
          </w:p>
        </w:tc>
        <w:tc>
          <w:tcPr>
            <w:tcW w:type="dxa" w:w="3293"/>
          </w:tcPr>
          <w:p>
            <w:pPr>
              <w:spacing w:after="20"/>
            </w:pPr>
            <w:r>
              <w:t>Key conditions</w:t>
            </w:r>
          </w:p>
        </w:tc>
      </w:tr>
      <w:tr>
        <w:tc>
          <w:tcPr>
            <w:tcW w:type="dxa" w:w="3293"/>
          </w:tcPr>
          <w:p>
            <w:pPr>
              <w:spacing w:after="20"/>
            </w:pPr>
            <w:r>
              <w:t>Standard</w:t>
            </w:r>
          </w:p>
        </w:tc>
        <w:tc>
          <w:tcPr>
            <w:tcW w:type="dxa" w:w="3293"/>
          </w:tcPr>
          <w:p>
            <w:pPr>
              <w:spacing w:after="20"/>
            </w:pPr>
            <w:r>
              <w:t>Department Manager</w:t>
            </w:r>
          </w:p>
        </w:tc>
        <w:tc>
          <w:tcPr>
            <w:tcW w:type="dxa" w:w="3293"/>
          </w:tcPr>
          <w:p>
            <w:pPr>
              <w:spacing w:after="20"/>
            </w:pPr>
            <w:r>
              <w:t>Role-based, least-privilege business access.</w:t>
            </w:r>
          </w:p>
        </w:tc>
      </w:tr>
      <w:tr>
        <w:tc>
          <w:tcPr>
            <w:tcW w:type="dxa" w:w="3293"/>
          </w:tcPr>
          <w:p>
            <w:pPr>
              <w:spacing w:after="20"/>
            </w:pPr>
            <w:r>
              <w:t>Sensitive</w:t>
            </w:r>
          </w:p>
        </w:tc>
        <w:tc>
          <w:tcPr>
            <w:tcW w:type="dxa" w:w="3293"/>
          </w:tcPr>
          <w:p>
            <w:pPr>
              <w:spacing w:after="20"/>
            </w:pPr>
            <w:r>
              <w:t>Department Manager + Security Team</w:t>
            </w:r>
          </w:p>
        </w:tc>
        <w:tc>
          <w:tcPr>
            <w:tcW w:type="dxa" w:w="3293"/>
          </w:tcPr>
          <w:p>
            <w:pPr>
              <w:spacing w:after="20"/>
            </w:pPr>
            <w:r>
              <w:t>Both approvals recorded before provisioning.</w:t>
            </w:r>
          </w:p>
        </w:tc>
      </w:tr>
      <w:tr>
        <w:tc>
          <w:tcPr>
            <w:tcW w:type="dxa" w:w="3293"/>
          </w:tcPr>
          <w:p>
            <w:pPr>
              <w:spacing w:after="20"/>
            </w:pPr>
            <w:r>
              <w:t>Privileged</w:t>
            </w:r>
          </w:p>
        </w:tc>
        <w:tc>
          <w:tcPr>
            <w:tcW w:type="dxa" w:w="3293"/>
          </w:tcPr>
          <w:p>
            <w:pPr>
              <w:spacing w:after="20"/>
            </w:pPr>
            <w:r>
              <w:t>Department Manager + Security Team</w:t>
            </w:r>
          </w:p>
        </w:tc>
        <w:tc>
          <w:tcPr>
            <w:tcW w:type="dxa" w:w="3293"/>
          </w:tcPr>
          <w:p>
            <w:pPr>
              <w:spacing w:after="20"/>
            </w:pPr>
            <w:r>
              <w:t>Separate administrative identity where applicable, MFA, and activity logging.</w:t>
            </w:r>
          </w:p>
        </w:tc>
      </w:tr>
      <w:tr>
        <w:tc>
          <w:tcPr>
            <w:tcW w:type="dxa" w:w="3293"/>
          </w:tcPr>
          <w:p>
            <w:pPr>
              <w:spacing w:after="20"/>
            </w:pPr>
            <w:r>
              <w:t>Temporary</w:t>
            </w:r>
          </w:p>
        </w:tc>
        <w:tc>
          <w:tcPr>
            <w:tcW w:type="dxa" w:w="3293"/>
          </w:tcPr>
          <w:p>
            <w:pPr>
              <w:spacing w:after="20"/>
            </w:pPr>
            <w:r>
              <w:t>Same approvers as underlying access classification</w:t>
            </w:r>
          </w:p>
        </w:tc>
        <w:tc>
          <w:tcPr>
            <w:tcW w:type="dxa" w:w="3293"/>
          </w:tcPr>
          <w:p>
            <w:pPr>
              <w:spacing w:after="20"/>
            </w:pPr>
            <w:r>
              <w:t>Business justification, defined permissions, and expiration required.</w:t>
            </w:r>
          </w:p>
        </w:tc>
      </w:tr>
      <w:tr>
        <w:tc>
          <w:tcPr>
            <w:tcW w:type="dxa" w:w="3293"/>
          </w:tcPr>
          <w:p>
            <w:pPr>
              <w:spacing w:after="20"/>
            </w:pPr>
            <w:r>
              <w:t>Emergency</w:t>
            </w:r>
          </w:p>
        </w:tc>
        <w:tc>
          <w:tcPr>
            <w:tcW w:type="dxa" w:w="3293"/>
          </w:tcPr>
          <w:p>
            <w:pPr>
              <w:spacing w:after="20"/>
            </w:pPr>
            <w:r>
              <w:t>Designated Security incident lead</w:t>
            </w:r>
          </w:p>
        </w:tc>
        <w:tc>
          <w:tcPr>
            <w:tcW w:type="dxa" w:w="3293"/>
          </w:tcPr>
          <w:p>
            <w:pPr>
              <w:spacing w:after="20"/>
            </w:pPr>
            <w:r>
              <w:t>Documented incident, restricted elevation, maximum four-hour authorization, enhanced monitoring and review.</w:t>
            </w:r>
          </w:p>
        </w:tc>
      </w:tr>
    </w:tbl>
    <w:p>
      <w:r>
        <w:t>Requests missing any required authorization remain Pending Approval; IT must not provision access. Emergency access follows its expressly authorized incident process and is not an informal bypass.</w:t>
      </w:r>
    </w:p>
    <w:p>
      <w:pPr>
        <w:pStyle w:val="Heading1"/>
      </w:pPr>
      <w:r>
        <w:t>4. Access request documentation requirements</w:t>
      </w:r>
    </w:p>
    <w:tbl>
      <w:tblPr>
        <w:tblStyle w:val="LightShading-Accent1"/>
        <w:tblW w:type="auto" w:w="0"/>
        <w:jc w:val="center"/>
        <w:tblLook w:firstColumn="1" w:firstRow="1" w:lastColumn="0" w:lastRow="0" w:noHBand="0" w:noVBand="1" w:val="04A0"/>
      </w:tblPr>
      <w:tblGrid>
        <w:gridCol w:w="4939"/>
        <w:gridCol w:w="4939"/>
      </w:tblGrid>
      <w:tr>
        <w:trPr>
          <w:tblHeader/>
        </w:trPr>
        <w:tc>
          <w:tcPr>
            <w:tcW w:type="dxa" w:w="4939"/>
          </w:tcPr>
          <w:p>
            <w:pPr>
              <w:spacing w:after="20"/>
            </w:pPr>
            <w:r>
              <w:t>No.</w:t>
            </w:r>
          </w:p>
        </w:tc>
        <w:tc>
          <w:tcPr>
            <w:tcW w:type="dxa" w:w="4939"/>
          </w:tcPr>
          <w:p>
            <w:pPr>
              <w:spacing w:after="20"/>
            </w:pPr>
            <w:r>
              <w:t>Mandatory record field</w:t>
            </w:r>
          </w:p>
        </w:tc>
      </w:tr>
      <w:tr>
        <w:tc>
          <w:tcPr>
            <w:tcW w:type="dxa" w:w="4939"/>
          </w:tcPr>
          <w:p>
            <w:pPr>
              <w:spacing w:after="20"/>
            </w:pPr>
            <w:r>
              <w:t>1</w:t>
            </w:r>
          </w:p>
        </w:tc>
        <w:tc>
          <w:tcPr>
            <w:tcW w:type="dxa" w:w="4939"/>
          </w:tcPr>
          <w:p>
            <w:pPr>
              <w:spacing w:after="20"/>
            </w:pPr>
            <w:r>
              <w:t>Unique request/ticket ID</w:t>
            </w:r>
          </w:p>
        </w:tc>
      </w:tr>
      <w:tr>
        <w:tc>
          <w:tcPr>
            <w:tcW w:type="dxa" w:w="4939"/>
          </w:tcPr>
          <w:p>
            <w:pPr>
              <w:spacing w:after="20"/>
            </w:pPr>
            <w:r>
              <w:t>2</w:t>
            </w:r>
          </w:p>
        </w:tc>
        <w:tc>
          <w:tcPr>
            <w:tcW w:type="dxa" w:w="4939"/>
          </w:tcPr>
          <w:p>
            <w:pPr>
              <w:spacing w:after="20"/>
            </w:pPr>
            <w:r>
              <w:t>Employee name and identifier</w:t>
            </w:r>
          </w:p>
        </w:tc>
      </w:tr>
      <w:tr>
        <w:tc>
          <w:tcPr>
            <w:tcW w:type="dxa" w:w="4939"/>
          </w:tcPr>
          <w:p>
            <w:pPr>
              <w:spacing w:after="20"/>
            </w:pPr>
            <w:r>
              <w:t>3</w:t>
            </w:r>
          </w:p>
        </w:tc>
        <w:tc>
          <w:tcPr>
            <w:tcW w:type="dxa" w:w="4939"/>
          </w:tcPr>
          <w:p>
            <w:pPr>
              <w:spacing w:after="20"/>
            </w:pPr>
            <w:r>
              <w:t>Department and responsible manager</w:t>
            </w:r>
          </w:p>
        </w:tc>
      </w:tr>
      <w:tr>
        <w:tc>
          <w:tcPr>
            <w:tcW w:type="dxa" w:w="4939"/>
          </w:tcPr>
          <w:p>
            <w:pPr>
              <w:spacing w:after="20"/>
            </w:pPr>
            <w:r>
              <w:t>4</w:t>
            </w:r>
          </w:p>
        </w:tc>
        <w:tc>
          <w:tcPr>
            <w:tcW w:type="dxa" w:w="4939"/>
          </w:tcPr>
          <w:p>
            <w:pPr>
              <w:spacing w:after="20"/>
            </w:pPr>
            <w:r>
              <w:t>Requested system, application, and role</w:t>
            </w:r>
          </w:p>
        </w:tc>
      </w:tr>
      <w:tr>
        <w:tc>
          <w:tcPr>
            <w:tcW w:type="dxa" w:w="4939"/>
          </w:tcPr>
          <w:p>
            <w:pPr>
              <w:spacing w:after="20"/>
            </w:pPr>
            <w:r>
              <w:t>5</w:t>
            </w:r>
          </w:p>
        </w:tc>
        <w:tc>
          <w:tcPr>
            <w:tcW w:type="dxa" w:w="4939"/>
          </w:tcPr>
          <w:p>
            <w:pPr>
              <w:spacing w:after="20"/>
            </w:pPr>
            <w:r>
              <w:t>Business justification</w:t>
            </w:r>
          </w:p>
        </w:tc>
      </w:tr>
      <w:tr>
        <w:tc>
          <w:tcPr>
            <w:tcW w:type="dxa" w:w="4939"/>
          </w:tcPr>
          <w:p>
            <w:pPr>
              <w:spacing w:after="20"/>
            </w:pPr>
            <w:r>
              <w:t>6</w:t>
            </w:r>
          </w:p>
        </w:tc>
        <w:tc>
          <w:tcPr>
            <w:tcW w:type="dxa" w:w="4939"/>
          </w:tcPr>
          <w:p>
            <w:pPr>
              <w:spacing w:after="20"/>
            </w:pPr>
            <w:r>
              <w:t>Access classification</w:t>
            </w:r>
          </w:p>
        </w:tc>
      </w:tr>
      <w:tr>
        <w:tc>
          <w:tcPr>
            <w:tcW w:type="dxa" w:w="4939"/>
          </w:tcPr>
          <w:p>
            <w:pPr>
              <w:spacing w:after="20"/>
            </w:pPr>
            <w:r>
              <w:t>7</w:t>
            </w:r>
          </w:p>
        </w:tc>
        <w:tc>
          <w:tcPr>
            <w:tcW w:type="dxa" w:w="4939"/>
          </w:tcPr>
          <w:p>
            <w:pPr>
              <w:spacing w:after="20"/>
            </w:pPr>
            <w:r>
              <w:t>Requested start date and expiration, where applicable</w:t>
            </w:r>
          </w:p>
        </w:tc>
      </w:tr>
      <w:tr>
        <w:tc>
          <w:tcPr>
            <w:tcW w:type="dxa" w:w="4939"/>
          </w:tcPr>
          <w:p>
            <w:pPr>
              <w:spacing w:after="20"/>
            </w:pPr>
            <w:r>
              <w:t>8</w:t>
            </w:r>
          </w:p>
        </w:tc>
        <w:tc>
          <w:tcPr>
            <w:tcW w:type="dxa" w:w="4939"/>
          </w:tcPr>
          <w:p>
            <w:pPr>
              <w:spacing w:after="20"/>
            </w:pPr>
            <w:r>
              <w:t>Required approver decisions</w:t>
            </w:r>
          </w:p>
        </w:tc>
      </w:tr>
      <w:tr>
        <w:tc>
          <w:tcPr>
            <w:tcW w:type="dxa" w:w="4939"/>
          </w:tcPr>
          <w:p>
            <w:pPr>
              <w:spacing w:after="20"/>
            </w:pPr>
            <w:r>
              <w:t>9</w:t>
            </w:r>
          </w:p>
        </w:tc>
        <w:tc>
          <w:tcPr>
            <w:tcW w:type="dxa" w:w="4939"/>
          </w:tcPr>
          <w:p>
            <w:pPr>
              <w:spacing w:after="20"/>
            </w:pPr>
            <w:r>
              <w:t>IT implementation record</w:t>
            </w:r>
          </w:p>
        </w:tc>
      </w:tr>
      <w:tr>
        <w:tc>
          <w:tcPr>
            <w:tcW w:type="dxa" w:w="4939"/>
          </w:tcPr>
          <w:p>
            <w:pPr>
              <w:spacing w:after="20"/>
            </w:pPr>
            <w:r>
              <w:t>10</w:t>
            </w:r>
          </w:p>
        </w:tc>
        <w:tc>
          <w:tcPr>
            <w:tcW w:type="dxa" w:w="4939"/>
          </w:tcPr>
          <w:p>
            <w:pPr>
              <w:spacing w:after="20"/>
            </w:pPr>
            <w:r>
              <w:t>Verification result and supporting evidence</w:t>
            </w:r>
          </w:p>
        </w:tc>
      </w:tr>
    </w:tbl>
    <w:p>
      <w:r>
        <w:t>Fields that are not applicable are explicitly marked N/A. Approval records identify approver, decision, and timestamp. Implementation records identify the administrator, action, time, actual permissions, and evidence. Records are stored in an authorized access-controlled location; passwords and MFA secrets must not be included.</w:t>
      </w:r>
    </w:p>
    <w:p>
      <w:pPr>
        <w:pStyle w:val="Heading1"/>
      </w:pPr>
      <w:r>
        <w:t>5. Provisioning, verification, and closure</w:t>
      </w:r>
    </w:p>
    <w:p>
      <w:pPr>
        <w:pStyle w:val="Heading2"/>
      </w:pPr>
      <w:r>
        <w:t>5.1 Authorization and least privilege</w:t>
      </w:r>
    </w:p>
    <w:p>
      <w:r>
        <w:t>Before provisioning, IT verifies a complete request and all category-specific approvals. IT provisions only authorized applications, roles, and permissions, aligned with the employee’s responsibilities.</w:t>
      </w:r>
    </w:p>
    <w:p>
      <w:pPr>
        <w:pStyle w:val="Heading2"/>
      </w:pPr>
      <w:r>
        <w:t>5.2 Verification and security checks</w:t>
      </w:r>
    </w:p>
    <w:p>
      <w:r>
        <w:t>IT compares actual permissions to the approved request, verifies applicable MFA and security safeguards, checks documented expiration for temporary or emergency access, and retains administrator, timestamp, and evidence references.</w:t>
      </w:r>
    </w:p>
    <w:p>
      <w:pPr>
        <w:pStyle w:val="Heading2"/>
      </w:pPr>
      <w:r>
        <w:t>5.3 Seven-point closure checklist</w:t>
      </w:r>
    </w:p>
    <w:p>
      <w:pPr>
        <w:pStyle w:val="ListBullet"/>
      </w:pPr>
      <w:r>
        <w:t>Required approvals documented.</w:t>
      </w:r>
    </w:p>
    <w:p>
      <w:pPr>
        <w:pStyle w:val="ListBullet"/>
      </w:pPr>
      <w:r>
        <w:t>Granted permissions limited to approved access.</w:t>
      </w:r>
    </w:p>
    <w:p>
      <w:pPr>
        <w:pStyle w:val="ListBullet"/>
      </w:pPr>
      <w:r>
        <w:t>Actual access verified against approved request.</w:t>
      </w:r>
    </w:p>
    <w:p>
      <w:pPr>
        <w:pStyle w:val="ListBullet"/>
      </w:pPr>
      <w:r>
        <w:t>Applicable MFA and security controls verified.</w:t>
      </w:r>
    </w:p>
    <w:p>
      <w:pPr>
        <w:pStyle w:val="ListBullet"/>
      </w:pPr>
      <w:r>
        <w:t>Required expiration documented.</w:t>
      </w:r>
    </w:p>
    <w:p>
      <w:pPr>
        <w:pStyle w:val="ListBullet"/>
      </w:pPr>
      <w:r>
        <w:t>Implementation timestamps and supporting evidence retained.</w:t>
      </w:r>
    </w:p>
    <w:p>
      <w:pPr>
        <w:pStyle w:val="ListBullet"/>
      </w:pPr>
      <w:r>
        <w:t>Discrepancies corrected or escalated.</w:t>
      </w:r>
    </w:p>
    <w:p>
      <w:r>
        <w:t>IT closes standard requests only when applicable checks pass. The IAM Governance Analyst monitors exceptions and evidence. Emergency post-access review remains separately tracked until completed even if the provisioning ticket is closed.</w:t>
      </w:r>
    </w:p>
    <w:p>
      <w:pPr>
        <w:pStyle w:val="Heading1"/>
      </w:pPr>
      <w:r>
        <w:t>6. Emergency access management</w:t>
      </w:r>
    </w:p>
    <w:p>
      <w:pPr>
        <w:pStyle w:val="Heading2"/>
      </w:pPr>
      <w:r>
        <w:t>6.1 Authorization</w:t>
      </w:r>
    </w:p>
    <w:p>
      <w:r>
        <w:t>A designated Security incident lead authorizes emergency access based on a documented incident reference, business justification, requested privileges, and responsible administrator. IT implements only authorized permissions.</w:t>
      </w:r>
    </w:p>
    <w:p>
      <w:pPr>
        <w:pStyle w:val="Heading2"/>
      </w:pPr>
      <w:r>
        <w:t>6.2 Duration, monitoring and revocation</w:t>
      </w:r>
    </w:p>
    <w:p>
      <w:r>
        <w:t>Each emergency authorization lasts no longer than four hours; access is revoked earlier when no longer needed. Extensions require a new documented Security approval. Emergency activity is logged, Security is alerted immediately on activation, and high-risk actions are monitored where supported. Where automated monitoring is unavailable, compensating manual review is documented. IT records and verifies revocation.</w:t>
      </w:r>
    </w:p>
    <w:p>
      <w:pPr>
        <w:pStyle w:val="Heading2"/>
      </w:pPr>
      <w:r>
        <w:t>6.3 Retrospective Security review</w:t>
      </w:r>
    </w:p>
    <w:p>
      <w:r>
        <w:t>Within one business day after emergency access ends, Security reviews the authorization, granted permissions, administrator activity, expiration, revocation and identified issues. The access user cannot independently approve their own review. Unauthorized activity, delayed revocation or missing evidence is immediately escalated and tracked by IAM Governance.</w:t>
      </w:r>
    </w:p>
    <w:p>
      <w:pPr>
        <w:pStyle w:val="Heading1"/>
      </w:pPr>
      <w:r>
        <w:t>7. Exceptions and compliance monitoring</w:t>
      </w:r>
    </w:p>
    <w:p>
      <w:r>
        <w:t>The IAM Governance Analyst identifies missing approvals, excessive permissions, overdue temporary access, incomplete verification, unauthorized emergency access, and other deviations. Every exception record includes the affected request, unmet control, risk level, owner, corrective action, resolution target, and evidence.</w:t>
      </w:r>
    </w:p>
    <w:tbl>
      <w:tblPr>
        <w:tblStyle w:val="LightShading-Accent1"/>
        <w:tblW w:type="auto" w:w="0"/>
        <w:jc w:val="center"/>
        <w:tblLook w:firstColumn="1" w:firstRow="1" w:lastColumn="0" w:lastRow="0" w:noHBand="0" w:noVBand="1" w:val="04A0"/>
      </w:tblPr>
      <w:tblGrid>
        <w:gridCol w:w="4939"/>
        <w:gridCol w:w="4939"/>
      </w:tblGrid>
      <w:tr>
        <w:trPr>
          <w:tblHeader/>
        </w:trPr>
        <w:tc>
          <w:tcPr>
            <w:tcW w:type="dxa" w:w="4939"/>
          </w:tcPr>
          <w:p>
            <w:pPr>
              <w:spacing w:after="20"/>
            </w:pPr>
            <w:r>
              <w:t>Risk level</w:t>
            </w:r>
          </w:p>
        </w:tc>
        <w:tc>
          <w:tcPr>
            <w:tcW w:type="dxa" w:w="4939"/>
          </w:tcPr>
          <w:p>
            <w:pPr>
              <w:spacing w:after="20"/>
            </w:pPr>
            <w:r>
              <w:t>Approved remediation standard</w:t>
            </w:r>
          </w:p>
        </w:tc>
      </w:tr>
      <w:tr>
        <w:tc>
          <w:tcPr>
            <w:tcW w:type="dxa" w:w="4939"/>
          </w:tcPr>
          <w:p>
            <w:pPr>
              <w:spacing w:after="20"/>
            </w:pPr>
            <w:r>
              <w:t>Critical</w:t>
            </w:r>
          </w:p>
        </w:tc>
        <w:tc>
          <w:tcPr>
            <w:tcW w:type="dxa" w:w="4939"/>
          </w:tcPr>
          <w:p>
            <w:pPr>
              <w:spacing w:after="20"/>
            </w:pPr>
            <w:r>
              <w:t>Immediate containment and escalation.</w:t>
            </w:r>
          </w:p>
        </w:tc>
      </w:tr>
      <w:tr>
        <w:tc>
          <w:tcPr>
            <w:tcW w:type="dxa" w:w="4939"/>
          </w:tcPr>
          <w:p>
            <w:pPr>
              <w:spacing w:after="20"/>
            </w:pPr>
            <w:r>
              <w:t>High</w:t>
            </w:r>
          </w:p>
        </w:tc>
        <w:tc>
          <w:tcPr>
            <w:tcW w:type="dxa" w:w="4939"/>
          </w:tcPr>
          <w:p>
            <w:pPr>
              <w:spacing w:after="20"/>
            </w:pPr>
            <w:r>
              <w:t>Within 7 calendar days.</w:t>
            </w:r>
          </w:p>
        </w:tc>
      </w:tr>
      <w:tr>
        <w:tc>
          <w:tcPr>
            <w:tcW w:type="dxa" w:w="4939"/>
          </w:tcPr>
          <w:p>
            <w:pPr>
              <w:spacing w:after="20"/>
            </w:pPr>
            <w:r>
              <w:t>Medium</w:t>
            </w:r>
          </w:p>
        </w:tc>
        <w:tc>
          <w:tcPr>
            <w:tcW w:type="dxa" w:w="4939"/>
          </w:tcPr>
          <w:p>
            <w:pPr>
              <w:spacing w:after="20"/>
            </w:pPr>
            <w:r>
              <w:t>Within 30 calendar days.</w:t>
            </w:r>
          </w:p>
        </w:tc>
      </w:tr>
      <w:tr>
        <w:tc>
          <w:tcPr>
            <w:tcW w:type="dxa" w:w="4939"/>
          </w:tcPr>
          <w:p>
            <w:pPr>
              <w:spacing w:after="20"/>
            </w:pPr>
            <w:r>
              <w:t>Low</w:t>
            </w:r>
          </w:p>
        </w:tc>
        <w:tc>
          <w:tcPr>
            <w:tcW w:type="dxa" w:w="4939"/>
          </w:tcPr>
          <w:p>
            <w:pPr>
              <w:spacing w:after="20"/>
            </w:pPr>
            <w:r>
              <w:t>Within 90 calendar days.</w:t>
            </w:r>
          </w:p>
        </w:tc>
      </w:tr>
    </w:tbl>
    <w:p>
      <w:r>
        <w:t>Active threats and unauthorized access require immediate containment regardless of administrative remediation deadlines. Approval compliance, discrepancies, temporary access and outstanding exceptions feed monthly IAM governance reporting to IT/Security leadership and the Executive Sponsor.</w:t>
      </w:r>
    </w:p>
    <w:p>
      <w:r>
        <w:t>An exception closes only when corrective action is verified and evidence retained. Exceptions do not waive mandatory authorization or allow unauthorized privileges.</w:t>
      </w:r>
    </w:p>
    <w:p>
      <w:pPr>
        <w:pStyle w:val="Heading1"/>
      </w:pPr>
      <w:r>
        <w:t>Appendix A — Fictional examples</w:t>
      </w:r>
    </w:p>
    <w:tbl>
      <w:tblPr>
        <w:tblStyle w:val="LightShading-Accent1"/>
        <w:tblW w:type="auto" w:w="0"/>
        <w:jc w:val="center"/>
        <w:tblLook w:firstColumn="1" w:firstRow="1" w:lastColumn="0" w:lastRow="0" w:noHBand="0" w:noVBand="1" w:val="04A0"/>
      </w:tblPr>
      <w:tblGrid>
        <w:gridCol w:w="3293"/>
        <w:gridCol w:w="3293"/>
        <w:gridCol w:w="3293"/>
      </w:tblGrid>
      <w:tr>
        <w:trPr>
          <w:tblHeader/>
        </w:trPr>
        <w:tc>
          <w:tcPr>
            <w:tcW w:type="dxa" w:w="3293"/>
          </w:tcPr>
          <w:p>
            <w:pPr>
              <w:spacing w:after="20"/>
            </w:pPr>
            <w:r>
              <w:t>Request</w:t>
            </w:r>
          </w:p>
        </w:tc>
        <w:tc>
          <w:tcPr>
            <w:tcW w:type="dxa" w:w="3293"/>
          </w:tcPr>
          <w:p>
            <w:pPr>
              <w:spacing w:after="20"/>
            </w:pPr>
            <w:r>
              <w:t>Evidence / authorization</w:t>
            </w:r>
          </w:p>
        </w:tc>
        <w:tc>
          <w:tcPr>
            <w:tcW w:type="dxa" w:w="3293"/>
          </w:tcPr>
          <w:p>
            <w:pPr>
              <w:spacing w:after="20"/>
            </w:pPr>
            <w:r>
              <w:t>Disposition</w:t>
            </w:r>
          </w:p>
        </w:tc>
      </w:tr>
      <w:tr>
        <w:tc>
          <w:tcPr>
            <w:tcW w:type="dxa" w:w="3293"/>
          </w:tcPr>
          <w:p>
            <w:pPr>
              <w:spacing w:after="20"/>
            </w:pPr>
            <w:r>
              <w:t>DEMO-AR-001: Standard Microsoft 365 role</w:t>
            </w:r>
          </w:p>
        </w:tc>
        <w:tc>
          <w:tcPr>
            <w:tcW w:type="dxa" w:w="3293"/>
          </w:tcPr>
          <w:p>
            <w:pPr>
              <w:spacing w:after="20"/>
            </w:pPr>
            <w:r>
              <w:t>Manager authorization recorded</w:t>
            </w:r>
          </w:p>
        </w:tc>
        <w:tc>
          <w:tcPr>
            <w:tcW w:type="dxa" w:w="3293"/>
          </w:tcPr>
          <w:p>
            <w:pPr>
              <w:spacing w:after="20"/>
            </w:pPr>
            <w:r>
              <w:t>IT may provision and verify.</w:t>
            </w:r>
          </w:p>
        </w:tc>
      </w:tr>
      <w:tr>
        <w:tc>
          <w:tcPr>
            <w:tcW w:type="dxa" w:w="3293"/>
          </w:tcPr>
          <w:p>
            <w:pPr>
              <w:spacing w:after="20"/>
            </w:pPr>
            <w:r>
              <w:t>DEMO-AR-002: Privileged Entra ID role</w:t>
            </w:r>
          </w:p>
        </w:tc>
        <w:tc>
          <w:tcPr>
            <w:tcW w:type="dxa" w:w="3293"/>
          </w:tcPr>
          <w:p>
            <w:pPr>
              <w:spacing w:after="20"/>
            </w:pPr>
            <w:r>
              <w:t>Manager approval received; Security approval absent</w:t>
            </w:r>
          </w:p>
        </w:tc>
        <w:tc>
          <w:tcPr>
            <w:tcW w:type="dxa" w:w="3293"/>
          </w:tcPr>
          <w:p>
            <w:pPr>
              <w:spacing w:after="20"/>
            </w:pPr>
            <w:r>
              <w:t>Pending Approval; do not provision.</w:t>
            </w:r>
          </w:p>
        </w:tc>
      </w:tr>
      <w:tr>
        <w:tc>
          <w:tcPr>
            <w:tcW w:type="dxa" w:w="3293"/>
          </w:tcPr>
          <w:p>
            <w:pPr>
              <w:spacing w:after="20"/>
            </w:pPr>
            <w:r>
              <w:t>DEMO-AR-003: Emergency elevation for outage</w:t>
            </w:r>
          </w:p>
        </w:tc>
        <w:tc>
          <w:tcPr>
            <w:tcW w:type="dxa" w:w="3293"/>
          </w:tcPr>
          <w:p>
            <w:pPr>
              <w:spacing w:after="20"/>
            </w:pPr>
            <w:r>
              <w:t>Security incident lead authorizes 2 hours, activation alert enabled</w:t>
            </w:r>
          </w:p>
        </w:tc>
        <w:tc>
          <w:tcPr>
            <w:tcW w:type="dxa" w:w="3293"/>
          </w:tcPr>
          <w:p>
            <w:pPr>
              <w:spacing w:after="20"/>
            </w:pPr>
            <w:r>
              <w:t>Time-bound access; retrospective review due within 1 business day after end.</w:t>
            </w:r>
          </w:p>
        </w:tc>
      </w:tr>
    </w:tbl>
    <w:p>
      <w:r>
        <w:t>Document governance: Version 1.0 is reviewed by the portfolio author against the control choices documented in Steps 49–67. It is not approved by a real company, deployed in a production environment, or based on real employee records.</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HealthTech  |  Educational Simulation  |  Portfolio-Reviewed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3B5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B3B5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B3B5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Independent Educational Portfolio</dc:creator>
  <cp:keywords/>
  <dc:description>generated by python-docx</dc:description>
  <cp:lastModifiedBy/>
  <cp:revision>1</cp:revision>
  <dcterms:created xsi:type="dcterms:W3CDTF">2013-12-23T23:15:00Z</dcterms:created>
  <dcterms:modified xsi:type="dcterms:W3CDTF">2013-12-23T23:15:00Z</dcterms:modified>
  <cp:category/>
</cp:coreProperties>
</file>