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c8727a5f7a93ca278cba891f939edcd284bb53"/>
    <w:p>
      <w:pPr>
        <w:pStyle w:val="Heading1"/>
      </w:pPr>
      <w:r>
        <w:t xml:space="preserve">Northstar HealthTech — IAM Governance Charter</w:t>
      </w:r>
    </w:p>
    <w:p>
      <w:pPr>
        <w:pStyle w:val="FirstParagraph"/>
      </w:pPr>
      <w:r>
        <w:rPr>
          <w:b/>
          <w:bCs/>
        </w:rPr>
        <w:t xml:space="preserve">Status:</w:t>
      </w:r>
      <w:r>
        <w:t xml:space="preserve"> </w:t>
      </w:r>
      <w:r>
        <w:t xml:space="preserve">Portfolio-approved educational simulation — not organizationally approved or implemented</w:t>
      </w:r>
      <w:r>
        <w:br/>
      </w:r>
      <w:r>
        <w:rPr>
          <w:b/>
          <w:bCs/>
        </w:rPr>
        <w:t xml:space="preserve">Document type:</w:t>
      </w:r>
      <w:r>
        <w:t xml:space="preserve"> </w:t>
      </w:r>
      <w:r>
        <w:t xml:space="preserve">Independent educational simulation</w:t>
      </w:r>
      <w:r>
        <w:br/>
      </w:r>
      <w:r>
        <w:rPr>
          <w:b/>
          <w:bCs/>
        </w:rPr>
        <w:t xml:space="preserve">Organization:</w:t>
      </w:r>
      <w:r>
        <w:t xml:space="preserve"> </w:t>
      </w:r>
      <w:r>
        <w:t xml:space="preserve">Northstar HealthTech (fictional healthcare technology company)</w:t>
      </w:r>
      <w:r>
        <w:br/>
      </w:r>
      <w:r>
        <w:rPr>
          <w:b/>
          <w:bCs/>
        </w:rPr>
        <w:t xml:space="preserve">Simulated author role:</w:t>
      </w:r>
      <w:r>
        <w:t xml:space="preserve"> </w:t>
      </w:r>
      <w:r>
        <w:t xml:space="preserve">IAM Governance Analyst</w:t>
      </w:r>
      <w:r>
        <w:br/>
      </w:r>
      <w:r>
        <w:rPr>
          <w:b/>
          <w:bCs/>
        </w:rPr>
        <w:t xml:space="preserve">Version:</w:t>
      </w:r>
      <w:r>
        <w:t xml:space="preserve"> </w:t>
      </w:r>
      <w:r>
        <w:t xml:space="preserve">1.0 |</w:t>
      </w:r>
      <w:r>
        <w:t xml:space="preserve"> </w:t>
      </w:r>
      <w:r>
        <w:rPr>
          <w:b/>
          <w:bCs/>
        </w:rPr>
        <w:t xml:space="preserve">Portfolio review date:</w:t>
      </w:r>
      <w:r>
        <w:t xml:space="preserve"> </w:t>
      </w:r>
      <w:r>
        <w:t xml:space="preserve">October 27, 2026</w:t>
      </w:r>
    </w:p>
    <w:p>
      <w:pPr>
        <w:pStyle w:val="BlockText"/>
      </w:pPr>
      <w:r>
        <w:rPr>
          <w:b/>
          <w:bCs/>
        </w:rPr>
        <w:t xml:space="preserve">Portfolio disclaimer:</w:t>
      </w:r>
      <w:r>
        <w:t xml:space="preserve"> </w:t>
      </w:r>
      <w:r>
        <w:t xml:space="preserve">Northstar HealthTech, its employees, applications, findings, metrics, and program are fictional. This charter is a proposed design exercise, not proof of employment, production implementation, certification, regulatory compliance, or a real client's results.</w:t>
      </w:r>
    </w:p>
    <w:bookmarkStart w:id="20" w:name="Xc34f43981a1c7da710b8c146e9ebbce26d567bf"/>
    <w:p>
      <w:pPr>
        <w:pStyle w:val="Heading2"/>
      </w:pPr>
      <w:r>
        <w:t xml:space="preserve">1. Purpose and objectives</w:t>
      </w:r>
    </w:p>
    <w:p>
      <w:pPr>
        <w:pStyle w:val="FirstParagraph"/>
      </w:pPr>
      <w:r>
        <w:t xml:space="preserve">Establish a proposed identity and access management (IAM) governance program that helps ensure employees receive appropriate access, permissions are periodically reviewed, and access is removed promptly when no longer required.</w:t>
      </w:r>
    </w:p>
    <w:p>
      <w:pPr>
        <w:pStyle w:val="BodyText"/>
      </w:pPr>
      <w:r>
        <w:t xml:space="preserve">Three core challenges addressed:</w:t>
      </w:r>
    </w:p>
    <w:p>
      <w:pPr>
        <w:pStyle w:val="Compact"/>
        <w:numPr>
          <w:ilvl w:val="0"/>
          <w:numId w:val="1001"/>
        </w:numPr>
      </w:pPr>
      <w:r>
        <w:t xml:space="preserve">Inconsistent joiner/mover/leaver (JML) access handling.</w:t>
      </w:r>
    </w:p>
    <w:p>
      <w:pPr>
        <w:pStyle w:val="Compact"/>
        <w:numPr>
          <w:ilvl w:val="0"/>
          <w:numId w:val="1001"/>
        </w:numPr>
      </w:pPr>
      <w:r>
        <w:t xml:space="preserve">Incomplete or inconsistent user access reviews.</w:t>
      </w:r>
    </w:p>
    <w:p>
      <w:pPr>
        <w:pStyle w:val="Compact"/>
        <w:numPr>
          <w:ilvl w:val="0"/>
          <w:numId w:val="1001"/>
        </w:numPr>
      </w:pPr>
      <w:r>
        <w:t xml:space="preserve">Excess permissions and privileged access exposure.</w:t>
      </w:r>
    </w:p>
    <w:bookmarkEnd w:id="20"/>
    <w:bookmarkStart w:id="21" w:name="Xb95f044b9a0fb756a0354085398eaec3519f488"/>
    <w:p>
      <w:pPr>
        <w:pStyle w:val="Heading2"/>
      </w:pPr>
      <w:r>
        <w:t xml:space="preserve">2. Fictional organization and scope</w:t>
      </w:r>
    </w:p>
    <w:p>
      <w:pPr>
        <w:pStyle w:val="FirstParagraph"/>
      </w:pPr>
      <w:r>
        <w:rPr>
          <w:b/>
          <w:bCs/>
        </w:rPr>
        <w:t xml:space="preserve">Scenario assumptions:</w:t>
      </w:r>
      <w:r>
        <w:t xml:space="preserve"> </w:t>
      </w:r>
      <w:r>
        <w:t xml:space="preserve">Northstar HealthTech is a fictional healthcare technology company with approximately 250 employees. For this case study, it uses Microsoft Entra ID, Microsoft 365, and critical cloud applications. These are design assumptions, not verified company facts.</w:t>
      </w:r>
    </w:p>
    <w:p>
      <w:pPr>
        <w:pStyle w:val="BodyText"/>
      </w:pPr>
      <w:r>
        <w:rPr>
          <w:b/>
          <w:bCs/>
        </w:rPr>
        <w:t xml:space="preserve">In scope:</w:t>
      </w:r>
    </w:p>
    <w:p>
      <w:pPr>
        <w:pStyle w:val="Compact"/>
        <w:numPr>
          <w:ilvl w:val="0"/>
          <w:numId w:val="1002"/>
        </w:numPr>
      </w:pPr>
      <w:r>
        <w:t xml:space="preserve">Workforce identity lifecycle (onboarding, role changes, offboarding).</w:t>
      </w:r>
    </w:p>
    <w:p>
      <w:pPr>
        <w:pStyle w:val="Compact"/>
        <w:numPr>
          <w:ilvl w:val="0"/>
          <w:numId w:val="1002"/>
        </w:numPr>
      </w:pPr>
      <w:r>
        <w:t xml:space="preserve">Microsoft Entra ID accounts and access controls.</w:t>
      </w:r>
    </w:p>
    <w:p>
      <w:pPr>
        <w:pStyle w:val="Compact"/>
        <w:numPr>
          <w:ilvl w:val="0"/>
          <w:numId w:val="1002"/>
        </w:numPr>
      </w:pPr>
      <w:r>
        <w:t xml:space="preserve">Microsoft 365 access.</w:t>
      </w:r>
    </w:p>
    <w:p>
      <w:pPr>
        <w:pStyle w:val="Compact"/>
        <w:numPr>
          <w:ilvl w:val="0"/>
          <w:numId w:val="1002"/>
        </w:numPr>
      </w:pPr>
      <w:r>
        <w:t xml:space="preserve">Access to critical cloud applications.</w:t>
      </w:r>
    </w:p>
    <w:p>
      <w:pPr>
        <w:pStyle w:val="Compact"/>
        <w:numPr>
          <w:ilvl w:val="0"/>
          <w:numId w:val="1002"/>
        </w:numPr>
      </w:pPr>
      <w:r>
        <w:t xml:space="preserve">Privileged administrator accounts and associated approvals, authentication, logging, and reviews.</w:t>
      </w:r>
    </w:p>
    <w:p>
      <w:pPr>
        <w:pStyle w:val="FirstParagraph"/>
      </w:pPr>
      <w:r>
        <w:rPr>
          <w:b/>
          <w:bCs/>
        </w:rPr>
        <w:t xml:space="preserve">Out of scope for this draft:</w:t>
      </w:r>
      <w:r>
        <w:t xml:space="preserve"> </w:t>
      </w:r>
      <w:r>
        <w:t xml:space="preserve">Building or deploying real integrations, modifying a production tenant, auditing actual patient data, and claiming legal or regulatory certification. Service identities and third-party access require assessment in a later version; they are not yet fully specified.</w:t>
      </w:r>
    </w:p>
    <w:bookmarkEnd w:id="21"/>
    <w:bookmarkStart w:id="22" w:name="Xccdc03df1af895e7d5f1dc724f44e5ccb2032a1"/>
    <w:p>
      <w:pPr>
        <w:pStyle w:val="Heading2"/>
      </w:pPr>
      <w:r>
        <w:t xml:space="preserve">3. Governance roles and responsibilities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Responsibility</w:t>
            </w:r>
          </w:p>
        </w:tc>
      </w:tr>
      <w:tr>
        <w:tc>
          <w:tcPr/>
          <w:p>
            <w:pPr>
              <w:pStyle w:val="Compact"/>
              <w:jc w:val="left"/>
            </w:pPr>
            <w:r>
              <w:t xml:space="preserve">Executive Sponsor</w:t>
            </w:r>
          </w:p>
        </w:tc>
        <w:tc>
          <w:tcPr/>
          <w:p>
            <w:pPr>
              <w:pStyle w:val="Compact"/>
              <w:jc w:val="left"/>
            </w:pPr>
            <w:r>
              <w:t xml:space="preserve">Program direction, resources, escalated risk oversight, and monthly report recipient</w:t>
            </w:r>
          </w:p>
        </w:tc>
      </w:tr>
      <w:tr>
        <w:tc>
          <w:tcPr/>
          <w:p>
            <w:pPr>
              <w:pStyle w:val="Compact"/>
              <w:jc w:val="left"/>
            </w:pPr>
            <w:r>
              <w:t xml:space="preserve">IAM Governance Analyst</w:t>
            </w:r>
          </w:p>
        </w:tc>
        <w:tc>
          <w:tcPr/>
          <w:p>
            <w:pPr>
              <w:pStyle w:val="Compact"/>
              <w:jc w:val="left"/>
            </w:pPr>
            <w:r>
              <w:t xml:space="preserve">Maintain governance documents, evidence expectations, exceptions, risk register, and metrics</w:t>
            </w:r>
          </w:p>
        </w:tc>
      </w:tr>
      <w:tr>
        <w:tc>
          <w:tcPr/>
          <w:p>
            <w:pPr>
              <w:pStyle w:val="Compact"/>
              <w:jc w:val="left"/>
            </w:pPr>
            <w:r>
              <w:t xml:space="preserve">IT / IAM Administrator</w:t>
            </w:r>
          </w:p>
        </w:tc>
        <w:tc>
          <w:tcPr/>
          <w:p>
            <w:pPr>
              <w:pStyle w:val="Compact"/>
              <w:jc w:val="left"/>
            </w:pPr>
            <w:r>
              <w:t xml:space="preserve">Provision, modify, disable, and log access according to authorized decisions</w:t>
            </w:r>
          </w:p>
        </w:tc>
      </w:tr>
      <w:tr>
        <w:tc>
          <w:tcPr/>
          <w:p>
            <w:pPr>
              <w:pStyle w:val="Compact"/>
              <w:jc w:val="left"/>
            </w:pPr>
            <w:r>
              <w:t xml:space="preserve">Department Manager</w:t>
            </w:r>
          </w:p>
        </w:tc>
        <w:tc>
          <w:tcPr/>
          <w:p>
            <w:pPr>
              <w:pStyle w:val="Compact"/>
              <w:jc w:val="left"/>
            </w:pPr>
            <w:r>
              <w:t xml:space="preserve">Validate business need, approve standard access, and certify employee access</w:t>
            </w:r>
          </w:p>
        </w:tc>
      </w:tr>
      <w:tr>
        <w:tc>
          <w:tcPr/>
          <w:p>
            <w:pPr>
              <w:pStyle w:val="Compact"/>
              <w:jc w:val="left"/>
            </w:pPr>
            <w:r>
              <w:t xml:space="preserve">Human Resources</w:t>
            </w:r>
          </w:p>
        </w:tc>
        <w:tc>
          <w:tcPr/>
          <w:p>
            <w:pPr>
              <w:pStyle w:val="Compact"/>
              <w:jc w:val="left"/>
            </w:pPr>
            <w:r>
              <w:t xml:space="preserve">Provide accurate, timely hire, transfer, and departure notifications</w:t>
            </w:r>
          </w:p>
        </w:tc>
      </w:tr>
      <w:tr>
        <w:tc>
          <w:tcPr/>
          <w:p>
            <w:pPr>
              <w:pStyle w:val="Compact"/>
              <w:jc w:val="left"/>
            </w:pPr>
            <w:r>
              <w:t xml:space="preserve">Security Team</w:t>
            </w:r>
          </w:p>
        </w:tc>
        <w:tc>
          <w:tcPr/>
          <w:p>
            <w:pPr>
              <w:pStyle w:val="Compact"/>
              <w:jc w:val="left"/>
            </w:pPr>
            <w:r>
              <w:t xml:space="preserve">Approve privileged/sensitive access, monitor high-risk access, and verify sensitive access removal</w:t>
            </w:r>
          </w:p>
        </w:tc>
      </w:tr>
    </w:tbl>
    <w:p>
      <w:pPr>
        <w:pStyle w:val="BodyText"/>
      </w:pPr>
      <w:r>
        <w:rPr>
          <w:b/>
          <w:bCs/>
        </w:rPr>
        <w:t xml:space="preserve">Separation of duties:</w:t>
      </w:r>
      <w:r>
        <w:t xml:space="preserve"> </w:t>
      </w:r>
      <w:r>
        <w:t xml:space="preserve">Sensitive access must not be requested, approved, and provisioned by the same person acting alone.</w:t>
      </w:r>
    </w:p>
    <w:bookmarkEnd w:id="22"/>
    <w:bookmarkStart w:id="23" w:name="X03cd18b9ec16e54366e975e6185be822ee29980"/>
    <w:p>
      <w:pPr>
        <w:pStyle w:val="Heading2"/>
      </w:pPr>
      <w:r>
        <w:t xml:space="preserve">4. Access request and authorization controls</w:t>
      </w:r>
    </w:p>
    <w:p>
      <w:pPr>
        <w:pStyle w:val="Compact"/>
        <w:numPr>
          <w:ilvl w:val="0"/>
          <w:numId w:val="1003"/>
        </w:numPr>
      </w:pPr>
      <w:r>
        <w:t xml:space="preserve">Requester records the requested application, role, access level, and business justification.</w:t>
      </w:r>
    </w:p>
    <w:p>
      <w:pPr>
        <w:pStyle w:val="Compact"/>
        <w:numPr>
          <w:ilvl w:val="0"/>
          <w:numId w:val="1003"/>
        </w:numPr>
      </w:pPr>
      <w:r>
        <w:t xml:space="preserve">Department manager validates the business need and approves standard access.</w:t>
      </w:r>
    </w:p>
    <w:p>
      <w:pPr>
        <w:pStyle w:val="Compact"/>
        <w:numPr>
          <w:ilvl w:val="0"/>
          <w:numId w:val="1003"/>
        </w:numPr>
      </w:pPr>
      <w:r>
        <w:t xml:space="preserve">Security approval is additionally required for privileged or other sensitive access.</w:t>
      </w:r>
    </w:p>
    <w:p>
      <w:pPr>
        <w:pStyle w:val="Compact"/>
        <w:numPr>
          <w:ilvl w:val="0"/>
          <w:numId w:val="1003"/>
        </w:numPr>
      </w:pPr>
      <w:r>
        <w:t xml:space="preserve">IT / IAM Administrator provisions only the approved permissions, following least privilege.</w:t>
      </w:r>
    </w:p>
    <w:p>
      <w:pPr>
        <w:pStyle w:val="Compact"/>
        <w:numPr>
          <w:ilvl w:val="0"/>
          <w:numId w:val="1003"/>
        </w:numPr>
      </w:pPr>
      <w:r>
        <w:t xml:space="preserve">Evidence of request, approval, provisioning action, and timestamp is retained in a controlled record.</w:t>
      </w:r>
    </w:p>
    <w:p>
      <w:pPr>
        <w:pStyle w:val="Compact"/>
        <w:numPr>
          <w:ilvl w:val="0"/>
          <w:numId w:val="1003"/>
        </w:numPr>
      </w:pPr>
      <w:r>
        <w:t xml:space="preserve">Requests lacking required approvals are not provisioned.</w:t>
      </w:r>
    </w:p>
    <w:bookmarkEnd w:id="23"/>
    <w:bookmarkStart w:id="24" w:name="X7f42198ee0ab2a914eedbd711080965e33060e0"/>
    <w:p>
      <w:pPr>
        <w:pStyle w:val="Heading2"/>
      </w:pPr>
      <w:r>
        <w:t xml:space="preserve">5. Identity lifecycle: joiner, mover, leaver</w:t>
      </w:r>
    </w:p>
    <w:p>
      <w:pPr>
        <w:pStyle w:val="Compact"/>
        <w:numPr>
          <w:ilvl w:val="0"/>
          <w:numId w:val="1004"/>
        </w:numPr>
      </w:pPr>
      <w:r>
        <w:rPr>
          <w:b/>
          <w:bCs/>
        </w:rPr>
        <w:t xml:space="preserve">Joiners:</w:t>
      </w:r>
      <w:r>
        <w:t xml:space="preserve"> </w:t>
      </w:r>
      <w:r>
        <w:t xml:space="preserve">HR initiates a validated onboarding event. Approved role-based access is provisioned before or at the authorized start time as operationally appropriate.</w:t>
      </w:r>
    </w:p>
    <w:p>
      <w:pPr>
        <w:pStyle w:val="Compact"/>
        <w:numPr>
          <w:ilvl w:val="0"/>
          <w:numId w:val="1004"/>
        </w:numPr>
      </w:pPr>
      <w:r>
        <w:rPr>
          <w:b/>
          <w:bCs/>
        </w:rPr>
        <w:t xml:space="preserve">Movers:</w:t>
      </w:r>
      <w:r>
        <w:t xml:space="preserve"> </w:t>
      </w:r>
      <w:r>
        <w:t xml:space="preserve">Manager and HR notify IT of role changes. Old entitlements are evaluated for removal, and new entitlements follow the appropriate approval workflow.</w:t>
      </w:r>
    </w:p>
    <w:p>
      <w:pPr>
        <w:pStyle w:val="Compact"/>
        <w:numPr>
          <w:ilvl w:val="0"/>
          <w:numId w:val="1004"/>
        </w:numPr>
      </w:pPr>
      <w:r>
        <w:rPr>
          <w:b/>
          <w:bCs/>
        </w:rPr>
        <w:t xml:space="preserve">Planned leavers:</w:t>
      </w:r>
      <w:r>
        <w:t xml:space="preserve"> </w:t>
      </w:r>
      <w:r>
        <w:t xml:space="preserve">Disable access at the authorized termination time. Revoke sessions and remove access to Microsoft 365, critical cloud apps, and privileged accounts according to the offboarding procedure.</w:t>
      </w:r>
    </w:p>
    <w:p>
      <w:pPr>
        <w:pStyle w:val="Compact"/>
        <w:numPr>
          <w:ilvl w:val="0"/>
          <w:numId w:val="1004"/>
        </w:numPr>
      </w:pPr>
      <w:r>
        <w:rPr>
          <w:b/>
          <w:bCs/>
        </w:rPr>
        <w:t xml:space="preserve">Urgent high-risk departures:</w:t>
      </w:r>
      <w:r>
        <w:t xml:space="preserve"> </w:t>
      </w:r>
      <w:r>
        <w:t xml:space="preserve">Upon authorized notice, initiate immediate access disablement and escalate to Security.</w:t>
      </w:r>
    </w:p>
    <w:p>
      <w:pPr>
        <w:pStyle w:val="Compact"/>
        <w:numPr>
          <w:ilvl w:val="0"/>
          <w:numId w:val="1004"/>
        </w:numPr>
      </w:pPr>
      <w:r>
        <w:rPr>
          <w:b/>
          <w:bCs/>
        </w:rPr>
        <w:t xml:space="preserve">Verification/evidence:</w:t>
      </w:r>
      <w:r>
        <w:t xml:space="preserve"> </w:t>
      </w:r>
      <w:r>
        <w:t xml:space="preserve">IT records actions and timestamps; Security verifies sensitive or privileged access removal.</w:t>
      </w:r>
    </w:p>
    <w:bookmarkEnd w:id="24"/>
    <w:bookmarkStart w:id="25" w:name="X3a0ddb02e98cccd3789a34fcc13b9f8309fb69b"/>
    <w:p>
      <w:pPr>
        <w:pStyle w:val="Heading2"/>
      </w:pPr>
      <w:r>
        <w:t xml:space="preserve">6. Role-based and privileged access controls</w:t>
      </w:r>
    </w:p>
    <w:p>
      <w:pPr>
        <w:pStyle w:val="Compact"/>
        <w:numPr>
          <w:ilvl w:val="0"/>
          <w:numId w:val="1005"/>
        </w:numPr>
      </w:pPr>
      <w:r>
        <w:t xml:space="preserve">Maintain an RBAC matrix for common roles, applications, and approved entitlements.</w:t>
      </w:r>
    </w:p>
    <w:p>
      <w:pPr>
        <w:pStyle w:val="Compact"/>
        <w:numPr>
          <w:ilvl w:val="0"/>
          <w:numId w:val="1005"/>
        </w:numPr>
      </w:pPr>
      <w:r>
        <w:t xml:space="preserve">Provision only access required for assigned responsibilities.</w:t>
      </w:r>
    </w:p>
    <w:p>
      <w:pPr>
        <w:pStyle w:val="Compact"/>
        <w:numPr>
          <w:ilvl w:val="0"/>
          <w:numId w:val="1005"/>
        </w:numPr>
      </w:pPr>
      <w:r>
        <w:t xml:space="preserve">Use separate administrator accounts for privileged tasks.</w:t>
      </w:r>
    </w:p>
    <w:p>
      <w:pPr>
        <w:pStyle w:val="Compact"/>
        <w:numPr>
          <w:ilvl w:val="0"/>
          <w:numId w:val="1005"/>
        </w:numPr>
      </w:pPr>
      <w:r>
        <w:t xml:space="preserve">Require multifactor authentication (MFA), Security approval, and logging for privileged administrator access.</w:t>
      </w:r>
    </w:p>
    <w:p>
      <w:pPr>
        <w:pStyle w:val="Compact"/>
        <w:numPr>
          <w:ilvl w:val="0"/>
          <w:numId w:val="1005"/>
        </w:numPr>
      </w:pPr>
      <w:r>
        <w:t xml:space="preserve">Investigate and remediate unnecessary or excessive permissions.</w:t>
      </w:r>
    </w:p>
    <w:p>
      <w:pPr>
        <w:pStyle w:val="FirstParagraph"/>
      </w:pPr>
      <w:r>
        <w:rPr>
          <w:b/>
          <w:bCs/>
        </w:rPr>
        <w:t xml:space="preserve">Note:</w:t>
      </w:r>
      <w:r>
        <w:t xml:space="preserve"> </w:t>
      </w:r>
      <w:r>
        <w:t xml:space="preserve">Time-bound privileged access has not yet been selected as a mandatory program control.</w:t>
      </w:r>
    </w:p>
    <w:bookmarkEnd w:id="25"/>
    <w:bookmarkStart w:id="26" w:name="Xd11625e655c155dc70d2e6553b5f9dbf590731e"/>
    <w:p>
      <w:pPr>
        <w:pStyle w:val="Heading2"/>
      </w:pPr>
      <w:r>
        <w:t xml:space="preserve">7. Periodic access certification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Access category</w:t>
            </w:r>
          </w:p>
        </w:tc>
        <w:tc>
          <w:tcPr/>
          <w:p>
            <w:pPr>
              <w:pStyle w:val="Compact"/>
              <w:jc w:val="left"/>
            </w:pPr>
            <w:r>
              <w:t xml:space="preserve">Frequency</w:t>
            </w:r>
          </w:p>
        </w:tc>
        <w:tc>
          <w:tcPr/>
          <w:p>
            <w:pPr>
              <w:pStyle w:val="Compact"/>
              <w:jc w:val="left"/>
            </w:pPr>
            <w:r>
              <w:t xml:space="preserve">Primary reviewer</w:t>
            </w:r>
          </w:p>
        </w:tc>
      </w:tr>
      <w:tr>
        <w:tc>
          <w:tcPr/>
          <w:p>
            <w:pPr>
              <w:pStyle w:val="Compact"/>
              <w:jc w:val="left"/>
            </w:pPr>
            <w:r>
              <w:t xml:space="preserve">Standard employee access</w:t>
            </w:r>
          </w:p>
        </w:tc>
        <w:tc>
          <w:tcPr/>
          <w:p>
            <w:pPr>
              <w:pStyle w:val="Compact"/>
              <w:jc w:val="left"/>
            </w:pPr>
            <w:r>
              <w:t xml:space="preserve">Quarterly</w:t>
            </w:r>
          </w:p>
        </w:tc>
        <w:tc>
          <w:tcPr/>
          <w:p>
            <w:pPr>
              <w:pStyle w:val="Compact"/>
              <w:jc w:val="left"/>
            </w:pPr>
            <w:r>
              <w:t xml:space="preserve">Department Manager</w:t>
            </w:r>
          </w:p>
        </w:tc>
      </w:tr>
      <w:tr>
        <w:tc>
          <w:tcPr/>
          <w:p>
            <w:pPr>
              <w:pStyle w:val="Compact"/>
              <w:jc w:val="left"/>
            </w:pPr>
            <w:r>
              <w:t xml:space="preserve">Privileged administrator access</w:t>
            </w:r>
          </w:p>
        </w:tc>
        <w:tc>
          <w:tcPr/>
          <w:p>
            <w:pPr>
              <w:pStyle w:val="Compact"/>
              <w:jc w:val="left"/>
            </w:pPr>
            <w:r>
              <w:t xml:space="preserve">Monthly</w:t>
            </w:r>
          </w:p>
        </w:tc>
        <w:tc>
          <w:tcPr/>
          <w:p>
            <w:pPr>
              <w:pStyle w:val="Compact"/>
              <w:jc w:val="left"/>
            </w:pPr>
            <w:r>
              <w:t xml:space="preserve">Security Team, with owner validation</w:t>
            </w:r>
          </w:p>
        </w:tc>
      </w:tr>
    </w:tbl>
    <w:p>
      <w:pPr>
        <w:pStyle w:val="BodyText"/>
      </w:pPr>
      <w:r>
        <w:t xml:space="preserve">The IAM Governance Analyst coordinates review evidence, flags overdue reviews, and tracks inappropriate access for remediation. IT implements approved removals and retains evidence. Access reviews should document system, identity, entitlement, reviewer, decision, date, and remediation reference.</w:t>
      </w:r>
    </w:p>
    <w:bookmarkEnd w:id="26"/>
    <w:bookmarkStart w:id="27" w:name="X9689f92a2aa3978d3042383b52a9936ae89d9ef"/>
    <w:p>
      <w:pPr>
        <w:pStyle w:val="Heading2"/>
      </w:pPr>
      <w:r>
        <w:t xml:space="preserve">8. IAM risks and remediation</w:t>
      </w:r>
    </w:p>
    <w:p>
      <w:pPr>
        <w:pStyle w:val="FirstParagraph"/>
      </w:pPr>
      <w:r>
        <w:t xml:space="preserve">Maintain a register with risk ID, system, description, severity, owner, recommended corrective action, due date, evidence, and current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Proposed internal remediation target</w:t>
            </w:r>
          </w:p>
        </w:tc>
      </w:tr>
      <w:tr>
        <w:tc>
          <w:tcPr/>
          <w:p>
            <w:pPr>
              <w:pStyle w:val="Compact"/>
              <w:jc w:val="left"/>
            </w:pPr>
            <w:r>
              <w:t xml:space="preserve">Critical</w:t>
            </w:r>
          </w:p>
        </w:tc>
        <w:tc>
          <w:tcPr/>
          <w:p>
            <w:pPr>
              <w:pStyle w:val="Compact"/>
              <w:jc w:val="left"/>
            </w:pPr>
            <w:r>
              <w:t xml:space="preserve">Immediate containment and urgent escalation</w:t>
            </w:r>
          </w:p>
        </w:tc>
      </w:tr>
      <w:tr>
        <w:tc>
          <w:tcPr/>
          <w:p>
            <w:pPr>
              <w:pStyle w:val="Compact"/>
              <w:jc w:val="left"/>
            </w:pPr>
            <w:r>
              <w:t xml:space="preserve">High</w:t>
            </w:r>
          </w:p>
        </w:tc>
        <w:tc>
          <w:tcPr/>
          <w:p>
            <w:pPr>
              <w:pStyle w:val="Compact"/>
              <w:jc w:val="left"/>
            </w:pPr>
            <w:r>
              <w:t xml:space="preserve">Within 7 calendar days</w:t>
            </w:r>
          </w:p>
        </w:tc>
      </w:tr>
      <w:tr>
        <w:tc>
          <w:tcPr/>
          <w:p>
            <w:pPr>
              <w:pStyle w:val="Compact"/>
              <w:jc w:val="left"/>
            </w:pPr>
            <w:r>
              <w:t xml:space="preserve">Medium</w:t>
            </w:r>
          </w:p>
        </w:tc>
        <w:tc>
          <w:tcPr/>
          <w:p>
            <w:pPr>
              <w:pStyle w:val="Compact"/>
              <w:jc w:val="left"/>
            </w:pPr>
            <w:r>
              <w:t xml:space="preserve">Within 30 calendar days</w:t>
            </w:r>
          </w:p>
        </w:tc>
      </w:tr>
      <w:tr>
        <w:tc>
          <w:tcPr/>
          <w:p>
            <w:pPr>
              <w:pStyle w:val="Compact"/>
              <w:jc w:val="left"/>
            </w:pPr>
            <w:r>
              <w:t xml:space="preserve">Low</w:t>
            </w:r>
          </w:p>
        </w:tc>
        <w:tc>
          <w:tcPr/>
          <w:p>
            <w:pPr>
              <w:pStyle w:val="Compact"/>
              <w:jc w:val="left"/>
            </w:pPr>
            <w:r>
              <w:t xml:space="preserve">Within 90 calendar days</w:t>
            </w:r>
          </w:p>
        </w:tc>
      </w:tr>
    </w:tbl>
    <w:p>
      <w:pPr>
        <w:pStyle w:val="BodyText"/>
      </w:pPr>
      <w:r>
        <w:t xml:space="preserve">An active former-employee account or other ongoing high-risk exposure must be promptly contained rather than awaiting the ordinary remediation deadline. Unresolved risks are escalated through the governance structure. Exception approval criteria and time limits will be specified in a subsequent risk procedure.</w:t>
      </w:r>
    </w:p>
    <w:bookmarkEnd w:id="27"/>
    <w:bookmarkStart w:id="28" w:name="X5664769a71dca79d62bef865de123112377c931"/>
    <w:p>
      <w:pPr>
        <w:pStyle w:val="Heading2"/>
      </w:pPr>
      <w:r>
        <w:t xml:space="preserve">9. Oversight, reporting, and performance measures</w:t>
      </w:r>
    </w:p>
    <w:p>
      <w:pPr>
        <w:pStyle w:val="FirstParagraph"/>
      </w:pPr>
      <w:r>
        <w:rPr>
          <w:b/>
          <w:bCs/>
        </w:rPr>
        <w:t xml:space="preserve">Cadence:</w:t>
      </w:r>
      <w:r>
        <w:t xml:space="preserve"> </w:t>
      </w:r>
      <w:r>
        <w:t xml:space="preserve">Monthly reporting to IT/Security leadership and the Executive Sponsor.</w:t>
      </w:r>
    </w:p>
    <w:p>
      <w:pPr>
        <w:pStyle w:val="BodyText"/>
      </w:pPr>
      <w:r>
        <w:t xml:space="preserve">Proposed metrics:</w:t>
      </w:r>
    </w:p>
    <w:p>
      <w:pPr>
        <w:pStyle w:val="Compact"/>
        <w:numPr>
          <w:ilvl w:val="0"/>
          <w:numId w:val="1006"/>
        </w:numPr>
      </w:pPr>
      <w:r>
        <w:t xml:space="preserve">Percentage of departures disabled by the required time.</w:t>
      </w:r>
    </w:p>
    <w:p>
      <w:pPr>
        <w:pStyle w:val="Compact"/>
        <w:numPr>
          <w:ilvl w:val="0"/>
          <w:numId w:val="1006"/>
        </w:numPr>
      </w:pPr>
      <w:r>
        <w:t xml:space="preserve">Percentage of required access reviews completed by the deadline.</w:t>
      </w:r>
    </w:p>
    <w:p>
      <w:pPr>
        <w:pStyle w:val="Compact"/>
        <w:numPr>
          <w:ilvl w:val="0"/>
          <w:numId w:val="1006"/>
        </w:numPr>
      </w:pPr>
      <w:r>
        <w:t xml:space="preserve">Number of confirmed excessive permission assignments awaiting remediation.</w:t>
      </w:r>
    </w:p>
    <w:p>
      <w:pPr>
        <w:pStyle w:val="Compact"/>
        <w:numPr>
          <w:ilvl w:val="0"/>
          <w:numId w:val="1006"/>
        </w:numPr>
      </w:pPr>
      <w:r>
        <w:t xml:space="preserve">Percentage of privileged accounts meeting MFA, approval, and logging controls.</w:t>
      </w:r>
    </w:p>
    <w:p>
      <w:pPr>
        <w:pStyle w:val="Compact"/>
        <w:numPr>
          <w:ilvl w:val="0"/>
          <w:numId w:val="1006"/>
        </w:numPr>
      </w:pPr>
      <w:r>
        <w:t xml:space="preserve">Count of overdue IAM risk findings.</w:t>
      </w:r>
    </w:p>
    <w:p>
      <w:pPr>
        <w:pStyle w:val="FirstParagraph"/>
      </w:pPr>
      <w:r>
        <w:t xml:space="preserve">Reports should highlight unresolved high-severity issues, accountable owners, due dates, and decisions needed. No actual performance results are asserted by this draft.</w:t>
      </w:r>
    </w:p>
    <w:bookmarkEnd w:id="28"/>
    <w:bookmarkStart w:id="29" w:name="X236d0aef618784bfb1c78a579b27b6b9ac90a27"/>
    <w:p>
      <w:pPr>
        <w:pStyle w:val="Heading2"/>
      </w:pPr>
      <w:r>
        <w:t xml:space="preserve">10. Documentation and evidence</w:t>
      </w:r>
    </w:p>
    <w:p>
      <w:pPr>
        <w:pStyle w:val="FirstParagraph"/>
      </w:pPr>
      <w:r>
        <w:t xml:space="preserve">Supporting artifacts to be drafted: JML procedure, RBAC matrix, access request and approval workflow, access certification register, privileged access standard, IAM risk register, control matrix, incident tabletop exercise, and implementation roadmap. All sample personnel and records must be fictional, with no real credentials or patient information.</w:t>
      </w:r>
    </w:p>
    <w:bookmarkEnd w:id="29"/>
    <w:bookmarkStart w:id="30" w:name="X6e62a8283a776c9a1ee112d6eeb97f428d84241"/>
    <w:p>
      <w:pPr>
        <w:pStyle w:val="Heading2"/>
      </w:pPr>
      <w:r>
        <w:t xml:space="preserve">11. Review and approval</w:t>
      </w:r>
    </w:p>
    <w:p>
      <w:pPr>
        <w:pStyle w:val="FirstParagraph"/>
      </w:pPr>
      <w:r>
        <w:rPr>
          <w:b/>
          <w:bCs/>
        </w:rPr>
        <w:t xml:space="preserve">Status:</w:t>
      </w:r>
      <w:r>
        <w:t xml:space="preserve"> </w:t>
      </w:r>
      <w:r>
        <w:t xml:space="preserve">Portfolio owner reviewed and approved all 11 charter sections on October 27, 2026, for use in an independent educational case study. This does not constitute Northstar HealthTech organizational authorization, a real executive sign-off, or production implementation. No fictional executive signatures or completed company approvals are asserted.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State</w:t>
            </w:r>
          </w:p>
        </w:tc>
      </w:tr>
      <w:tr>
        <w:tc>
          <w:tcPr/>
          <w:p>
            <w:pPr>
              <w:pStyle w:val="Compact"/>
              <w:jc w:val="left"/>
            </w:pPr>
            <w:r>
              <w:t xml:space="preserve">Charter contents</w:t>
            </w:r>
          </w:p>
        </w:tc>
        <w:tc>
          <w:tcPr/>
          <w:p>
            <w:pPr>
              <w:pStyle w:val="Compact"/>
              <w:jc w:val="left"/>
            </w:pPr>
            <w:r>
              <w:t xml:space="preserve">All 11 sections reviewed and approved by portfolio owner</w:t>
            </w:r>
          </w:p>
        </w:tc>
      </w:tr>
      <w:tr>
        <w:tc>
          <w:tcPr/>
          <w:p>
            <w:pPr>
              <w:pStyle w:val="Compact"/>
              <w:jc w:val="left"/>
            </w:pPr>
            <w:r>
              <w:t xml:space="preserve">Portfolio owner review</w:t>
            </w:r>
          </w:p>
        </w:tc>
        <w:tc>
          <w:tcPr/>
          <w:p>
            <w:pPr>
              <w:pStyle w:val="Compact"/>
              <w:jc w:val="left"/>
            </w:pPr>
            <w:r>
              <w:t xml:space="preserve">Completed October 27, 2026</w:t>
            </w:r>
          </w:p>
        </w:tc>
      </w:tr>
      <w:tr>
        <w:tc>
          <w:tcPr/>
          <w:p>
            <w:pPr>
              <w:pStyle w:val="Compact"/>
              <w:jc w:val="left"/>
            </w:pPr>
            <w:r>
              <w:t xml:space="preserve">GitHub publication</w:t>
            </w:r>
          </w:p>
        </w:tc>
        <w:tc>
          <w:tcPr/>
          <w:p>
            <w:pPr>
              <w:pStyle w:val="Compact"/>
              <w:jc w:val="left"/>
            </w:pPr>
            <w:r>
              <w:t xml:space="preserve">Not started</w:t>
            </w:r>
          </w:p>
        </w:tc>
      </w:tr>
      <w:tr>
        <w:tc>
          <w:tcPr/>
          <w:p>
            <w:pPr>
              <w:pStyle w:val="Compact"/>
              <w:jc w:val="left"/>
            </w:pPr>
            <w:r>
              <w:t xml:space="preserve">Production deployment</w:t>
            </w:r>
          </w:p>
        </w:tc>
        <w:tc>
          <w:tcPr/>
          <w:p>
            <w:pPr>
              <w:pStyle w:val="Compact"/>
              <w:jc w:val="left"/>
            </w:pPr>
            <w:r>
              <w:t xml:space="preserve">Not applicable — simulation</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2026-10-27T16:48:21Z</dcterms:created>
  <dcterms:modified xsi:type="dcterms:W3CDTF">2026-10-27T16:48:21Z</dcterms:modified>
</cp:coreProperties>
</file>

<file path=docProps/custom.xml><?xml version="1.0" encoding="utf-8"?>
<Properties xmlns="http://schemas.openxmlformats.org/officeDocument/2006/custom-properties" xmlns:vt="http://schemas.openxmlformats.org/officeDocument/2006/docPropsVTypes"/>
</file>