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HealthTech</w:t>
      </w:r>
    </w:p>
    <w:p>
      <w:pPr>
        <w:pStyle w:val="Title"/>
      </w:pPr>
      <w:r>
        <w:t>IAM ACCESS REQUEST &amp; APPROVAL MATRIX</w:t>
      </w:r>
    </w:p>
    <w:p>
      <w:r>
        <w:t>Document #3  |  Draft v0.1  |  October 27, 2026  |  Portfolio author review pending</w:t>
      </w:r>
    </w:p>
    <w:p>
      <w:r>
        <w:rPr>
          <w:b/>
        </w:rPr>
        <w:t>INDEPENDENT EDUCATIONAL SIMULATION — Northstar HealthTech is a fictional organization. This artifact illustrates proposed IAM governance controls only. It is not an implemented program, organizational authorization, or audit certification.</w:t>
      </w:r>
    </w:p>
    <w:p>
      <w:pPr>
        <w:pStyle w:val="Heading1"/>
      </w:pPr>
      <w:r>
        <w:t>1. Purpose and scope</w:t>
      </w:r>
    </w:p>
    <w:p>
      <w:r>
        <w:t>Establish an auditable, least-privilege authorization and verification model for employee access to Microsoft Entra ID, Microsoft 365, critical cloud applications, privileged administrator accounts, and applicable temporary or emergency permissions. Complements the Northstar HealthTech IAM Governance Charter and JML Procedure. Contractors, vendors, and service accounts remain outside the current employee-specific scope.</w:t>
      </w:r>
    </w:p>
    <w:p>
      <w:pPr>
        <w:pStyle w:val="Heading1"/>
      </w:pPr>
      <w:r>
        <w:t>2. Access approval matrix</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pPr>
              <w:spacing w:after="40"/>
            </w:pPr>
            <w:r>
              <w:t>Access category</w:t>
            </w:r>
          </w:p>
        </w:tc>
        <w:tc>
          <w:tcPr>
            <w:tcW w:type="dxa" w:w="3312"/>
          </w:tcPr>
          <w:p>
            <w:pPr>
              <w:spacing w:after="40"/>
            </w:pPr>
            <w:r>
              <w:t>Required authorization</w:t>
            </w:r>
          </w:p>
        </w:tc>
        <w:tc>
          <w:tcPr>
            <w:tcW w:type="dxa" w:w="3312"/>
          </w:tcPr>
          <w:p>
            <w:pPr>
              <w:spacing w:after="40"/>
            </w:pPr>
            <w:r>
              <w:t>Implementation / key condition</w:t>
            </w:r>
          </w:p>
        </w:tc>
      </w:tr>
      <w:tr>
        <w:tc>
          <w:tcPr>
            <w:tcW w:type="dxa" w:w="3312"/>
          </w:tcPr>
          <w:p>
            <w:pPr>
              <w:spacing w:after="40"/>
            </w:pPr>
            <w:r>
              <w:t>Standard employee</w:t>
            </w:r>
          </w:p>
        </w:tc>
        <w:tc>
          <w:tcPr>
            <w:tcW w:type="dxa" w:w="3312"/>
          </w:tcPr>
          <w:p>
            <w:pPr>
              <w:spacing w:after="40"/>
            </w:pPr>
            <w:r>
              <w:t>Department Manager</w:t>
            </w:r>
          </w:p>
        </w:tc>
        <w:tc>
          <w:tcPr>
            <w:tcW w:type="dxa" w:w="3312"/>
          </w:tcPr>
          <w:p>
            <w:pPr>
              <w:spacing w:after="40"/>
            </w:pPr>
            <w:r>
              <w:t>IT grants only the approved role / permissions.</w:t>
            </w:r>
          </w:p>
        </w:tc>
      </w:tr>
      <w:tr>
        <w:tc>
          <w:tcPr>
            <w:tcW w:type="dxa" w:w="3312"/>
          </w:tcPr>
          <w:p>
            <w:pPr>
              <w:spacing w:after="40"/>
            </w:pPr>
            <w:r>
              <w:t>Sensitive application</w:t>
            </w:r>
          </w:p>
        </w:tc>
        <w:tc>
          <w:tcPr>
            <w:tcW w:type="dxa" w:w="3312"/>
          </w:tcPr>
          <w:p>
            <w:pPr>
              <w:spacing w:after="40"/>
            </w:pPr>
            <w:r>
              <w:t>Department Manager + Security Team</w:t>
            </w:r>
          </w:p>
        </w:tc>
        <w:tc>
          <w:tcPr>
            <w:tcW w:type="dxa" w:w="3312"/>
          </w:tcPr>
          <w:p>
            <w:pPr>
              <w:spacing w:after="40"/>
            </w:pPr>
            <w:r>
              <w:t>IT verifies both approvals before provisioning.</w:t>
            </w:r>
          </w:p>
        </w:tc>
      </w:tr>
      <w:tr>
        <w:tc>
          <w:tcPr>
            <w:tcW w:type="dxa" w:w="3312"/>
          </w:tcPr>
          <w:p>
            <w:pPr>
              <w:spacing w:after="40"/>
            </w:pPr>
            <w:r>
              <w:t>Privileged administrator</w:t>
            </w:r>
          </w:p>
        </w:tc>
        <w:tc>
          <w:tcPr>
            <w:tcW w:type="dxa" w:w="3312"/>
          </w:tcPr>
          <w:p>
            <w:pPr>
              <w:spacing w:after="40"/>
            </w:pPr>
            <w:r>
              <w:t>Department Manager + Security Team</w:t>
            </w:r>
          </w:p>
        </w:tc>
        <w:tc>
          <w:tcPr>
            <w:tcW w:type="dxa" w:w="3312"/>
          </w:tcPr>
          <w:p>
            <w:pPr>
              <w:spacing w:after="40"/>
            </w:pPr>
            <w:r>
              <w:t>Separate administrative identity, MFA, logging and least privilege apply.</w:t>
            </w:r>
          </w:p>
        </w:tc>
      </w:tr>
      <w:tr>
        <w:tc>
          <w:tcPr>
            <w:tcW w:type="dxa" w:w="3312"/>
          </w:tcPr>
          <w:p>
            <w:pPr>
              <w:spacing w:after="40"/>
            </w:pPr>
            <w:r>
              <w:t>Temporary</w:t>
            </w:r>
          </w:p>
        </w:tc>
        <w:tc>
          <w:tcPr>
            <w:tcW w:type="dxa" w:w="3312"/>
          </w:tcPr>
          <w:p>
            <w:pPr>
              <w:spacing w:after="40"/>
            </w:pPr>
            <w:r>
              <w:t>Approvers required for underlying access classification</w:t>
            </w:r>
          </w:p>
        </w:tc>
        <w:tc>
          <w:tcPr>
            <w:tcW w:type="dxa" w:w="3312"/>
          </w:tcPr>
          <w:p>
            <w:pPr>
              <w:spacing w:after="40"/>
            </w:pPr>
            <w:r>
              <w:t>Business justification, precise scope and expiration required.</w:t>
            </w:r>
          </w:p>
        </w:tc>
      </w:tr>
      <w:tr>
        <w:tc>
          <w:tcPr>
            <w:tcW w:type="dxa" w:w="3312"/>
          </w:tcPr>
          <w:p>
            <w:pPr>
              <w:spacing w:after="40"/>
            </w:pPr>
            <w:r>
              <w:t>Emergency</w:t>
            </w:r>
          </w:p>
        </w:tc>
        <w:tc>
          <w:tcPr>
            <w:tcW w:type="dxa" w:w="3312"/>
          </w:tcPr>
          <w:p>
            <w:pPr>
              <w:spacing w:after="40"/>
            </w:pPr>
            <w:r>
              <w:t>Designated Security incident lead</w:t>
            </w:r>
          </w:p>
        </w:tc>
        <w:tc>
          <w:tcPr>
            <w:tcW w:type="dxa" w:w="3312"/>
          </w:tcPr>
          <w:p>
            <w:pPr>
              <w:spacing w:after="40"/>
            </w:pPr>
            <w:r>
              <w:t>IT implements authorized, time-bounded elevation; post-access Security review required.</w:t>
            </w:r>
          </w:p>
        </w:tc>
      </w:tr>
    </w:tbl>
    <w:p>
      <w:r>
        <w:t>Separation of duties: IT/IAM implements approved access but does not replace required business or Security authorization. Missing authorization means Pending Approval; no provisioning until every required approval is documented. Emergency access follows its defined authorization path.</w:t>
      </w:r>
    </w:p>
    <w:p>
      <w:pPr>
        <w:pStyle w:val="Heading1"/>
      </w:pPr>
      <w:r>
        <w:t>3. Required access request record</w:t>
      </w:r>
    </w:p>
    <w:p>
      <w:pPr>
        <w:pStyle w:val="ListBullet"/>
      </w:pPr>
      <w:r>
        <w:t>1. Request ID</w:t>
      </w:r>
    </w:p>
    <w:p>
      <w:pPr>
        <w:pStyle w:val="ListBullet"/>
      </w:pPr>
      <w:r>
        <w:t>2. Employee name and employee ID</w:t>
      </w:r>
    </w:p>
    <w:p>
      <w:pPr>
        <w:pStyle w:val="ListBullet"/>
      </w:pPr>
      <w:r>
        <w:t>3. Department and manager</w:t>
      </w:r>
    </w:p>
    <w:p>
      <w:pPr>
        <w:pStyle w:val="ListBullet"/>
      </w:pPr>
      <w:r>
        <w:t>4. Requested system and access role</w:t>
      </w:r>
    </w:p>
    <w:p>
      <w:pPr>
        <w:pStyle w:val="ListBullet"/>
      </w:pPr>
      <w:r>
        <w:t>5. Business justification</w:t>
      </w:r>
    </w:p>
    <w:p>
      <w:pPr>
        <w:pStyle w:val="ListBullet"/>
      </w:pPr>
      <w:r>
        <w:t>6. Access classification</w:t>
      </w:r>
    </w:p>
    <w:p>
      <w:pPr>
        <w:pStyle w:val="ListBullet"/>
      </w:pPr>
      <w:r>
        <w:t>7. Requested start date and applicable expiration</w:t>
      </w:r>
    </w:p>
    <w:p>
      <w:pPr>
        <w:pStyle w:val="ListBullet"/>
      </w:pPr>
      <w:r>
        <w:t>8. Required approval decisions</w:t>
      </w:r>
    </w:p>
    <w:p>
      <w:pPr>
        <w:pStyle w:val="ListBullet"/>
      </w:pPr>
      <w:r>
        <w:t>9. IT implementation record (administrator and time)</w:t>
      </w:r>
    </w:p>
    <w:p>
      <w:pPr>
        <w:pStyle w:val="ListBullet"/>
      </w:pPr>
      <w:r>
        <w:t>10. Verification result and supporting evidence</w:t>
      </w:r>
    </w:p>
    <w:p>
      <w:r>
        <w:t>Nonapplicable fields must explicitly be marked N/A rather than silently left blank. These are proposed internal record requirements, not a universal regulatory checklist.</w:t>
      </w:r>
    </w:p>
    <w:p>
      <w:pPr>
        <w:pStyle w:val="Heading1"/>
      </w:pPr>
      <w:r>
        <w:t>4. Access provisioning and closure</w:t>
      </w:r>
    </w:p>
    <w:p>
      <w:pPr>
        <w:pStyle w:val="ListBullet"/>
      </w:pPr>
      <w:r>
        <w:t>IT confirms all category-specific authorizations are recorded before provisioning.</w:t>
      </w:r>
    </w:p>
    <w:p>
      <w:pPr>
        <w:pStyle w:val="ListBullet"/>
      </w:pPr>
      <w:r>
        <w:t>IT grants only approved applications, roles, and permissions and compares actual access with the request.</w:t>
      </w:r>
    </w:p>
    <w:p>
      <w:pPr>
        <w:pStyle w:val="ListBullet"/>
      </w:pPr>
      <w:r>
        <w:t>IT checks applicable MFA and security safeguards, expiration controls, and supporting audit evidence.</w:t>
      </w:r>
    </w:p>
    <w:p>
      <w:pPr>
        <w:pStyle w:val="ListBullet"/>
      </w:pPr>
      <w:r>
        <w:t>IT records who provisioned the access and when; any discrepancy is corrected or escalated before marking the request Completed.</w:t>
      </w:r>
    </w:p>
    <w:p>
      <w:pPr>
        <w:pStyle w:val="ListBullet"/>
      </w:pPr>
      <w:r>
        <w:t>IAM Governance Analyst independently monitors exceptions and periodically reviews evidence.</w:t>
      </w:r>
    </w:p>
    <w:p>
      <w:r>
        <w:t>Completion standard (seven checks): approvals recorded; permissions limited to authorization; access verified; applicable MFA/security controls satisfied; applicable expiration documented; timestamps and evidence retained; unresolved discrepancies corrected or escalated. Emergency post-access reviews are tracked separately through completion even if the provisioning ticket closes.</w:t>
      </w:r>
    </w:p>
    <w:p>
      <w:pPr>
        <w:pStyle w:val="Heading1"/>
      </w:pPr>
      <w:r>
        <w:t>5. Emergency access safeguards</w:t>
      </w:r>
    </w:p>
    <w:tbl>
      <w:tblPr>
        <w:tblStyle w:val="LightShading-Accent1"/>
        <w:tblW w:type="auto" w:w="0"/>
        <w:jc w:val="center"/>
        <w:tblLook w:firstColumn="1" w:firstRow="1" w:lastColumn="0" w:lastRow="0" w:noHBand="0" w:noVBand="1" w:val="04A0"/>
      </w:tblPr>
      <w:tblGrid>
        <w:gridCol w:w="4968"/>
        <w:gridCol w:w="4968"/>
      </w:tblGrid>
      <w:tr>
        <w:tc>
          <w:tcPr>
            <w:tcW w:type="dxa" w:w="4968"/>
          </w:tcPr>
          <w:p>
            <w:pPr>
              <w:spacing w:after="40"/>
            </w:pPr>
            <w:r>
              <w:t>Control</w:t>
            </w:r>
          </w:p>
        </w:tc>
        <w:tc>
          <w:tcPr>
            <w:tcW w:type="dxa" w:w="4968"/>
          </w:tcPr>
          <w:p>
            <w:pPr>
              <w:spacing w:after="40"/>
            </w:pPr>
            <w:r>
              <w:t>Proposed requirement</w:t>
            </w:r>
          </w:p>
        </w:tc>
      </w:tr>
      <w:tr>
        <w:tc>
          <w:tcPr>
            <w:tcW w:type="dxa" w:w="4968"/>
          </w:tcPr>
          <w:p>
            <w:pPr>
              <w:spacing w:after="40"/>
            </w:pPr>
            <w:r>
              <w:t>Authorization</w:t>
            </w:r>
          </w:p>
        </w:tc>
        <w:tc>
          <w:tcPr>
            <w:tcW w:type="dxa" w:w="4968"/>
          </w:tcPr>
          <w:p>
            <w:pPr>
              <w:spacing w:after="40"/>
            </w:pPr>
            <w:r>
              <w:t>Designated Security incident lead approves documented incident justification; IT implements.</w:t>
            </w:r>
          </w:p>
        </w:tc>
      </w:tr>
      <w:tr>
        <w:tc>
          <w:tcPr>
            <w:tcW w:type="dxa" w:w="4968"/>
          </w:tcPr>
          <w:p>
            <w:pPr>
              <w:spacing w:after="40"/>
            </w:pPr>
            <w:r>
              <w:t>Duration</w:t>
            </w:r>
          </w:p>
        </w:tc>
        <w:tc>
          <w:tcPr>
            <w:tcW w:type="dxa" w:w="4968"/>
          </w:tcPr>
          <w:p>
            <w:pPr>
              <w:spacing w:after="40"/>
            </w:pPr>
            <w:r>
              <w:t>Maximum four hours per authorization; revoke earlier when unnecessary; new Security approval required for extensions.</w:t>
            </w:r>
          </w:p>
        </w:tc>
      </w:tr>
      <w:tr>
        <w:tc>
          <w:tcPr>
            <w:tcW w:type="dxa" w:w="4968"/>
          </w:tcPr>
          <w:p>
            <w:pPr>
              <w:spacing w:after="40"/>
            </w:pPr>
            <w:r>
              <w:t>Monitoring</w:t>
            </w:r>
          </w:p>
        </w:tc>
        <w:tc>
          <w:tcPr>
            <w:tcW w:type="dxa" w:w="4968"/>
          </w:tcPr>
          <w:p>
            <w:pPr>
              <w:spacing w:after="40"/>
            </w:pPr>
            <w:r>
              <w:t>Log activity, alert Security immediately on activation, monitor high-risk actions where supported; document compensating manual controls if automation unavailable.</w:t>
            </w:r>
          </w:p>
        </w:tc>
      </w:tr>
      <w:tr>
        <w:tc>
          <w:tcPr>
            <w:tcW w:type="dxa" w:w="4968"/>
          </w:tcPr>
          <w:p>
            <w:pPr>
              <w:spacing w:after="40"/>
            </w:pPr>
            <w:r>
              <w:t>Retrospective review</w:t>
            </w:r>
          </w:p>
        </w:tc>
        <w:tc>
          <w:tcPr>
            <w:tcW w:type="dxa" w:w="4968"/>
          </w:tcPr>
          <w:p>
            <w:pPr>
              <w:spacing w:after="40"/>
            </w:pPr>
            <w:r>
              <w:t>Security completes review within one business day after access ends, independently of the access user.</w:t>
            </w:r>
          </w:p>
        </w:tc>
      </w:tr>
      <w:tr>
        <w:tc>
          <w:tcPr>
            <w:tcW w:type="dxa" w:w="4968"/>
          </w:tcPr>
          <w:p>
            <w:pPr>
              <w:spacing w:after="40"/>
            </w:pPr>
            <w:r>
              <w:t>Review evidence</w:t>
            </w:r>
          </w:p>
        </w:tc>
        <w:tc>
          <w:tcPr>
            <w:tcW w:type="dxa" w:w="4968"/>
          </w:tcPr>
          <w:p>
            <w:pPr>
              <w:spacing w:after="40"/>
            </w:pPr>
            <w:r>
              <w:t>Incident reference, original authorization, granted privileges, administrator activity, expiration, revocation, findings and corrective actions.</w:t>
            </w:r>
          </w:p>
        </w:tc>
      </w:tr>
    </w:tbl>
    <w:p>
      <w:pPr>
        <w:pStyle w:val="Heading1"/>
      </w:pPr>
      <w:r>
        <w:t>6. Responsibility and exception tracking</w:t>
      </w:r>
    </w:p>
    <w:tbl>
      <w:tblPr>
        <w:tblStyle w:val="LightShading-Accent1"/>
        <w:tblW w:type="auto" w:w="0"/>
        <w:jc w:val="center"/>
        <w:tblLook w:firstColumn="1" w:firstRow="1" w:lastColumn="0" w:lastRow="0" w:noHBand="0" w:noVBand="1" w:val="04A0"/>
      </w:tblPr>
      <w:tblGrid>
        <w:gridCol w:w="4968"/>
        <w:gridCol w:w="4968"/>
      </w:tblGrid>
      <w:tr>
        <w:tc>
          <w:tcPr>
            <w:tcW w:type="dxa" w:w="4968"/>
          </w:tcPr>
          <w:p>
            <w:pPr>
              <w:spacing w:after="40"/>
            </w:pPr>
            <w:r>
              <w:t>Role</w:t>
            </w:r>
          </w:p>
        </w:tc>
        <w:tc>
          <w:tcPr>
            <w:tcW w:type="dxa" w:w="4968"/>
          </w:tcPr>
          <w:p>
            <w:pPr>
              <w:spacing w:after="40"/>
            </w:pPr>
            <w:r>
              <w:t>Accountability</w:t>
            </w:r>
          </w:p>
        </w:tc>
      </w:tr>
      <w:tr>
        <w:tc>
          <w:tcPr>
            <w:tcW w:type="dxa" w:w="4968"/>
          </w:tcPr>
          <w:p>
            <w:pPr>
              <w:spacing w:after="40"/>
            </w:pPr>
            <w:r>
              <w:t>Department Manager</w:t>
            </w:r>
          </w:p>
        </w:tc>
        <w:tc>
          <w:tcPr>
            <w:tcW w:type="dxa" w:w="4968"/>
          </w:tcPr>
          <w:p>
            <w:pPr>
              <w:spacing w:after="40"/>
            </w:pPr>
            <w:r>
              <w:t>Business justification and approval of standard access; co-approval of sensitive/privileged access.</w:t>
            </w:r>
          </w:p>
        </w:tc>
      </w:tr>
      <w:tr>
        <w:tc>
          <w:tcPr>
            <w:tcW w:type="dxa" w:w="4968"/>
          </w:tcPr>
          <w:p>
            <w:pPr>
              <w:spacing w:after="40"/>
            </w:pPr>
            <w:r>
              <w:t>Security Team / incident lead</w:t>
            </w:r>
          </w:p>
        </w:tc>
        <w:tc>
          <w:tcPr>
            <w:tcW w:type="dxa" w:w="4968"/>
          </w:tcPr>
          <w:p>
            <w:pPr>
              <w:spacing w:after="40"/>
            </w:pPr>
            <w:r>
              <w:t>Sensitive and privileged approval; emergency authorization, alerts, and retrospective review.</w:t>
            </w:r>
          </w:p>
        </w:tc>
      </w:tr>
      <w:tr>
        <w:tc>
          <w:tcPr>
            <w:tcW w:type="dxa" w:w="4968"/>
          </w:tcPr>
          <w:p>
            <w:pPr>
              <w:spacing w:after="40"/>
            </w:pPr>
            <w:r>
              <w:t>IT / IAM Administrator</w:t>
            </w:r>
          </w:p>
        </w:tc>
        <w:tc>
          <w:tcPr>
            <w:tcW w:type="dxa" w:w="4968"/>
          </w:tcPr>
          <w:p>
            <w:pPr>
              <w:spacing w:after="40"/>
            </w:pPr>
            <w:r>
              <w:t>Provisioning, verification, logging, and completion of standard requests.</w:t>
            </w:r>
          </w:p>
        </w:tc>
      </w:tr>
      <w:tr>
        <w:tc>
          <w:tcPr>
            <w:tcW w:type="dxa" w:w="4968"/>
          </w:tcPr>
          <w:p>
            <w:pPr>
              <w:spacing w:after="40"/>
            </w:pPr>
            <w:r>
              <w:t>IAM Governance Analyst</w:t>
            </w:r>
          </w:p>
        </w:tc>
        <w:tc>
          <w:tcPr>
            <w:tcW w:type="dxa" w:w="4968"/>
          </w:tcPr>
          <w:p>
            <w:pPr>
              <w:spacing w:after="40"/>
            </w:pPr>
            <w:r>
              <w:t>Exception oversight, evidence sampling and control reporting.</w:t>
            </w:r>
          </w:p>
        </w:tc>
      </w:tr>
      <w:tr>
        <w:tc>
          <w:tcPr>
            <w:tcW w:type="dxa" w:w="4968"/>
          </w:tcPr>
          <w:p>
            <w:pPr>
              <w:spacing w:after="40"/>
            </w:pPr>
            <w:r>
              <w:t>Executive Sponsor</w:t>
            </w:r>
          </w:p>
        </w:tc>
        <w:tc>
          <w:tcPr>
            <w:tcW w:type="dxa" w:w="4968"/>
          </w:tcPr>
          <w:p>
            <w:pPr>
              <w:spacing w:after="40"/>
            </w:pPr>
            <w:r>
              <w:t>Program governance and escalation oversight.</w:t>
            </w:r>
          </w:p>
        </w:tc>
      </w:tr>
    </w:tbl>
    <w:p>
      <w:r>
        <w:t>Incomplete requests stay Pending Approval. Exception owners, business rationale, security risk, remediation targets, and evidence must be recorded. Exceptions cannot silently override mandatory approvals or other safeguards.</w:t>
      </w:r>
    </w:p>
    <w:p>
      <w:pPr>
        <w:pStyle w:val="Heading1"/>
      </w:pPr>
      <w:r>
        <w:t>7. Illustrative sample (fictional; not evidence of actual processing)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pPr>
              <w:spacing w:after="40"/>
            </w:pPr>
            <w:r>
              <w:t>Request</w:t>
            </w:r>
          </w:p>
        </w:tc>
        <w:tc>
          <w:tcPr>
            <w:tcW w:type="dxa" w:w="3312"/>
          </w:tcPr>
          <w:p>
            <w:pPr>
              <w:spacing w:after="40"/>
            </w:pPr>
            <w:r>
              <w:t>Approval</w:t>
            </w:r>
          </w:p>
        </w:tc>
        <w:tc>
          <w:tcPr>
            <w:tcW w:type="dxa" w:w="3312"/>
          </w:tcPr>
          <w:p>
            <w:pPr>
              <w:spacing w:after="40"/>
            </w:pPr>
            <w:r>
              <w:t>Status</w:t>
            </w:r>
          </w:p>
        </w:tc>
      </w:tr>
      <w:tr>
        <w:tc>
          <w:tcPr>
            <w:tcW w:type="dxa" w:w="3312"/>
          </w:tcPr>
          <w:p>
            <w:pPr>
              <w:spacing w:after="40"/>
            </w:pPr>
            <w:r>
              <w:t>DEMO-AR-001: Microsoft 365 standard access</w:t>
            </w:r>
          </w:p>
        </w:tc>
        <w:tc>
          <w:tcPr>
            <w:tcW w:type="dxa" w:w="3312"/>
          </w:tcPr>
          <w:p>
            <w:pPr>
              <w:spacing w:after="40"/>
            </w:pPr>
            <w:r>
              <w:t>Manager approval documented</w:t>
            </w:r>
          </w:p>
        </w:tc>
        <w:tc>
          <w:tcPr>
            <w:tcW w:type="dxa" w:w="3312"/>
          </w:tcPr>
          <w:p>
            <w:pPr>
              <w:spacing w:after="40"/>
            </w:pPr>
            <w:r>
              <w:t>Eligible for IT provisioning and verification</w:t>
            </w:r>
          </w:p>
        </w:tc>
      </w:tr>
      <w:tr>
        <w:tc>
          <w:tcPr>
            <w:tcW w:type="dxa" w:w="3312"/>
          </w:tcPr>
          <w:p>
            <w:pPr>
              <w:spacing w:after="40"/>
            </w:pPr>
            <w:r>
              <w:t>DEMO-AR-002: Privileged Entra role</w:t>
            </w:r>
          </w:p>
        </w:tc>
        <w:tc>
          <w:tcPr>
            <w:tcW w:type="dxa" w:w="3312"/>
          </w:tcPr>
          <w:p>
            <w:pPr>
              <w:spacing w:after="40"/>
            </w:pPr>
            <w:r>
              <w:t>Manager approved; Security approval missing</w:t>
            </w:r>
          </w:p>
        </w:tc>
        <w:tc>
          <w:tcPr>
            <w:tcW w:type="dxa" w:w="3312"/>
          </w:tcPr>
          <w:p>
            <w:pPr>
              <w:spacing w:after="40"/>
            </w:pPr>
            <w:r>
              <w:t>Pending Approval; do not provision</w:t>
            </w:r>
          </w:p>
        </w:tc>
      </w:tr>
      <w:tr>
        <w:tc>
          <w:tcPr>
            <w:tcW w:type="dxa" w:w="3312"/>
          </w:tcPr>
          <w:p>
            <w:pPr>
              <w:spacing w:after="40"/>
            </w:pPr>
            <w:r>
              <w:t>DEMO-AR-003: Incident-response admin elevation</w:t>
            </w:r>
          </w:p>
        </w:tc>
        <w:tc>
          <w:tcPr>
            <w:tcW w:type="dxa" w:w="3312"/>
          </w:tcPr>
          <w:p>
            <w:pPr>
              <w:spacing w:after="40"/>
            </w:pPr>
            <w:r>
              <w:t>Security incident lead authorized, two-hour expiration</w:t>
            </w:r>
          </w:p>
        </w:tc>
        <w:tc>
          <w:tcPr>
            <w:tcW w:type="dxa" w:w="3312"/>
          </w:tcPr>
          <w:p>
            <w:pPr>
              <w:spacing w:after="40"/>
            </w:pPr>
            <w:r>
              <w:t>Log activation; review within one business day of end</w:t>
            </w:r>
          </w:p>
        </w:tc>
      </w:tr>
    </w:tbl>
    <w:p>
      <w:r>
        <w:t>Document status: Draft v0.1 — authorization model and control choices approved by the portfolio author across IAM Portfolio #2 Steps 49–58. Draft layout and text pending final portfolio review. No affiliation with any real healthcare company.</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Educational Simulation |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24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24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24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Educational Portfolio</dc:creator>
  <cp:keywords/>
  <dc:description>generated by python-docx</dc:description>
  <cp:lastModifiedBy/>
  <cp:revision>1</cp:revision>
  <dcterms:created xsi:type="dcterms:W3CDTF">2013-12-23T23:15:00Z</dcterms:created>
  <dcterms:modified xsi:type="dcterms:W3CDTF">2013-12-23T23:15:00Z</dcterms:modified>
  <cp:category/>
</cp:coreProperties>
</file>