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Control Testing and Evidence Matrix</w:t>
      </w:r>
    </w:p>
    <w:p>
      <w:pPr>
        <w:pStyle w:val="Subtitle"/>
      </w:pPr>
      <w:r>
        <w:t>NORTHSTAR HEALTHTECH  |  DOCUMENT #7  |  DRAFT v0.1</w:t>
      </w:r>
    </w:p>
    <w:p>
      <w:r>
        <w:t>Independent educational simulation • Fictional 250-employee healthcare technology organization • No affiliation or production control testing</w:t>
      </w:r>
    </w:p>
    <w:p>
      <w:r>
        <w:t>Document status: Portfolio draft for review. Seven test procedures approved for design; each test status remains NOT TESTED. No evidence has been collected from live systems.</w:t>
      </w:r>
    </w:p>
    <w:p>
      <w:pPr>
        <w:pStyle w:val="Heading1"/>
      </w:pPr>
      <w:r>
        <w:t>1. Purpose and boundaries</w:t>
      </w:r>
    </w:p>
    <w:p>
      <w:r>
        <w:t>Define consistent design-effectiveness (DE) and operating-effectiveness (OE) testing procedures for seven proposed IAM controls across the fictional Northstar HealthTech environment, including Microsoft Entra ID, Microsoft 365, critical cloud applications, and privileged access. This matrix is a testing plan and evidence request framework, not an audit opinion or proof that controls are implemented.</w:t>
      </w:r>
    </w:p>
    <w:p>
      <w:pPr>
        <w:pStyle w:val="Heading1"/>
      </w:pPr>
      <w:r>
        <w:t>2. Approved testing methodology</w:t>
      </w:r>
    </w:p>
    <w:p>
      <w:r>
        <w:t>DE evaluates whether documented control requirements are reasonably designed to address the stated IAM risk. OE evaluates whether collected evidence demonstrates that a control operated as designed during the documented testing period. Neither is assumed from policy approval alone.</w:t>
      </w:r>
    </w:p>
    <w:p>
      <w:pPr>
        <w:pStyle w:val="ListNumber"/>
      </w:pPr>
      <w:r>
        <w:t>Identify objective and associated IAM risk.</w:t>
      </w:r>
    </w:p>
    <w:p>
      <w:pPr>
        <w:pStyle w:val="ListNumber"/>
      </w:pPr>
      <w:r>
        <w:t>Define testing period and eligible population, documenting exclusions.</w:t>
      </w:r>
    </w:p>
    <w:p>
      <w:pPr>
        <w:pStyle w:val="ListNumber"/>
      </w:pPr>
      <w:r>
        <w:t>Select a documented, risk-appropriate sample.</w:t>
      </w:r>
    </w:p>
    <w:p>
      <w:pPr>
        <w:pStyle w:val="ListNumber"/>
      </w:pPr>
      <w:r>
        <w:t>Identify required evidence and perform test steps.</w:t>
      </w:r>
    </w:p>
    <w:p>
      <w:pPr>
        <w:pStyle w:val="ListNumber"/>
      </w:pPr>
      <w:r>
        <w:t>Record observations, exceptions, evidence references, and limitations.</w:t>
      </w:r>
    </w:p>
    <w:p>
      <w:pPr>
        <w:pStyle w:val="ListNumber"/>
      </w:pPr>
      <w:r>
        <w:t>Reach an evidence-supported conclusion and assign any corrective action.</w:t>
      </w:r>
    </w:p>
    <w:p>
      <w:pPr>
        <w:pStyle w:val="Heading1"/>
      </w:pPr>
      <w:r>
        <w:t>3. Nonstatistical sampling standard</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Eligible population</w:t>
            </w:r>
          </w:p>
        </w:tc>
        <w:tc>
          <w:tcPr>
            <w:tcW w:type="dxa" w:w="4997"/>
          </w:tcPr>
          <w:p>
            <w:pPr>
              <w:spacing w:after="20"/>
            </w:pPr>
            <w:r>
              <w:rPr>
                <w:sz w:val="16"/>
              </w:rPr>
              <w:t>Initial sample</w:t>
            </w:r>
          </w:p>
        </w:tc>
      </w:tr>
      <w:tr>
        <w:tc>
          <w:tcPr>
            <w:tcW w:type="dxa" w:w="4997"/>
          </w:tcPr>
          <w:p>
            <w:pPr>
              <w:spacing w:after="20"/>
            </w:pPr>
            <w:r>
              <w:rPr>
                <w:sz w:val="16"/>
              </w:rPr>
              <w:t>1–10</w:t>
            </w:r>
          </w:p>
        </w:tc>
        <w:tc>
          <w:tcPr>
            <w:tcW w:type="dxa" w:w="4997"/>
          </w:tcPr>
          <w:p>
            <w:pPr>
              <w:spacing w:after="20"/>
            </w:pPr>
            <w:r>
              <w:rPr>
                <w:sz w:val="16"/>
              </w:rPr>
              <w:t>All records</w:t>
            </w:r>
          </w:p>
        </w:tc>
      </w:tr>
      <w:tr>
        <w:tc>
          <w:tcPr>
            <w:tcW w:type="dxa" w:w="4997"/>
          </w:tcPr>
          <w:p>
            <w:pPr>
              <w:spacing w:after="20"/>
            </w:pPr>
            <w:r>
              <w:rPr>
                <w:sz w:val="16"/>
              </w:rPr>
              <w:t>11–50</w:t>
            </w:r>
          </w:p>
        </w:tc>
        <w:tc>
          <w:tcPr>
            <w:tcW w:type="dxa" w:w="4997"/>
          </w:tcPr>
          <w:p>
            <w:pPr>
              <w:spacing w:after="20"/>
            </w:pPr>
            <w:r>
              <w:rPr>
                <w:sz w:val="16"/>
              </w:rPr>
              <w:t>10</w:t>
            </w:r>
          </w:p>
        </w:tc>
      </w:tr>
      <w:tr>
        <w:tc>
          <w:tcPr>
            <w:tcW w:type="dxa" w:w="4997"/>
          </w:tcPr>
          <w:p>
            <w:pPr>
              <w:spacing w:after="20"/>
            </w:pPr>
            <w:r>
              <w:rPr>
                <w:sz w:val="16"/>
              </w:rPr>
              <w:t>51–250</w:t>
            </w:r>
          </w:p>
        </w:tc>
        <w:tc>
          <w:tcPr>
            <w:tcW w:type="dxa" w:w="4997"/>
          </w:tcPr>
          <w:p>
            <w:pPr>
              <w:spacing w:after="20"/>
            </w:pPr>
            <w:r>
              <w:rPr>
                <w:sz w:val="16"/>
              </w:rPr>
              <w:t>15</w:t>
            </w:r>
          </w:p>
        </w:tc>
      </w:tr>
      <w:tr>
        <w:tc>
          <w:tcPr>
            <w:tcW w:type="dxa" w:w="4997"/>
          </w:tcPr>
          <w:p>
            <w:pPr>
              <w:spacing w:after="20"/>
            </w:pPr>
            <w:r>
              <w:rPr>
                <w:sz w:val="16"/>
              </w:rPr>
              <w:t>&gt;250</w:t>
            </w:r>
          </w:p>
        </w:tc>
        <w:tc>
          <w:tcPr>
            <w:tcW w:type="dxa" w:w="4997"/>
          </w:tcPr>
          <w:p>
            <w:pPr>
              <w:spacing w:after="20"/>
            </w:pPr>
            <w:r>
              <w:rPr>
                <w:sz w:val="16"/>
              </w:rPr>
              <w:t>25</w:t>
            </w:r>
          </w:p>
        </w:tc>
      </w:tr>
    </w:tbl>
    <w:p>
      <w:r>
        <w:t>Document population source, total eligible count, test period, exclusions, sample IDs, and selection method. Select across the test period; identify risk-based additions separately from random or otherwise selected records. These samples provide no statistical assurance and do not establish population-wide compliance. Any observed exception remains recorded even if further samples are examined.</w:t>
      </w:r>
    </w:p>
    <w:p>
      <w:pPr>
        <w:pStyle w:val="Heading1"/>
      </w:pPr>
      <w:r>
        <w:t>4. Conclusion categories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Conclusion</w:t>
            </w:r>
          </w:p>
        </w:tc>
        <w:tc>
          <w:tcPr>
            <w:tcW w:type="dxa" w:w="4997"/>
          </w:tcPr>
          <w:p>
            <w:pPr>
              <w:spacing w:after="20"/>
            </w:pPr>
            <w:r>
              <w:rPr>
                <w:sz w:val="16"/>
              </w:rPr>
              <w:t>Use only when</w:t>
            </w:r>
          </w:p>
        </w:tc>
      </w:tr>
      <w:tr>
        <w:tc>
          <w:tcPr>
            <w:tcW w:type="dxa" w:w="4997"/>
          </w:tcPr>
          <w:p>
            <w:pPr>
              <w:spacing w:after="20"/>
            </w:pPr>
            <w:r>
              <w:rPr>
                <w:sz w:val="16"/>
              </w:rPr>
              <w:t>Pass</w:t>
            </w:r>
          </w:p>
        </w:tc>
        <w:tc>
          <w:tcPr>
            <w:tcW w:type="dxa" w:w="4997"/>
          </w:tcPr>
          <w:p>
            <w:pPr>
              <w:spacing w:after="20"/>
            </w:pPr>
            <w:r>
              <w:rPr>
                <w:sz w:val="16"/>
              </w:rPr>
              <w:t>Sufficient evidence supports the tested requirement within the sample and period.</w:t>
            </w:r>
          </w:p>
        </w:tc>
      </w:tr>
      <w:tr>
        <w:tc>
          <w:tcPr>
            <w:tcW w:type="dxa" w:w="4997"/>
          </w:tcPr>
          <w:p>
            <w:pPr>
              <w:spacing w:after="20"/>
            </w:pPr>
            <w:r>
              <w:rPr>
                <w:sz w:val="16"/>
              </w:rPr>
              <w:t>Fail</w:t>
            </w:r>
          </w:p>
        </w:tc>
        <w:tc>
          <w:tcPr>
            <w:tcW w:type="dxa" w:w="4997"/>
          </w:tcPr>
          <w:p>
            <w:pPr>
              <w:spacing w:after="20"/>
            </w:pPr>
            <w:r>
              <w:rPr>
                <w:sz w:val="16"/>
              </w:rPr>
              <w:t>Evidence demonstrates a tested requirement was not met.</w:t>
            </w:r>
          </w:p>
        </w:tc>
      </w:tr>
      <w:tr>
        <w:tc>
          <w:tcPr>
            <w:tcW w:type="dxa" w:w="4997"/>
          </w:tcPr>
          <w:p>
            <w:pPr>
              <w:spacing w:after="20"/>
            </w:pPr>
            <w:r>
              <w:rPr>
                <w:sz w:val="16"/>
              </w:rPr>
              <w:t>Inconclusive</w:t>
            </w:r>
          </w:p>
        </w:tc>
        <w:tc>
          <w:tcPr>
            <w:tcW w:type="dxa" w:w="4997"/>
          </w:tcPr>
          <w:p>
            <w:pPr>
              <w:spacing w:after="20"/>
            </w:pPr>
            <w:r>
              <w:rPr>
                <w:sz w:val="16"/>
              </w:rPr>
              <w:t>Evidence is missing or insufficient for a supported outcome.</w:t>
            </w:r>
          </w:p>
        </w:tc>
      </w:tr>
      <w:tr>
        <w:tc>
          <w:tcPr>
            <w:tcW w:type="dxa" w:w="4997"/>
          </w:tcPr>
          <w:p>
            <w:pPr>
              <w:spacing w:after="20"/>
            </w:pPr>
            <w:r>
              <w:rPr>
                <w:sz w:val="16"/>
              </w:rPr>
              <w:t>Not Tested</w:t>
            </w:r>
          </w:p>
        </w:tc>
        <w:tc>
          <w:tcPr>
            <w:tcW w:type="dxa" w:w="4997"/>
          </w:tcPr>
          <w:p>
            <w:pPr>
              <w:spacing w:after="20"/>
            </w:pPr>
            <w:r>
              <w:rPr>
                <w:sz w:val="16"/>
              </w:rPr>
              <w:t>The procedure has not been executed.</w:t>
            </w:r>
          </w:p>
        </w:tc>
      </w:tr>
    </w:tbl>
    <w:p>
      <w:r>
        <w:t>Use a separate conclusion for DE and OE when they have different evidence or execution status. Do not present proposed evidence or simulated sample data as live-system audit findings.</w:t>
      </w:r>
    </w:p>
    <w:p>
      <w:pPr>
        <w:pStyle w:val="Heading1"/>
      </w:pPr>
      <w:r>
        <w:t>5. Control test register</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20"/>
            </w:pPr>
            <w:r>
              <w:rPr>
                <w:sz w:val="16"/>
              </w:rPr>
              <w:t>Control</w:t>
            </w:r>
          </w:p>
        </w:tc>
        <w:tc>
          <w:tcPr>
            <w:tcW w:type="dxa" w:w="3331"/>
          </w:tcPr>
          <w:p>
            <w:pPr>
              <w:spacing w:after="20"/>
            </w:pPr>
            <w:r>
              <w:rPr>
                <w:sz w:val="16"/>
              </w:rPr>
              <w:t>Control focus</w:t>
            </w:r>
          </w:p>
        </w:tc>
        <w:tc>
          <w:tcPr>
            <w:tcW w:type="dxa" w:w="3331"/>
          </w:tcPr>
          <w:p>
            <w:pPr>
              <w:spacing w:after="20"/>
            </w:pPr>
            <w:r>
              <w:rPr>
                <w:sz w:val="16"/>
              </w:rPr>
              <w:t>Execution status</w:t>
            </w:r>
          </w:p>
        </w:tc>
      </w:tr>
      <w:tr>
        <w:tc>
          <w:tcPr>
            <w:tcW w:type="dxa" w:w="3331"/>
          </w:tcPr>
          <w:p>
            <w:pPr>
              <w:spacing w:after="20"/>
            </w:pPr>
            <w:r>
              <w:rPr>
                <w:sz w:val="16"/>
              </w:rPr>
              <w:t>CT-001</w:t>
            </w:r>
          </w:p>
        </w:tc>
        <w:tc>
          <w:tcPr>
            <w:tcW w:type="dxa" w:w="3331"/>
          </w:tcPr>
          <w:p>
            <w:pPr>
              <w:spacing w:after="20"/>
            </w:pPr>
            <w:r>
              <w:rPr>
                <w:sz w:val="16"/>
              </w:rPr>
              <w:t>New-Hire Access Provisioning</w:t>
            </w:r>
          </w:p>
        </w:tc>
        <w:tc>
          <w:tcPr>
            <w:tcW w:type="dxa" w:w="3331"/>
          </w:tcPr>
          <w:p>
            <w:pPr>
              <w:spacing w:after="20"/>
            </w:pPr>
            <w:r>
              <w:rPr>
                <w:sz w:val="16"/>
              </w:rPr>
              <w:t>Not Tested</w:t>
            </w:r>
          </w:p>
        </w:tc>
      </w:tr>
      <w:tr>
        <w:tc>
          <w:tcPr>
            <w:tcW w:type="dxa" w:w="3331"/>
          </w:tcPr>
          <w:p>
            <w:pPr>
              <w:spacing w:after="20"/>
            </w:pPr>
            <w:r>
              <w:rPr>
                <w:sz w:val="16"/>
              </w:rPr>
              <w:t>CT-002</w:t>
            </w:r>
          </w:p>
        </w:tc>
        <w:tc>
          <w:tcPr>
            <w:tcW w:type="dxa" w:w="3331"/>
          </w:tcPr>
          <w:p>
            <w:pPr>
              <w:spacing w:after="20"/>
            </w:pPr>
            <w:r>
              <w:rPr>
                <w:sz w:val="16"/>
              </w:rPr>
              <w:t>Employee Offboarding Access Removal</w:t>
            </w:r>
          </w:p>
        </w:tc>
        <w:tc>
          <w:tcPr>
            <w:tcW w:type="dxa" w:w="3331"/>
          </w:tcPr>
          <w:p>
            <w:pPr>
              <w:spacing w:after="20"/>
            </w:pPr>
            <w:r>
              <w:rPr>
                <w:sz w:val="16"/>
              </w:rPr>
              <w:t>Not Tested</w:t>
            </w:r>
          </w:p>
        </w:tc>
      </w:tr>
      <w:tr>
        <w:tc>
          <w:tcPr>
            <w:tcW w:type="dxa" w:w="3331"/>
          </w:tcPr>
          <w:p>
            <w:pPr>
              <w:spacing w:after="20"/>
            </w:pPr>
            <w:r>
              <w:rPr>
                <w:sz w:val="16"/>
              </w:rPr>
              <w:t>CT-003</w:t>
            </w:r>
          </w:p>
        </w:tc>
        <w:tc>
          <w:tcPr>
            <w:tcW w:type="dxa" w:w="3331"/>
          </w:tcPr>
          <w:p>
            <w:pPr>
              <w:spacing w:after="20"/>
            </w:pPr>
            <w:r>
              <w:rPr>
                <w:sz w:val="16"/>
              </w:rPr>
              <w:t>Employee Role-Change Access Management</w:t>
            </w:r>
          </w:p>
        </w:tc>
        <w:tc>
          <w:tcPr>
            <w:tcW w:type="dxa" w:w="3331"/>
          </w:tcPr>
          <w:p>
            <w:pPr>
              <w:spacing w:after="20"/>
            </w:pPr>
            <w:r>
              <w:rPr>
                <w:sz w:val="16"/>
              </w:rPr>
              <w:t>Not Tested</w:t>
            </w:r>
          </w:p>
        </w:tc>
      </w:tr>
      <w:tr>
        <w:tc>
          <w:tcPr>
            <w:tcW w:type="dxa" w:w="3331"/>
          </w:tcPr>
          <w:p>
            <w:pPr>
              <w:spacing w:after="20"/>
            </w:pPr>
            <w:r>
              <w:rPr>
                <w:sz w:val="16"/>
              </w:rPr>
              <w:t>CT-004</w:t>
            </w:r>
          </w:p>
        </w:tc>
        <w:tc>
          <w:tcPr>
            <w:tcW w:type="dxa" w:w="3331"/>
          </w:tcPr>
          <w:p>
            <w:pPr>
              <w:spacing w:after="20"/>
            </w:pPr>
            <w:r>
              <w:rPr>
                <w:sz w:val="16"/>
              </w:rPr>
              <w:t>Privileged Access Approval Compliance</w:t>
            </w:r>
          </w:p>
        </w:tc>
        <w:tc>
          <w:tcPr>
            <w:tcW w:type="dxa" w:w="3331"/>
          </w:tcPr>
          <w:p>
            <w:pPr>
              <w:spacing w:after="20"/>
            </w:pPr>
            <w:r>
              <w:rPr>
                <w:sz w:val="16"/>
              </w:rPr>
              <w:t>Not Tested</w:t>
            </w:r>
          </w:p>
        </w:tc>
      </w:tr>
      <w:tr>
        <w:tc>
          <w:tcPr>
            <w:tcW w:type="dxa" w:w="3331"/>
          </w:tcPr>
          <w:p>
            <w:pPr>
              <w:spacing w:after="20"/>
            </w:pPr>
            <w:r>
              <w:rPr>
                <w:sz w:val="16"/>
              </w:rPr>
              <w:t>CT-005</w:t>
            </w:r>
          </w:p>
        </w:tc>
        <w:tc>
          <w:tcPr>
            <w:tcW w:type="dxa" w:w="3331"/>
          </w:tcPr>
          <w:p>
            <w:pPr>
              <w:spacing w:after="20"/>
            </w:pPr>
            <w:r>
              <w:rPr>
                <w:sz w:val="16"/>
              </w:rPr>
              <w:t>MFA Enforcement</w:t>
            </w:r>
          </w:p>
        </w:tc>
        <w:tc>
          <w:tcPr>
            <w:tcW w:type="dxa" w:w="3331"/>
          </w:tcPr>
          <w:p>
            <w:pPr>
              <w:spacing w:after="20"/>
            </w:pPr>
            <w:r>
              <w:rPr>
                <w:sz w:val="16"/>
              </w:rPr>
              <w:t>Not Tested</w:t>
            </w:r>
          </w:p>
        </w:tc>
      </w:tr>
      <w:tr>
        <w:tc>
          <w:tcPr>
            <w:tcW w:type="dxa" w:w="3331"/>
          </w:tcPr>
          <w:p>
            <w:pPr>
              <w:spacing w:after="20"/>
            </w:pPr>
            <w:r>
              <w:rPr>
                <w:sz w:val="16"/>
              </w:rPr>
              <w:t>CT-006</w:t>
            </w:r>
          </w:p>
        </w:tc>
        <w:tc>
          <w:tcPr>
            <w:tcW w:type="dxa" w:w="3331"/>
          </w:tcPr>
          <w:p>
            <w:pPr>
              <w:spacing w:after="20"/>
            </w:pPr>
            <w:r>
              <w:rPr>
                <w:sz w:val="16"/>
              </w:rPr>
              <w:t>Access Review and Certification</w:t>
            </w:r>
          </w:p>
        </w:tc>
        <w:tc>
          <w:tcPr>
            <w:tcW w:type="dxa" w:w="3331"/>
          </w:tcPr>
          <w:p>
            <w:pPr>
              <w:spacing w:after="20"/>
            </w:pPr>
            <w:r>
              <w:rPr>
                <w:sz w:val="16"/>
              </w:rPr>
              <w:t>Not Tested</w:t>
            </w:r>
          </w:p>
        </w:tc>
      </w:tr>
      <w:tr>
        <w:tc>
          <w:tcPr>
            <w:tcW w:type="dxa" w:w="3331"/>
          </w:tcPr>
          <w:p>
            <w:pPr>
              <w:spacing w:after="20"/>
            </w:pPr>
            <w:r>
              <w:rPr>
                <w:sz w:val="16"/>
              </w:rPr>
              <w:t>CT-007</w:t>
            </w:r>
          </w:p>
        </w:tc>
        <w:tc>
          <w:tcPr>
            <w:tcW w:type="dxa" w:w="3331"/>
          </w:tcPr>
          <w:p>
            <w:pPr>
              <w:spacing w:after="20"/>
            </w:pPr>
            <w:r>
              <w:rPr>
                <w:sz w:val="16"/>
              </w:rPr>
              <w:t>Emergency Privileged Access</w:t>
            </w:r>
          </w:p>
        </w:tc>
        <w:tc>
          <w:tcPr>
            <w:tcW w:type="dxa" w:w="3331"/>
          </w:tcPr>
          <w:p>
            <w:pPr>
              <w:spacing w:after="20"/>
            </w:pPr>
            <w:r>
              <w:rPr>
                <w:sz w:val="16"/>
              </w:rPr>
              <w:t>Not Tested</w:t>
            </w:r>
          </w:p>
        </w:tc>
      </w:tr>
    </w:tbl>
    <w:p>
      <w:r>
        <w:t>The risk associations identify alignment to the hypothetical IAM risk register; they do not prove that any risk treatment or control is operational.</w:t>
      </w:r>
    </w:p>
    <w:p>
      <w:pPr>
        <w:pStyle w:val="Heading1"/>
      </w:pPr>
      <w:r>
        <w:t>CT-001 — New-Hire Access Provisioning</w:t>
      </w:r>
    </w:p>
    <w:p>
      <w:r>
        <w:t>Risk reference: IAM-004 and onboarding authorization risk  |  DE: Not Tested  |  OE: Not Tested</w:t>
      </w:r>
    </w:p>
    <w:p>
      <w:pPr>
        <w:pStyle w:val="Heading2"/>
      </w:pPr>
      <w:r>
        <w:t>Control objective</w:t>
      </w:r>
    </w:p>
    <w:p>
      <w:r>
        <w:t>New-hire identities match HR records, permissions are approved, MFA is enforced, and accounts are usable no earlier than authorized start time.</w:t>
      </w:r>
    </w:p>
    <w:p>
      <w:pPr>
        <w:pStyle w:val="Heading2"/>
      </w:pPr>
      <w:r>
        <w:t>Design-effectiveness inquiry</w:t>
      </w:r>
    </w:p>
    <w:p>
      <w:r>
        <w:t>JML and Access Matrix: HR notice ≥3 business days; HR identity match; Manager approval (additional Security approval for sensitive/privileged); MFA before protected access; start-time activation.</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HR identity/start</w:t>
            </w:r>
          </w:p>
        </w:tc>
        <w:tc>
          <w:tcPr>
            <w:tcW w:type="dxa" w:w="4997"/>
          </w:tcPr>
          <w:p>
            <w:pPr>
              <w:spacing w:after="20"/>
            </w:pPr>
            <w:r>
              <w:rPr>
                <w:sz w:val="16"/>
              </w:rPr>
              <w:t>HR onboarding record, verified match and authorized start time</w:t>
            </w:r>
          </w:p>
        </w:tc>
      </w:tr>
      <w:tr>
        <w:tc>
          <w:tcPr>
            <w:tcW w:type="dxa" w:w="4997"/>
          </w:tcPr>
          <w:p>
            <w:pPr>
              <w:spacing w:after="20"/>
            </w:pPr>
            <w:r>
              <w:rPr>
                <w:sz w:val="16"/>
              </w:rPr>
              <w:t>2. Notification timing</w:t>
            </w:r>
          </w:p>
        </w:tc>
        <w:tc>
          <w:tcPr>
            <w:tcW w:type="dxa" w:w="4997"/>
          </w:tcPr>
          <w:p>
            <w:pPr>
              <w:spacing w:after="20"/>
            </w:pPr>
            <w:r>
              <w:rPr>
                <w:sz w:val="16"/>
              </w:rPr>
              <w:t>Timestamped HR-to-IT notification</w:t>
            </w:r>
          </w:p>
        </w:tc>
      </w:tr>
      <w:tr>
        <w:tc>
          <w:tcPr>
            <w:tcW w:type="dxa" w:w="4997"/>
          </w:tcPr>
          <w:p>
            <w:pPr>
              <w:spacing w:after="20"/>
            </w:pPr>
            <w:r>
              <w:rPr>
                <w:sz w:val="16"/>
              </w:rPr>
              <w:t>3. Prior access approval</w:t>
            </w:r>
          </w:p>
        </w:tc>
        <w:tc>
          <w:tcPr>
            <w:tcW w:type="dxa" w:w="4997"/>
          </w:tcPr>
          <w:p>
            <w:pPr>
              <w:spacing w:after="20"/>
            </w:pPr>
            <w:r>
              <w:rPr>
                <w:sz w:val="16"/>
              </w:rPr>
              <w:t>Request and Manager / Security approval history</w:t>
            </w:r>
          </w:p>
        </w:tc>
      </w:tr>
      <w:tr>
        <w:tc>
          <w:tcPr>
            <w:tcW w:type="dxa" w:w="4997"/>
          </w:tcPr>
          <w:p>
            <w:pPr>
              <w:spacing w:after="20"/>
            </w:pPr>
            <w:r>
              <w:rPr>
                <w:sz w:val="16"/>
              </w:rPr>
              <w:t>4. Provisioning/activation</w:t>
            </w:r>
          </w:p>
        </w:tc>
        <w:tc>
          <w:tcPr>
            <w:tcW w:type="dxa" w:w="4997"/>
          </w:tcPr>
          <w:p>
            <w:pPr>
              <w:spacing w:after="20"/>
            </w:pPr>
            <w:r>
              <w:rPr>
                <w:sz w:val="16"/>
              </w:rPr>
              <w:t>Account creation and activation timestamps</w:t>
            </w:r>
          </w:p>
        </w:tc>
      </w:tr>
      <w:tr>
        <w:tc>
          <w:tcPr>
            <w:tcW w:type="dxa" w:w="4997"/>
          </w:tcPr>
          <w:p>
            <w:pPr>
              <w:spacing w:after="20"/>
            </w:pPr>
            <w:r>
              <w:rPr>
                <w:sz w:val="16"/>
              </w:rPr>
              <w:t>5. MFA enforcement</w:t>
            </w:r>
          </w:p>
        </w:tc>
        <w:tc>
          <w:tcPr>
            <w:tcW w:type="dxa" w:w="4997"/>
          </w:tcPr>
          <w:p>
            <w:pPr>
              <w:spacing w:after="20"/>
            </w:pPr>
            <w:r>
              <w:rPr>
                <w:sz w:val="16"/>
              </w:rPr>
              <w:t>Applicable authentication policy and MFA evaluation evidence</w:t>
            </w:r>
          </w:p>
        </w:tc>
      </w:tr>
      <w:tr>
        <w:tc>
          <w:tcPr>
            <w:tcW w:type="dxa" w:w="4997"/>
          </w:tcPr>
          <w:p>
            <w:pPr>
              <w:spacing w:after="20"/>
            </w:pPr>
            <w:r>
              <w:rPr>
                <w:sz w:val="16"/>
              </w:rPr>
              <w:t>6. Outcome and closure</w:t>
            </w:r>
          </w:p>
        </w:tc>
        <w:tc>
          <w:tcPr>
            <w:tcW w:type="dxa" w:w="4997"/>
          </w:tcPr>
          <w:p>
            <w:pPr>
              <w:spacing w:after="20"/>
            </w:pPr>
            <w:r>
              <w:rPr>
                <w:sz w:val="16"/>
              </w:rPr>
              <w:t>Completed onboarding record and tester notes</w:t>
            </w:r>
          </w:p>
        </w:tc>
      </w:tr>
    </w:tbl>
    <w:p>
      <w:r>
        <w:t>Sampling: Apply the approved nonstatistical standard. Record population, sample size, period, chosen records, selection method, exclusions and risk-based additions. No actual samples selected.</w:t>
      </w:r>
    </w:p>
    <w:p>
      <w:r>
        <w:t>Potential exceptions: Missing approvals, identity mismatch, premature activation, missing MFA. Late HR notification is documented separately from downstream access-control failures.</w:t>
      </w:r>
    </w:p>
    <w:p>
      <w:r>
        <w:t>Conclusion: DE — Not Tested; OE — Not Tested. No operational evidence assessed.</w:t>
      </w:r>
    </w:p>
    <w:p>
      <w:pPr>
        <w:pStyle w:val="Heading1"/>
      </w:pPr>
      <w:r>
        <w:t>CT-002 — Employee Offboarding Access Removal</w:t>
      </w:r>
    </w:p>
    <w:p>
      <w:r>
        <w:t>Risk reference: IAM-001  |  DE: Not Tested  |  OE: Not Tested</w:t>
      </w:r>
    </w:p>
    <w:p>
      <w:pPr>
        <w:pStyle w:val="Heading2"/>
      </w:pPr>
      <w:r>
        <w:t>Control objective</w:t>
      </w:r>
    </w:p>
    <w:p>
      <w:r>
        <w:t>Employee access is disabled at authorized departure or immediately for urgent containment, with applicable system access removed and verified.</w:t>
      </w:r>
    </w:p>
    <w:p>
      <w:pPr>
        <w:pStyle w:val="Heading2"/>
      </w:pPr>
      <w:r>
        <w:t>Design-effectiveness inquiry</w:t>
      </w:r>
    </w:p>
    <w:p>
      <w:r>
        <w:t>JML: planned HR notice ≥1 business day; urgent immediate notification; timely disabling; Entra ID, M365, critical cloud, remote and privileged access removal; high-risk Security verification; evidence-based closure.</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Separation details</w:t>
            </w:r>
          </w:p>
        </w:tc>
        <w:tc>
          <w:tcPr>
            <w:tcW w:type="dxa" w:w="4997"/>
          </w:tcPr>
          <w:p>
            <w:pPr>
              <w:spacing w:after="20"/>
            </w:pPr>
            <w:r>
              <w:rPr>
                <w:sz w:val="16"/>
              </w:rPr>
              <w:t>HR separation record and authorized departure time</w:t>
            </w:r>
          </w:p>
        </w:tc>
      </w:tr>
      <w:tr>
        <w:tc>
          <w:tcPr>
            <w:tcW w:type="dxa" w:w="4997"/>
          </w:tcPr>
          <w:p>
            <w:pPr>
              <w:spacing w:after="20"/>
            </w:pPr>
            <w:r>
              <w:rPr>
                <w:sz w:val="16"/>
              </w:rPr>
              <w:t>2. HR notification</w:t>
            </w:r>
          </w:p>
        </w:tc>
        <w:tc>
          <w:tcPr>
            <w:tcW w:type="dxa" w:w="4997"/>
          </w:tcPr>
          <w:p>
            <w:pPr>
              <w:spacing w:after="20"/>
            </w:pPr>
            <w:r>
              <w:rPr>
                <w:sz w:val="16"/>
              </w:rPr>
              <w:t>Timestamped HR-to-IT notification</w:t>
            </w:r>
          </w:p>
        </w:tc>
      </w:tr>
      <w:tr>
        <w:tc>
          <w:tcPr>
            <w:tcW w:type="dxa" w:w="4997"/>
          </w:tcPr>
          <w:p>
            <w:pPr>
              <w:spacing w:after="20"/>
            </w:pPr>
            <w:r>
              <w:rPr>
                <w:sz w:val="16"/>
              </w:rPr>
              <w:t>3. Disable timeliness</w:t>
            </w:r>
          </w:p>
        </w:tc>
        <w:tc>
          <w:tcPr>
            <w:tcW w:type="dxa" w:w="4997"/>
          </w:tcPr>
          <w:p>
            <w:pPr>
              <w:spacing w:after="20"/>
            </w:pPr>
            <w:r>
              <w:rPr>
                <w:sz w:val="16"/>
              </w:rPr>
              <w:t>Account disable logs compared to authorized time</w:t>
            </w:r>
          </w:p>
        </w:tc>
      </w:tr>
      <w:tr>
        <w:tc>
          <w:tcPr>
            <w:tcW w:type="dxa" w:w="4997"/>
          </w:tcPr>
          <w:p>
            <w:pPr>
              <w:spacing w:after="20"/>
            </w:pPr>
            <w:r>
              <w:rPr>
                <w:sz w:val="16"/>
              </w:rPr>
              <w:t>4. System coverage</w:t>
            </w:r>
          </w:p>
        </w:tc>
        <w:tc>
          <w:tcPr>
            <w:tcW w:type="dxa" w:w="4997"/>
          </w:tcPr>
          <w:p>
            <w:pPr>
              <w:spacing w:after="20"/>
            </w:pPr>
            <w:r>
              <w:rPr>
                <w:sz w:val="16"/>
              </w:rPr>
              <w:t>Access inventory and application removal records</w:t>
            </w:r>
          </w:p>
        </w:tc>
      </w:tr>
      <w:tr>
        <w:tc>
          <w:tcPr>
            <w:tcW w:type="dxa" w:w="4997"/>
          </w:tcPr>
          <w:p>
            <w:pPr>
              <w:spacing w:after="20"/>
            </w:pPr>
            <w:r>
              <w:rPr>
                <w:sz w:val="16"/>
              </w:rPr>
              <w:t>5. Privileges and sessions</w:t>
            </w:r>
          </w:p>
        </w:tc>
        <w:tc>
          <w:tcPr>
            <w:tcW w:type="dxa" w:w="4997"/>
          </w:tcPr>
          <w:p>
            <w:pPr>
              <w:spacing w:after="20"/>
            </w:pPr>
            <w:r>
              <w:rPr>
                <w:sz w:val="16"/>
              </w:rPr>
              <w:t>Admin/remote access and session revocation evidence</w:t>
            </w:r>
          </w:p>
        </w:tc>
      </w:tr>
      <w:tr>
        <w:tc>
          <w:tcPr>
            <w:tcW w:type="dxa" w:w="4997"/>
          </w:tcPr>
          <w:p>
            <w:pPr>
              <w:spacing w:after="20"/>
            </w:pPr>
            <w:r>
              <w:rPr>
                <w:sz w:val="16"/>
              </w:rPr>
              <w:t>6. High-risk verification</w:t>
            </w:r>
          </w:p>
        </w:tc>
        <w:tc>
          <w:tcPr>
            <w:tcW w:type="dxa" w:w="4997"/>
          </w:tcPr>
          <w:p>
            <w:pPr>
              <w:spacing w:after="20"/>
            </w:pPr>
            <w:r>
              <w:rPr>
                <w:sz w:val="16"/>
              </w:rPr>
              <w:t>Security verification evidence when required</w:t>
            </w:r>
          </w:p>
        </w:tc>
      </w:tr>
      <w:tr>
        <w:tc>
          <w:tcPr>
            <w:tcW w:type="dxa" w:w="4997"/>
          </w:tcPr>
          <w:p>
            <w:pPr>
              <w:spacing w:after="20"/>
            </w:pPr>
            <w:r>
              <w:rPr>
                <w:sz w:val="16"/>
              </w:rPr>
              <w:t>7. Closure</w:t>
            </w:r>
          </w:p>
        </w:tc>
        <w:tc>
          <w:tcPr>
            <w:tcW w:type="dxa" w:w="4997"/>
          </w:tcPr>
          <w:p>
            <w:pPr>
              <w:spacing w:after="20"/>
            </w:pPr>
            <w:r>
              <w:rPr>
                <w:sz w:val="16"/>
              </w:rPr>
              <w:t>Offboarding checklist and documented verification</w:t>
            </w:r>
          </w:p>
        </w:tc>
      </w:tr>
    </w:tbl>
    <w:p>
      <w:r>
        <w:t>Sampling: Apply the approved nonstatistical standard. Record population, sample size, period, chosen records, selection method, exclusions and risk-based additions. No actual samples selected.</w:t>
      </w:r>
    </w:p>
    <w:p>
      <w:r>
        <w:t>Potential exceptions: Late disabling, remaining permissions, missing verification, premature closure. Record late HR notification as separate process failure.</w:t>
      </w:r>
    </w:p>
    <w:p>
      <w:r>
        <w:t>Conclusion: DE — Not Tested; OE — Not Tested. No operational evidence assessed.</w:t>
      </w:r>
    </w:p>
    <w:p>
      <w:pPr>
        <w:pStyle w:val="Heading1"/>
      </w:pPr>
      <w:r>
        <w:t>CT-003 — Employee Role-Change Access Management</w:t>
      </w:r>
    </w:p>
    <w:p>
      <w:r>
        <w:t>Risk reference: IAM-002  |  DE: Not Tested  |  OE: Not Tested</w:t>
      </w:r>
    </w:p>
    <w:p>
      <w:pPr>
        <w:pStyle w:val="Heading2"/>
      </w:pPr>
      <w:r>
        <w:t>Control objective</w:t>
      </w:r>
    </w:p>
    <w:p>
      <w:r>
        <w:t>New role permissions are authorized; unnecessary former-role permissions are removed at the effective transfer time absent a valid temporary exception.</w:t>
      </w:r>
    </w:p>
    <w:p>
      <w:pPr>
        <w:pStyle w:val="Heading2"/>
      </w:pPr>
      <w:r>
        <w:t>Design-effectiveness inquiry</w:t>
      </w:r>
    </w:p>
    <w:p>
      <w:r>
        <w:t>JML and Access Matrix: planned HR notice ≥3 business days; validated transfer; appropriate Manager/Security approvals; old access removed at transfer; exception ≤5 business days with approval and expiration; IT verification.</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Role change</w:t>
            </w:r>
          </w:p>
        </w:tc>
        <w:tc>
          <w:tcPr>
            <w:tcW w:type="dxa" w:w="4997"/>
          </w:tcPr>
          <w:p>
            <w:pPr>
              <w:spacing w:after="20"/>
            </w:pPr>
            <w:r>
              <w:rPr>
                <w:sz w:val="16"/>
              </w:rPr>
              <w:t>HR transfer record and effective timestamp</w:t>
            </w:r>
          </w:p>
        </w:tc>
      </w:tr>
      <w:tr>
        <w:tc>
          <w:tcPr>
            <w:tcW w:type="dxa" w:w="4997"/>
          </w:tcPr>
          <w:p>
            <w:pPr>
              <w:spacing w:after="20"/>
            </w:pPr>
            <w:r>
              <w:rPr>
                <w:sz w:val="16"/>
              </w:rPr>
              <w:t>2. Notice</w:t>
            </w:r>
          </w:p>
        </w:tc>
        <w:tc>
          <w:tcPr>
            <w:tcW w:type="dxa" w:w="4997"/>
          </w:tcPr>
          <w:p>
            <w:pPr>
              <w:spacing w:after="20"/>
            </w:pPr>
            <w:r>
              <w:rPr>
                <w:sz w:val="16"/>
              </w:rPr>
              <w:t>Timestamped HR-to-IT notification</w:t>
            </w:r>
          </w:p>
        </w:tc>
      </w:tr>
      <w:tr>
        <w:tc>
          <w:tcPr>
            <w:tcW w:type="dxa" w:w="4997"/>
          </w:tcPr>
          <w:p>
            <w:pPr>
              <w:spacing w:after="20"/>
            </w:pPr>
            <w:r>
              <w:rPr>
                <w:sz w:val="16"/>
              </w:rPr>
              <w:t>3. Authorization</w:t>
            </w:r>
          </w:p>
        </w:tc>
        <w:tc>
          <w:tcPr>
            <w:tcW w:type="dxa" w:w="4997"/>
          </w:tcPr>
          <w:p>
            <w:pPr>
              <w:spacing w:after="20"/>
            </w:pPr>
            <w:r>
              <w:rPr>
                <w:sz w:val="16"/>
              </w:rPr>
              <w:t>Manager and applicable Security approvals</w:t>
            </w:r>
          </w:p>
        </w:tc>
      </w:tr>
      <w:tr>
        <w:tc>
          <w:tcPr>
            <w:tcW w:type="dxa" w:w="4997"/>
          </w:tcPr>
          <w:p>
            <w:pPr>
              <w:spacing w:after="20"/>
            </w:pPr>
            <w:r>
              <w:rPr>
                <w:sz w:val="16"/>
              </w:rPr>
              <w:t>4. Old vs new access</w:t>
            </w:r>
          </w:p>
        </w:tc>
        <w:tc>
          <w:tcPr>
            <w:tcW w:type="dxa" w:w="4997"/>
          </w:tcPr>
          <w:p>
            <w:pPr>
              <w:spacing w:after="20"/>
            </w:pPr>
            <w:r>
              <w:rPr>
                <w:sz w:val="16"/>
              </w:rPr>
              <w:t>Before/after permission listings</w:t>
            </w:r>
          </w:p>
        </w:tc>
      </w:tr>
      <w:tr>
        <w:tc>
          <w:tcPr>
            <w:tcW w:type="dxa" w:w="4997"/>
          </w:tcPr>
          <w:p>
            <w:pPr>
              <w:spacing w:after="20"/>
            </w:pPr>
            <w:r>
              <w:rPr>
                <w:sz w:val="16"/>
              </w:rPr>
              <w:t>5. Removal timing</w:t>
            </w:r>
          </w:p>
        </w:tc>
        <w:tc>
          <w:tcPr>
            <w:tcW w:type="dxa" w:w="4997"/>
          </w:tcPr>
          <w:p>
            <w:pPr>
              <w:spacing w:after="20"/>
            </w:pPr>
            <w:r>
              <w:rPr>
                <w:sz w:val="16"/>
              </w:rPr>
              <w:t>Revocation logs vs effective transfer</w:t>
            </w:r>
          </w:p>
        </w:tc>
      </w:tr>
      <w:tr>
        <w:tc>
          <w:tcPr>
            <w:tcW w:type="dxa" w:w="4997"/>
          </w:tcPr>
          <w:p>
            <w:pPr>
              <w:spacing w:after="20"/>
            </w:pPr>
            <w:r>
              <w:rPr>
                <w:sz w:val="16"/>
              </w:rPr>
              <w:t>6. Temporary overlap</w:t>
            </w:r>
          </w:p>
        </w:tc>
        <w:tc>
          <w:tcPr>
            <w:tcW w:type="dxa" w:w="4997"/>
          </w:tcPr>
          <w:p>
            <w:pPr>
              <w:spacing w:after="20"/>
            </w:pPr>
            <w:r>
              <w:rPr>
                <w:sz w:val="16"/>
              </w:rPr>
              <w:t>Justification, approvals, expiration and removal evidence</w:t>
            </w:r>
          </w:p>
        </w:tc>
      </w:tr>
      <w:tr>
        <w:tc>
          <w:tcPr>
            <w:tcW w:type="dxa" w:w="4997"/>
          </w:tcPr>
          <w:p>
            <w:pPr>
              <w:spacing w:after="20"/>
            </w:pPr>
            <w:r>
              <w:rPr>
                <w:sz w:val="16"/>
              </w:rPr>
              <w:t>7. Closure</w:t>
            </w:r>
          </w:p>
        </w:tc>
        <w:tc>
          <w:tcPr>
            <w:tcW w:type="dxa" w:w="4997"/>
          </w:tcPr>
          <w:p>
            <w:pPr>
              <w:spacing w:after="20"/>
            </w:pPr>
            <w:r>
              <w:rPr>
                <w:sz w:val="16"/>
              </w:rPr>
              <w:t>IT verification and completed transfer ticket</w:t>
            </w:r>
          </w:p>
        </w:tc>
      </w:tr>
    </w:tbl>
    <w:p>
      <w:r>
        <w:t>Sampling: Apply the approved nonstatistical standard. Record population, sample size, period, chosen records, selection method, exclusions and risk-based additions. No actual samples selected.</w:t>
      </w:r>
    </w:p>
    <w:p>
      <w:r>
        <w:t>Potential exceptions: Unauthorized new permissions, previous permissions retained without exception, expired overlap, or incomplete evidence. Distinguish late notice.</w:t>
      </w:r>
    </w:p>
    <w:p>
      <w:r>
        <w:t>Conclusion: DE — Not Tested; OE — Not Tested. No operational evidence assessed.</w:t>
      </w:r>
    </w:p>
    <w:p>
      <w:pPr>
        <w:pStyle w:val="Heading1"/>
      </w:pPr>
      <w:r>
        <w:t>CT-004 — Privileged Access Approval Compliance</w:t>
      </w:r>
    </w:p>
    <w:p>
      <w:r>
        <w:t>Risk reference: IAM-003  |  DE: Not Tested  |  OE: Not Tested</w:t>
      </w:r>
    </w:p>
    <w:p>
      <w:pPr>
        <w:pStyle w:val="Heading2"/>
      </w:pPr>
      <w:r>
        <w:t>Control objective</w:t>
      </w:r>
    </w:p>
    <w:p>
      <w:r>
        <w:t>Privileged grants receive required prior authorization, suitable roles, MFA, logging, and emergency safeguards where applicable.</w:t>
      </w:r>
    </w:p>
    <w:p>
      <w:pPr>
        <w:pStyle w:val="Heading2"/>
      </w:pPr>
      <w:r>
        <w:t>Design-effectiveness inquiry</w:t>
      </w:r>
    </w:p>
    <w:p>
      <w:r>
        <w:t>Access Matrix: prior Manager+Security approval for standard privileged access; Security incident lead authorization for emergency; 4-hour maximum per authorization; fresh extension approval; MFA, logging, monthly review and IT verification.</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Grants population</w:t>
            </w:r>
          </w:p>
        </w:tc>
        <w:tc>
          <w:tcPr>
            <w:tcW w:type="dxa" w:w="4997"/>
          </w:tcPr>
          <w:p>
            <w:pPr>
              <w:spacing w:after="20"/>
            </w:pPr>
            <w:r>
              <w:rPr>
                <w:sz w:val="16"/>
              </w:rPr>
              <w:t>Privileged role/grant listing</w:t>
            </w:r>
          </w:p>
        </w:tc>
      </w:tr>
      <w:tr>
        <w:tc>
          <w:tcPr>
            <w:tcW w:type="dxa" w:w="4997"/>
          </w:tcPr>
          <w:p>
            <w:pPr>
              <w:spacing w:after="20"/>
            </w:pPr>
            <w:r>
              <w:rPr>
                <w:sz w:val="16"/>
              </w:rPr>
              <w:t>2. Request</w:t>
            </w:r>
          </w:p>
        </w:tc>
        <w:tc>
          <w:tcPr>
            <w:tcW w:type="dxa" w:w="4997"/>
          </w:tcPr>
          <w:p>
            <w:pPr>
              <w:spacing w:after="20"/>
            </w:pPr>
            <w:r>
              <w:rPr>
                <w:sz w:val="16"/>
              </w:rPr>
              <w:t>Access request or emergency authorization</w:t>
            </w:r>
          </w:p>
        </w:tc>
      </w:tr>
      <w:tr>
        <w:tc>
          <w:tcPr>
            <w:tcW w:type="dxa" w:w="4997"/>
          </w:tcPr>
          <w:p>
            <w:pPr>
              <w:spacing w:after="20"/>
            </w:pPr>
            <w:r>
              <w:rPr>
                <w:sz w:val="16"/>
              </w:rPr>
              <w:t>3. Approvers</w:t>
            </w:r>
          </w:p>
        </w:tc>
        <w:tc>
          <w:tcPr>
            <w:tcW w:type="dxa" w:w="4997"/>
          </w:tcPr>
          <w:p>
            <w:pPr>
              <w:spacing w:after="20"/>
            </w:pPr>
            <w:r>
              <w:rPr>
                <w:sz w:val="16"/>
              </w:rPr>
              <w:t>Timestamped Manager+Security or emergency lead approval</w:t>
            </w:r>
          </w:p>
        </w:tc>
      </w:tr>
      <w:tr>
        <w:tc>
          <w:tcPr>
            <w:tcW w:type="dxa" w:w="4997"/>
          </w:tcPr>
          <w:p>
            <w:pPr>
              <w:spacing w:after="20"/>
            </w:pPr>
            <w:r>
              <w:rPr>
                <w:sz w:val="16"/>
              </w:rPr>
              <w:t>4. Timing</w:t>
            </w:r>
          </w:p>
        </w:tc>
        <w:tc>
          <w:tcPr>
            <w:tcW w:type="dxa" w:w="4997"/>
          </w:tcPr>
          <w:p>
            <w:pPr>
              <w:spacing w:after="20"/>
            </w:pPr>
            <w:r>
              <w:rPr>
                <w:sz w:val="16"/>
              </w:rPr>
              <w:t>Approval timestamps vs provisioning timestamps</w:t>
            </w:r>
          </w:p>
        </w:tc>
      </w:tr>
      <w:tr>
        <w:tc>
          <w:tcPr>
            <w:tcW w:type="dxa" w:w="4997"/>
          </w:tcPr>
          <w:p>
            <w:pPr>
              <w:spacing w:after="20"/>
            </w:pPr>
            <w:r>
              <w:rPr>
                <w:sz w:val="16"/>
              </w:rPr>
              <w:t>5. Actual privileges</w:t>
            </w:r>
          </w:p>
        </w:tc>
        <w:tc>
          <w:tcPr>
            <w:tcW w:type="dxa" w:w="4997"/>
          </w:tcPr>
          <w:p>
            <w:pPr>
              <w:spacing w:after="20"/>
            </w:pPr>
            <w:r>
              <w:rPr>
                <w:sz w:val="16"/>
              </w:rPr>
              <w:t>Assigned roles and account configuration</w:t>
            </w:r>
          </w:p>
        </w:tc>
      </w:tr>
      <w:tr>
        <w:tc>
          <w:tcPr>
            <w:tcW w:type="dxa" w:w="4997"/>
          </w:tcPr>
          <w:p>
            <w:pPr>
              <w:spacing w:after="20"/>
            </w:pPr>
            <w:r>
              <w:rPr>
                <w:sz w:val="16"/>
              </w:rPr>
              <w:t>6. MFA and logs</w:t>
            </w:r>
          </w:p>
        </w:tc>
        <w:tc>
          <w:tcPr>
            <w:tcW w:type="dxa" w:w="4997"/>
          </w:tcPr>
          <w:p>
            <w:pPr>
              <w:spacing w:after="20"/>
            </w:pPr>
            <w:r>
              <w:rPr>
                <w:sz w:val="16"/>
              </w:rPr>
              <w:t>MFA policies and applicable audit records</w:t>
            </w:r>
          </w:p>
        </w:tc>
      </w:tr>
      <w:tr>
        <w:tc>
          <w:tcPr>
            <w:tcW w:type="dxa" w:w="4997"/>
          </w:tcPr>
          <w:p>
            <w:pPr>
              <w:spacing w:after="20"/>
            </w:pPr>
            <w:r>
              <w:rPr>
                <w:sz w:val="16"/>
              </w:rPr>
              <w:t>7. Emergency safeguards</w:t>
            </w:r>
          </w:p>
        </w:tc>
        <w:tc>
          <w:tcPr>
            <w:tcW w:type="dxa" w:w="4997"/>
          </w:tcPr>
          <w:p>
            <w:pPr>
              <w:spacing w:after="20"/>
            </w:pPr>
            <w:r>
              <w:rPr>
                <w:sz w:val="16"/>
              </w:rPr>
              <w:t>Time limits, extension approval, alert and retrospective review if applicable</w:t>
            </w:r>
          </w:p>
        </w:tc>
      </w:tr>
    </w:tbl>
    <w:p>
      <w:r>
        <w:t>Sampling: Apply the approved nonstatistical standard. Record population, sample size, period, chosen records, selection method, exclusions and risk-based additions. No actual samples selected.</w:t>
      </w:r>
    </w:p>
    <w:p>
      <w:r>
        <w:t>Potential exceptions: Missing or late approvals, unauthorized role, missing MFA, excessive emergency duration. Retroactive approval does not satisfy prior approval.</w:t>
      </w:r>
    </w:p>
    <w:p>
      <w:r>
        <w:t>Conclusion: DE — Not Tested; OE — Not Tested. No operational evidence assessed.</w:t>
      </w:r>
    </w:p>
    <w:p>
      <w:pPr>
        <w:pStyle w:val="Heading1"/>
      </w:pPr>
      <w:r>
        <w:t>CT-005 — MFA Enforcement</w:t>
      </w:r>
    </w:p>
    <w:p>
      <w:r>
        <w:t>Risk reference: IAM-004  |  DE: Not Tested  |  OE: Not Tested</w:t>
      </w:r>
    </w:p>
    <w:p>
      <w:pPr>
        <w:pStyle w:val="Heading2"/>
      </w:pPr>
      <w:r>
        <w:t>Control objective</w:t>
      </w:r>
    </w:p>
    <w:p>
      <w:r>
        <w:t>MFA is enforced for in-scope employee and privileged accounts accessing protected apps, with controlled exceptions.</w:t>
      </w:r>
    </w:p>
    <w:p>
      <w:pPr>
        <w:pStyle w:val="Heading2"/>
      </w:pPr>
      <w:r>
        <w:t>Design-effectiveness inquiry</w:t>
      </w:r>
    </w:p>
    <w:p>
      <w:r>
        <w:t>Policy and JML: in-scope employee and admin MFA; protected-app enforcement; onboarding verification; exception approval/monitoring; immediate escalation of unauthorized bypass.</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Account population</w:t>
            </w:r>
          </w:p>
        </w:tc>
        <w:tc>
          <w:tcPr>
            <w:tcW w:type="dxa" w:w="4997"/>
          </w:tcPr>
          <w:p>
            <w:pPr>
              <w:spacing w:after="20"/>
            </w:pPr>
            <w:r>
              <w:rPr>
                <w:sz w:val="16"/>
              </w:rPr>
              <w:t>Entra ID and applicable application account inventory</w:t>
            </w:r>
          </w:p>
        </w:tc>
      </w:tr>
      <w:tr>
        <w:tc>
          <w:tcPr>
            <w:tcW w:type="dxa" w:w="4997"/>
          </w:tcPr>
          <w:p>
            <w:pPr>
              <w:spacing w:after="20"/>
            </w:pPr>
            <w:r>
              <w:rPr>
                <w:sz w:val="16"/>
              </w:rPr>
              <w:t>2. Policy design</w:t>
            </w:r>
          </w:p>
        </w:tc>
        <w:tc>
          <w:tcPr>
            <w:tcW w:type="dxa" w:w="4997"/>
          </w:tcPr>
          <w:p>
            <w:pPr>
              <w:spacing w:after="20"/>
            </w:pPr>
            <w:r>
              <w:rPr>
                <w:sz w:val="16"/>
              </w:rPr>
              <w:t>Authentication and Conditional Access policies</w:t>
            </w:r>
          </w:p>
        </w:tc>
      </w:tr>
      <w:tr>
        <w:tc>
          <w:tcPr>
            <w:tcW w:type="dxa" w:w="4997"/>
          </w:tcPr>
          <w:p>
            <w:pPr>
              <w:spacing w:after="20"/>
            </w:pPr>
            <w:r>
              <w:rPr>
                <w:sz w:val="16"/>
              </w:rPr>
              <w:t>3. Enforcement evidence</w:t>
            </w:r>
          </w:p>
        </w:tc>
        <w:tc>
          <w:tcPr>
            <w:tcW w:type="dxa" w:w="4997"/>
          </w:tcPr>
          <w:p>
            <w:pPr>
              <w:spacing w:after="20"/>
            </w:pPr>
            <w:r>
              <w:rPr>
                <w:sz w:val="16"/>
              </w:rPr>
              <w:t>Relevant sign-in and policy evaluation results</w:t>
            </w:r>
          </w:p>
        </w:tc>
      </w:tr>
      <w:tr>
        <w:tc>
          <w:tcPr>
            <w:tcW w:type="dxa" w:w="4997"/>
          </w:tcPr>
          <w:p>
            <w:pPr>
              <w:spacing w:after="20"/>
            </w:pPr>
            <w:r>
              <w:rPr>
                <w:sz w:val="16"/>
              </w:rPr>
              <w:t>4. Privileged coverage</w:t>
            </w:r>
          </w:p>
        </w:tc>
        <w:tc>
          <w:tcPr>
            <w:tcW w:type="dxa" w:w="4997"/>
          </w:tcPr>
          <w:p>
            <w:pPr>
              <w:spacing w:after="20"/>
            </w:pPr>
            <w:r>
              <w:rPr>
                <w:sz w:val="16"/>
              </w:rPr>
              <w:t>Administrator role listing and MFA enforcement</w:t>
            </w:r>
          </w:p>
        </w:tc>
      </w:tr>
      <w:tr>
        <w:tc>
          <w:tcPr>
            <w:tcW w:type="dxa" w:w="4997"/>
          </w:tcPr>
          <w:p>
            <w:pPr>
              <w:spacing w:after="20"/>
            </w:pPr>
            <w:r>
              <w:rPr>
                <w:sz w:val="16"/>
              </w:rPr>
              <w:t>5. Onboarding coverage</w:t>
            </w:r>
          </w:p>
        </w:tc>
        <w:tc>
          <w:tcPr>
            <w:tcW w:type="dxa" w:w="4997"/>
          </w:tcPr>
          <w:p>
            <w:pPr>
              <w:spacing w:after="20"/>
            </w:pPr>
            <w:r>
              <w:rPr>
                <w:sz w:val="16"/>
              </w:rPr>
              <w:t>New-hire MFA verification</w:t>
            </w:r>
          </w:p>
        </w:tc>
      </w:tr>
      <w:tr>
        <w:tc>
          <w:tcPr>
            <w:tcW w:type="dxa" w:w="4997"/>
          </w:tcPr>
          <w:p>
            <w:pPr>
              <w:spacing w:after="20"/>
            </w:pPr>
            <w:r>
              <w:rPr>
                <w:sz w:val="16"/>
              </w:rPr>
              <w:t>6. Exceptions</w:t>
            </w:r>
          </w:p>
        </w:tc>
        <w:tc>
          <w:tcPr>
            <w:tcW w:type="dxa" w:w="4997"/>
          </w:tcPr>
          <w:p>
            <w:pPr>
              <w:spacing w:after="20"/>
            </w:pPr>
            <w:r>
              <w:rPr>
                <w:sz w:val="16"/>
              </w:rPr>
              <w:t>Approvals, safeguards, expiration and monitoring</w:t>
            </w:r>
          </w:p>
        </w:tc>
      </w:tr>
      <w:tr>
        <w:tc>
          <w:tcPr>
            <w:tcW w:type="dxa" w:w="4997"/>
          </w:tcPr>
          <w:p>
            <w:pPr>
              <w:spacing w:after="20"/>
            </w:pPr>
            <w:r>
              <w:rPr>
                <w:sz w:val="16"/>
              </w:rPr>
              <w:t>7. Results</w:t>
            </w:r>
          </w:p>
        </w:tc>
        <w:tc>
          <w:tcPr>
            <w:tcW w:type="dxa" w:w="4997"/>
          </w:tcPr>
          <w:p>
            <w:pPr>
              <w:spacing w:after="20"/>
            </w:pPr>
            <w:r>
              <w:rPr>
                <w:sz w:val="16"/>
              </w:rPr>
              <w:t>Sample IDs and documented test observations</w:t>
            </w:r>
          </w:p>
        </w:tc>
      </w:tr>
    </w:tbl>
    <w:p>
      <w:r>
        <w:t>Sampling: Apply the approved nonstatistical standard. Record population, sample size, period, chosen records, selection method, exclusions and risk-based additions. No actual samples selected.</w:t>
      </w:r>
    </w:p>
    <w:p>
      <w:r>
        <w:t>Potential exceptions: Account outside enforcement policy, unauthorized exclusion, expired exception, or insufficient evidence. Authentication method registration alone does not prove enforcement.</w:t>
      </w:r>
    </w:p>
    <w:p>
      <w:r>
        <w:t>Conclusion: DE — Not Tested; OE — Not Tested. No operational evidence assessed.</w:t>
      </w:r>
    </w:p>
    <w:p>
      <w:pPr>
        <w:pStyle w:val="Heading1"/>
      </w:pPr>
      <w:r>
        <w:t>CT-006 — Access Review and Certification</w:t>
      </w:r>
    </w:p>
    <w:p>
      <w:r>
        <w:t>Risk reference: IAM-005  |  DE: Not Tested  |  OE: Not Tested</w:t>
      </w:r>
    </w:p>
    <w:p>
      <w:pPr>
        <w:pStyle w:val="Heading2"/>
      </w:pPr>
      <w:r>
        <w:t>Control objective</w:t>
      </w:r>
    </w:p>
    <w:p>
      <w:r>
        <w:t>Standard and privileged permissions receive timely certification and resulting revocations are verified before cycle closure.</w:t>
      </w:r>
    </w:p>
    <w:p>
      <w:pPr>
        <w:pStyle w:val="Heading2"/>
      </w:pPr>
      <w:r>
        <w:t>Design-effectiveness inquiry</w:t>
      </w:r>
    </w:p>
    <w:p>
      <w:r>
        <w:t>Access Review Procedure: quarterly Department Manager review within 15 calendar days; monthly Security privileged review within 5 business days; Retain/Revoke/Investigate decisions; resolved investigations; standard removal ≤3 business days and privileged ≤1; seven-point closure.</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Schedule</w:t>
            </w:r>
          </w:p>
        </w:tc>
        <w:tc>
          <w:tcPr>
            <w:tcW w:type="dxa" w:w="4997"/>
          </w:tcPr>
          <w:p>
            <w:pPr>
              <w:spacing w:after="20"/>
            </w:pPr>
            <w:r>
              <w:rPr>
                <w:sz w:val="16"/>
              </w:rPr>
              <w:t>Review calendar and launch records</w:t>
            </w:r>
          </w:p>
        </w:tc>
      </w:tr>
      <w:tr>
        <w:tc>
          <w:tcPr>
            <w:tcW w:type="dxa" w:w="4997"/>
          </w:tcPr>
          <w:p>
            <w:pPr>
              <w:spacing w:after="20"/>
            </w:pPr>
            <w:r>
              <w:rPr>
                <w:sz w:val="16"/>
              </w:rPr>
              <w:t>2. Population</w:t>
            </w:r>
          </w:p>
        </w:tc>
        <w:tc>
          <w:tcPr>
            <w:tcW w:type="dxa" w:w="4997"/>
          </w:tcPr>
          <w:p>
            <w:pPr>
              <w:spacing w:after="20"/>
            </w:pPr>
            <w:r>
              <w:rPr>
                <w:sz w:val="16"/>
              </w:rPr>
              <w:t>Access inventory and certification population</w:t>
            </w:r>
          </w:p>
        </w:tc>
      </w:tr>
      <w:tr>
        <w:tc>
          <w:tcPr>
            <w:tcW w:type="dxa" w:w="4997"/>
          </w:tcPr>
          <w:p>
            <w:pPr>
              <w:spacing w:after="20"/>
            </w:pPr>
            <w:r>
              <w:rPr>
                <w:sz w:val="16"/>
              </w:rPr>
              <w:t>3. Reviewers</w:t>
            </w:r>
          </w:p>
        </w:tc>
        <w:tc>
          <w:tcPr>
            <w:tcW w:type="dxa" w:w="4997"/>
          </w:tcPr>
          <w:p>
            <w:pPr>
              <w:spacing w:after="20"/>
            </w:pPr>
            <w:r>
              <w:rPr>
                <w:sz w:val="16"/>
              </w:rPr>
              <w:t>Assigned authorized reviewers</w:t>
            </w:r>
          </w:p>
        </w:tc>
      </w:tr>
      <w:tr>
        <w:tc>
          <w:tcPr>
            <w:tcW w:type="dxa" w:w="4997"/>
          </w:tcPr>
          <w:p>
            <w:pPr>
              <w:spacing w:after="20"/>
            </w:pPr>
            <w:r>
              <w:rPr>
                <w:sz w:val="16"/>
              </w:rPr>
              <w:t>4. Timeliness</w:t>
            </w:r>
          </w:p>
        </w:tc>
        <w:tc>
          <w:tcPr>
            <w:tcW w:type="dxa" w:w="4997"/>
          </w:tcPr>
          <w:p>
            <w:pPr>
              <w:spacing w:after="20"/>
            </w:pPr>
            <w:r>
              <w:rPr>
                <w:sz w:val="16"/>
              </w:rPr>
              <w:t>Decision timestamps vs review due dates</w:t>
            </w:r>
          </w:p>
        </w:tc>
      </w:tr>
      <w:tr>
        <w:tc>
          <w:tcPr>
            <w:tcW w:type="dxa" w:w="4997"/>
          </w:tcPr>
          <w:p>
            <w:pPr>
              <w:spacing w:after="20"/>
            </w:pPr>
            <w:r>
              <w:rPr>
                <w:sz w:val="16"/>
              </w:rPr>
              <w:t>5. Decisions</w:t>
            </w:r>
          </w:p>
        </w:tc>
        <w:tc>
          <w:tcPr>
            <w:tcW w:type="dxa" w:w="4997"/>
          </w:tcPr>
          <w:p>
            <w:pPr>
              <w:spacing w:after="20"/>
            </w:pPr>
            <w:r>
              <w:rPr>
                <w:sz w:val="16"/>
              </w:rPr>
              <w:t>Justifications and final certifications</w:t>
            </w:r>
          </w:p>
        </w:tc>
      </w:tr>
      <w:tr>
        <w:tc>
          <w:tcPr>
            <w:tcW w:type="dxa" w:w="4997"/>
          </w:tcPr>
          <w:p>
            <w:pPr>
              <w:spacing w:after="20"/>
            </w:pPr>
            <w:r>
              <w:rPr>
                <w:sz w:val="16"/>
              </w:rPr>
              <w:t>6. Remediation</w:t>
            </w:r>
          </w:p>
        </w:tc>
        <w:tc>
          <w:tcPr>
            <w:tcW w:type="dxa" w:w="4997"/>
          </w:tcPr>
          <w:p>
            <w:pPr>
              <w:spacing w:after="20"/>
            </w:pPr>
            <w:r>
              <w:rPr>
                <w:sz w:val="16"/>
              </w:rPr>
              <w:t>Revocation tickets and verified removal</w:t>
            </w:r>
          </w:p>
        </w:tc>
      </w:tr>
      <w:tr>
        <w:tc>
          <w:tcPr>
            <w:tcW w:type="dxa" w:w="4997"/>
          </w:tcPr>
          <w:p>
            <w:pPr>
              <w:spacing w:after="20"/>
            </w:pPr>
            <w:r>
              <w:rPr>
                <w:sz w:val="16"/>
              </w:rPr>
              <w:t>7. Escalation/closure</w:t>
            </w:r>
          </w:p>
        </w:tc>
        <w:tc>
          <w:tcPr>
            <w:tcW w:type="dxa" w:w="4997"/>
          </w:tcPr>
          <w:p>
            <w:pPr>
              <w:spacing w:after="20"/>
            </w:pPr>
            <w:r>
              <w:rPr>
                <w:sz w:val="16"/>
              </w:rPr>
              <w:t>Exception records, overdue escalations, closure checklist</w:t>
            </w:r>
          </w:p>
        </w:tc>
      </w:tr>
    </w:tbl>
    <w:p>
      <w:r>
        <w:t>Sampling: Apply the approved nonstatistical standard. Record population, sample size, period, chosen records, selection method, exclusions and risk-based additions. No actual samples selected.</w:t>
      </w:r>
    </w:p>
    <w:p>
      <w:r>
        <w:t>Potential exceptions: Missing or late reviews, unsupported Retain, unresolved Investigate, unverified revocation, or premature closure. Contain active unauthorized access immediately.</w:t>
      </w:r>
    </w:p>
    <w:p>
      <w:r>
        <w:t>Conclusion: DE — Not Tested; OE — Not Tested. No operational evidence assessed.</w:t>
      </w:r>
    </w:p>
    <w:p>
      <w:pPr>
        <w:pStyle w:val="Heading1"/>
      </w:pPr>
      <w:r>
        <w:t>CT-007 — Emergency Privileged Access</w:t>
      </w:r>
    </w:p>
    <w:p>
      <w:r>
        <w:t>Risk reference: IAM-006  |  DE: Not Tested  |  OE: Not Tested</w:t>
      </w:r>
    </w:p>
    <w:p>
      <w:pPr>
        <w:pStyle w:val="Heading2"/>
      </w:pPr>
      <w:r>
        <w:t>Control objective</w:t>
      </w:r>
    </w:p>
    <w:p>
      <w:r>
        <w:t>Emergency grants are authorized, scoped, limited to four hours per approval, logged and alerted, revoked on time, and reviewed within one business day.</w:t>
      </w:r>
    </w:p>
    <w:p>
      <w:pPr>
        <w:pStyle w:val="Heading2"/>
      </w:pPr>
      <w:r>
        <w:t>Design-effectiveness inquiry</w:t>
      </w:r>
    </w:p>
    <w:p>
      <w:r>
        <w:t>Access Matrix: designated Security incident lead approval; justification and limited scope; ≤4 hours each approval; fresh extension approval; activation alert and audit logging; prompt revocation; retrospective Security review ≤1 business day.</w:t>
      </w:r>
    </w:p>
    <w:p>
      <w:pPr>
        <w:pStyle w:val="Heading2"/>
      </w:pPr>
      <w:r>
        <w:t>Operating-effectiveness evidence checks</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Check</w:t>
            </w:r>
          </w:p>
        </w:tc>
        <w:tc>
          <w:tcPr>
            <w:tcW w:type="dxa" w:w="4997"/>
          </w:tcPr>
          <w:p>
            <w:pPr>
              <w:spacing w:after="20"/>
            </w:pPr>
            <w:r>
              <w:rPr>
                <w:sz w:val="16"/>
              </w:rPr>
              <w:t>Evidence required</w:t>
            </w:r>
          </w:p>
        </w:tc>
      </w:tr>
      <w:tr>
        <w:tc>
          <w:tcPr>
            <w:tcW w:type="dxa" w:w="4997"/>
          </w:tcPr>
          <w:p>
            <w:pPr>
              <w:spacing w:after="20"/>
            </w:pPr>
            <w:r>
              <w:rPr>
                <w:sz w:val="16"/>
              </w:rPr>
              <w:t>1. Emergency population</w:t>
            </w:r>
          </w:p>
        </w:tc>
        <w:tc>
          <w:tcPr>
            <w:tcW w:type="dxa" w:w="4997"/>
          </w:tcPr>
          <w:p>
            <w:pPr>
              <w:spacing w:after="20"/>
            </w:pPr>
            <w:r>
              <w:rPr>
                <w:sz w:val="16"/>
              </w:rPr>
              <w:t>Emergency access activation/grant listing</w:t>
            </w:r>
          </w:p>
        </w:tc>
      </w:tr>
      <w:tr>
        <w:tc>
          <w:tcPr>
            <w:tcW w:type="dxa" w:w="4997"/>
          </w:tcPr>
          <w:p>
            <w:pPr>
              <w:spacing w:after="20"/>
            </w:pPr>
            <w:r>
              <w:rPr>
                <w:sz w:val="16"/>
              </w:rPr>
              <w:t>2. Authorization</w:t>
            </w:r>
          </w:p>
        </w:tc>
        <w:tc>
          <w:tcPr>
            <w:tcW w:type="dxa" w:w="4997"/>
          </w:tcPr>
          <w:p>
            <w:pPr>
              <w:spacing w:after="20"/>
            </w:pPr>
            <w:r>
              <w:rPr>
                <w:sz w:val="16"/>
              </w:rPr>
              <w:t>Designated Security incident lead approval and timestamp</w:t>
            </w:r>
          </w:p>
        </w:tc>
      </w:tr>
      <w:tr>
        <w:tc>
          <w:tcPr>
            <w:tcW w:type="dxa" w:w="4997"/>
          </w:tcPr>
          <w:p>
            <w:pPr>
              <w:spacing w:after="20"/>
            </w:pPr>
            <w:r>
              <w:rPr>
                <w:sz w:val="16"/>
              </w:rPr>
              <w:t>3. Justification/scope</w:t>
            </w:r>
          </w:p>
        </w:tc>
        <w:tc>
          <w:tcPr>
            <w:tcW w:type="dxa" w:w="4997"/>
          </w:tcPr>
          <w:p>
            <w:pPr>
              <w:spacing w:after="20"/>
            </w:pPr>
            <w:r>
              <w:rPr>
                <w:sz w:val="16"/>
              </w:rPr>
              <w:t>Emergency ticket and approved permissions</w:t>
            </w:r>
          </w:p>
        </w:tc>
      </w:tr>
      <w:tr>
        <w:tc>
          <w:tcPr>
            <w:tcW w:type="dxa" w:w="4997"/>
          </w:tcPr>
          <w:p>
            <w:pPr>
              <w:spacing w:after="20"/>
            </w:pPr>
            <w:r>
              <w:rPr>
                <w:sz w:val="16"/>
              </w:rPr>
              <w:t>4. Duration</w:t>
            </w:r>
          </w:p>
        </w:tc>
        <w:tc>
          <w:tcPr>
            <w:tcW w:type="dxa" w:w="4997"/>
          </w:tcPr>
          <w:p>
            <w:pPr>
              <w:spacing w:after="20"/>
            </w:pPr>
            <w:r>
              <w:rPr>
                <w:sz w:val="16"/>
              </w:rPr>
              <w:t>Activation, expiry and extension approval timestamps</w:t>
            </w:r>
          </w:p>
        </w:tc>
      </w:tr>
      <w:tr>
        <w:tc>
          <w:tcPr>
            <w:tcW w:type="dxa" w:w="4997"/>
          </w:tcPr>
          <w:p>
            <w:pPr>
              <w:spacing w:after="20"/>
            </w:pPr>
            <w:r>
              <w:rPr>
                <w:sz w:val="16"/>
              </w:rPr>
              <w:t>5. Monitoring</w:t>
            </w:r>
          </w:p>
        </w:tc>
        <w:tc>
          <w:tcPr>
            <w:tcW w:type="dxa" w:w="4997"/>
          </w:tcPr>
          <w:p>
            <w:pPr>
              <w:spacing w:after="20"/>
            </w:pPr>
            <w:r>
              <w:rPr>
                <w:sz w:val="16"/>
              </w:rPr>
              <w:t>Audit logs and immediate Security alerts</w:t>
            </w:r>
          </w:p>
        </w:tc>
      </w:tr>
      <w:tr>
        <w:tc>
          <w:tcPr>
            <w:tcW w:type="dxa" w:w="4997"/>
          </w:tcPr>
          <w:p>
            <w:pPr>
              <w:spacing w:after="20"/>
            </w:pPr>
            <w:r>
              <w:rPr>
                <w:sz w:val="16"/>
              </w:rPr>
              <w:t>6. Revocation</w:t>
            </w:r>
          </w:p>
        </w:tc>
        <w:tc>
          <w:tcPr>
            <w:tcW w:type="dxa" w:w="4997"/>
          </w:tcPr>
          <w:p>
            <w:pPr>
              <w:spacing w:after="20"/>
            </w:pPr>
            <w:r>
              <w:rPr>
                <w:sz w:val="16"/>
              </w:rPr>
              <w:t>Revocation timestamps and verification</w:t>
            </w:r>
          </w:p>
        </w:tc>
      </w:tr>
      <w:tr>
        <w:tc>
          <w:tcPr>
            <w:tcW w:type="dxa" w:w="4997"/>
          </w:tcPr>
          <w:p>
            <w:pPr>
              <w:spacing w:after="20"/>
            </w:pPr>
            <w:r>
              <w:rPr>
                <w:sz w:val="16"/>
              </w:rPr>
              <w:t>7. After-action review</w:t>
            </w:r>
          </w:p>
        </w:tc>
        <w:tc>
          <w:tcPr>
            <w:tcW w:type="dxa" w:w="4997"/>
          </w:tcPr>
          <w:p>
            <w:pPr>
              <w:spacing w:after="20"/>
            </w:pPr>
            <w:r>
              <w:rPr>
                <w:sz w:val="16"/>
              </w:rPr>
              <w:t>Security retrospective review ≤1 business day</w:t>
            </w:r>
          </w:p>
        </w:tc>
      </w:tr>
    </w:tbl>
    <w:p>
      <w:r>
        <w:t>Sampling: Apply the approved nonstatistical standard. Record population, sample size, period, chosen records, selection method, exclusions and risk-based additions. No actual samples selected.</w:t>
      </w:r>
    </w:p>
    <w:p>
      <w:r>
        <w:t>Potential exceptions: Unauthorized grant, overlong access, unapproved renewal, missing logs or alerts, late revocation, or overdue retrospective review.</w:t>
      </w:r>
    </w:p>
    <w:p>
      <w:r>
        <w:t>Conclusion: DE — Not Tested; OE — Not Tested. No operational evidence assessed.</w:t>
      </w:r>
    </w:p>
    <w:p>
      <w:pPr>
        <w:pStyle w:val="Heading1"/>
      </w:pPr>
      <w:r>
        <w:t>6. Evidence and results recording template</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rPr>
                <w:sz w:val="16"/>
              </w:rPr>
              <w:t>Field</w:t>
            </w:r>
          </w:p>
        </w:tc>
        <w:tc>
          <w:tcPr>
            <w:tcW w:type="dxa" w:w="4997"/>
          </w:tcPr>
          <w:p>
            <w:pPr>
              <w:spacing w:after="20"/>
            </w:pPr>
            <w:r>
              <w:rPr>
                <w:sz w:val="16"/>
              </w:rPr>
              <w:t>Record / initial state</w:t>
            </w:r>
          </w:p>
        </w:tc>
      </w:tr>
      <w:tr>
        <w:tc>
          <w:tcPr>
            <w:tcW w:type="dxa" w:w="4997"/>
          </w:tcPr>
          <w:p>
            <w:pPr>
              <w:spacing w:after="20"/>
            </w:pPr>
            <w:r>
              <w:rPr>
                <w:sz w:val="16"/>
              </w:rPr>
              <w:t>Control ID / objective</w:t>
            </w:r>
          </w:p>
        </w:tc>
        <w:tc>
          <w:tcPr>
            <w:tcW w:type="dxa" w:w="4997"/>
          </w:tcPr>
          <w:p>
            <w:pPr>
              <w:spacing w:after="20"/>
            </w:pPr>
            <w:r>
              <w:rPr>
                <w:sz w:val="16"/>
              </w:rPr>
              <w:t>Reference CT-001 through CT-007</w:t>
            </w:r>
          </w:p>
        </w:tc>
      </w:tr>
      <w:tr>
        <w:tc>
          <w:tcPr>
            <w:tcW w:type="dxa" w:w="4997"/>
          </w:tcPr>
          <w:p>
            <w:pPr>
              <w:spacing w:after="20"/>
            </w:pPr>
            <w:r>
              <w:rPr>
                <w:sz w:val="16"/>
              </w:rPr>
              <w:t>Test period / systems / population</w:t>
            </w:r>
          </w:p>
        </w:tc>
        <w:tc>
          <w:tcPr>
            <w:tcW w:type="dxa" w:w="4997"/>
          </w:tcPr>
          <w:p>
            <w:pPr>
              <w:spacing w:after="20"/>
            </w:pPr>
            <w:r>
              <w:rPr>
                <w:sz w:val="16"/>
              </w:rPr>
              <w:t>Not established</w:t>
            </w:r>
          </w:p>
        </w:tc>
      </w:tr>
      <w:tr>
        <w:tc>
          <w:tcPr>
            <w:tcW w:type="dxa" w:w="4997"/>
          </w:tcPr>
          <w:p>
            <w:pPr>
              <w:spacing w:after="20"/>
            </w:pPr>
            <w:r>
              <w:rPr>
                <w:sz w:val="16"/>
              </w:rPr>
              <w:t>Population size / exclusions</w:t>
            </w:r>
          </w:p>
        </w:tc>
        <w:tc>
          <w:tcPr>
            <w:tcW w:type="dxa" w:w="4997"/>
          </w:tcPr>
          <w:p>
            <w:pPr>
              <w:spacing w:after="20"/>
            </w:pPr>
            <w:r>
              <w:rPr>
                <w:sz w:val="16"/>
              </w:rPr>
              <w:t>Not established</w:t>
            </w:r>
          </w:p>
        </w:tc>
      </w:tr>
      <w:tr>
        <w:tc>
          <w:tcPr>
            <w:tcW w:type="dxa" w:w="4997"/>
          </w:tcPr>
          <w:p>
            <w:pPr>
              <w:spacing w:after="20"/>
            </w:pPr>
            <w:r>
              <w:rPr>
                <w:sz w:val="16"/>
              </w:rPr>
              <w:t>Sampling method / sample IDs</w:t>
            </w:r>
          </w:p>
        </w:tc>
        <w:tc>
          <w:tcPr>
            <w:tcW w:type="dxa" w:w="4997"/>
          </w:tcPr>
          <w:p>
            <w:pPr>
              <w:spacing w:after="20"/>
            </w:pPr>
            <w:r>
              <w:rPr>
                <w:sz w:val="16"/>
              </w:rPr>
              <w:t>Not selected</w:t>
            </w:r>
          </w:p>
        </w:tc>
      </w:tr>
      <w:tr>
        <w:tc>
          <w:tcPr>
            <w:tcW w:type="dxa" w:w="4997"/>
          </w:tcPr>
          <w:p>
            <w:pPr>
              <w:spacing w:after="20"/>
            </w:pPr>
            <w:r>
              <w:rPr>
                <w:sz w:val="16"/>
              </w:rPr>
              <w:t>Evidence requested / received</w:t>
            </w:r>
          </w:p>
        </w:tc>
        <w:tc>
          <w:tcPr>
            <w:tcW w:type="dxa" w:w="4997"/>
          </w:tcPr>
          <w:p>
            <w:pPr>
              <w:spacing w:after="20"/>
            </w:pPr>
            <w:r>
              <w:rPr>
                <w:sz w:val="16"/>
              </w:rPr>
              <w:t>None received</w:t>
            </w:r>
          </w:p>
        </w:tc>
      </w:tr>
      <w:tr>
        <w:tc>
          <w:tcPr>
            <w:tcW w:type="dxa" w:w="4997"/>
          </w:tcPr>
          <w:p>
            <w:pPr>
              <w:spacing w:after="20"/>
            </w:pPr>
            <w:r>
              <w:rPr>
                <w:sz w:val="16"/>
              </w:rPr>
              <w:t>Evidence reference / custodian</w:t>
            </w:r>
          </w:p>
        </w:tc>
        <w:tc>
          <w:tcPr>
            <w:tcW w:type="dxa" w:w="4997"/>
          </w:tcPr>
          <w:p>
            <w:pPr>
              <w:spacing w:after="20"/>
            </w:pPr>
            <w:r>
              <w:rPr>
                <w:sz w:val="16"/>
              </w:rPr>
              <w:t>Not applicable</w:t>
            </w:r>
          </w:p>
        </w:tc>
      </w:tr>
      <w:tr>
        <w:tc>
          <w:tcPr>
            <w:tcW w:type="dxa" w:w="4997"/>
          </w:tcPr>
          <w:p>
            <w:pPr>
              <w:spacing w:after="20"/>
            </w:pPr>
            <w:r>
              <w:rPr>
                <w:sz w:val="16"/>
              </w:rPr>
              <w:t>DE observation and conclusion</w:t>
            </w:r>
          </w:p>
        </w:tc>
        <w:tc>
          <w:tcPr>
            <w:tcW w:type="dxa" w:w="4997"/>
          </w:tcPr>
          <w:p>
            <w:pPr>
              <w:spacing w:after="20"/>
            </w:pPr>
            <w:r>
              <w:rPr>
                <w:sz w:val="16"/>
              </w:rPr>
              <w:t>Not Tested</w:t>
            </w:r>
          </w:p>
        </w:tc>
      </w:tr>
      <w:tr>
        <w:tc>
          <w:tcPr>
            <w:tcW w:type="dxa" w:w="4997"/>
          </w:tcPr>
          <w:p>
            <w:pPr>
              <w:spacing w:after="20"/>
            </w:pPr>
            <w:r>
              <w:rPr>
                <w:sz w:val="16"/>
              </w:rPr>
              <w:t>OE observation and conclusion</w:t>
            </w:r>
          </w:p>
        </w:tc>
        <w:tc>
          <w:tcPr>
            <w:tcW w:type="dxa" w:w="4997"/>
          </w:tcPr>
          <w:p>
            <w:pPr>
              <w:spacing w:after="20"/>
            </w:pPr>
            <w:r>
              <w:rPr>
                <w:sz w:val="16"/>
              </w:rPr>
              <w:t>Not Tested</w:t>
            </w:r>
          </w:p>
        </w:tc>
      </w:tr>
      <w:tr>
        <w:tc>
          <w:tcPr>
            <w:tcW w:type="dxa" w:w="4997"/>
          </w:tcPr>
          <w:p>
            <w:pPr>
              <w:spacing w:after="20"/>
            </w:pPr>
            <w:r>
              <w:rPr>
                <w:sz w:val="16"/>
              </w:rPr>
              <w:t>Exceptions / follow-up actions</w:t>
            </w:r>
          </w:p>
        </w:tc>
        <w:tc>
          <w:tcPr>
            <w:tcW w:type="dxa" w:w="4997"/>
          </w:tcPr>
          <w:p>
            <w:pPr>
              <w:spacing w:after="20"/>
            </w:pPr>
            <w:r>
              <w:rPr>
                <w:sz w:val="16"/>
              </w:rPr>
              <w:t>None assessed; not “no exceptions”</w:t>
            </w:r>
          </w:p>
        </w:tc>
      </w:tr>
      <w:tr>
        <w:tc>
          <w:tcPr>
            <w:tcW w:type="dxa" w:w="4997"/>
          </w:tcPr>
          <w:p>
            <w:pPr>
              <w:spacing w:after="20"/>
            </w:pPr>
            <w:r>
              <w:rPr>
                <w:sz w:val="16"/>
              </w:rPr>
              <w:t>Tester / reviewer / completion date</w:t>
            </w:r>
          </w:p>
        </w:tc>
        <w:tc>
          <w:tcPr>
            <w:tcW w:type="dxa" w:w="4997"/>
          </w:tcPr>
          <w:p>
            <w:pPr>
              <w:spacing w:after="20"/>
            </w:pPr>
            <w:r>
              <w:rPr>
                <w:sz w:val="16"/>
              </w:rPr>
              <w:t>Not assigned / not performed</w:t>
            </w:r>
          </w:p>
        </w:tc>
      </w:tr>
    </w:tbl>
    <w:p>
      <w:pPr>
        <w:pStyle w:val="Heading1"/>
      </w:pPr>
      <w:r>
        <w:t>7. Portfolio use and limitations</w:t>
      </w:r>
    </w:p>
    <w:p>
      <w:r>
        <w:t>This educational simulation demonstrates proposed control objectives, testing steps, evidence requirements, nonstatistical sampling, and evidence-supported conclusions. The procedures are authored for a fictional organization and are not based on authorized internal access to any company. The absence of actual records does not constitute successful control performance, clean audit findings, or absence of exceptions. Any future invented sample records must be marked FICTIONAL TEST DATA and conclusions limited to that simulation.</w:t>
      </w:r>
    </w:p>
    <w:p>
      <w:r>
        <w:t>Draft v0.1 — prepared for author review and repository version history. Future v1.0 requires explicit portfolio review and publication; it is not a company-issued audit approval.</w:t>
      </w:r>
    </w:p>
    <w:sectPr w:rsidR="00FC693F" w:rsidRPr="0006063C" w:rsidSect="00034616">
      <w:footerReference w:type="default" r:id="rId9"/>
      <w:pgSz w:w="12240" w:h="15840"/>
      <w:pgMar w:top="1051"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FICTIONAL EDUCATIONAL SIMULATION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728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HealthTech IAM Control Testing and Evidence Matrix Draft v0.1</dc:title>
  <dc:subject/>
  <dc:creator>Independent Portfolio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