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IAM RISK ASSESSMENT &amp; RISK REGISTER</w:t>
      </w:r>
    </w:p>
    <w:p>
      <w:r>
        <w:t>Northstar HealthTech  |  Document #4  |  Version 1.0 — Portfolio-Reviewed  |  27 October 2026</w:t>
      </w:r>
    </w:p>
    <w:p>
      <w:r>
        <w:t>INDEPENDENT EDUCATIONAL SIMULATION — Fictional organization. No company affiliation, deployed controls, actual findings, operational testing, or executive authorization.</w:t>
      </w:r>
    </w:p>
    <w:p>
      <w:pPr>
        <w:pStyle w:val="Heading1"/>
      </w:pPr>
      <w:r>
        <w:t>Document control</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20"/>
            </w:pPr>
            <w:r>
              <w:rPr>
                <w:sz w:val="16"/>
              </w:rPr>
              <w:t>Attribute</w:t>
            </w:r>
          </w:p>
        </w:tc>
        <w:tc>
          <w:tcPr>
            <w:tcW w:type="dxa" w:w="4968"/>
            <w:vAlign w:val="center"/>
          </w:tcPr>
          <w:p>
            <w:pPr>
              <w:spacing w:after="20"/>
            </w:pPr>
            <w:r>
              <w:rPr>
                <w:sz w:val="16"/>
              </w:rPr>
              <w:t>Value</w:t>
            </w:r>
          </w:p>
        </w:tc>
      </w:tr>
      <w:tr>
        <w:tc>
          <w:tcPr>
            <w:tcW w:type="dxa" w:w="4968"/>
            <w:vAlign w:val="center"/>
          </w:tcPr>
          <w:p>
            <w:pPr>
              <w:spacing w:after="20"/>
            </w:pPr>
            <w:r>
              <w:rPr>
                <w:sz w:val="16"/>
              </w:rPr>
              <w:t>Document status</w:t>
            </w:r>
          </w:p>
        </w:tc>
        <w:tc>
          <w:tcPr>
            <w:tcW w:type="dxa" w:w="4968"/>
            <w:vAlign w:val="center"/>
          </w:tcPr>
          <w:p>
            <w:pPr>
              <w:spacing w:after="20"/>
            </w:pPr>
            <w:r>
              <w:rPr>
                <w:sz w:val="16"/>
              </w:rPr>
              <w:t>Portfolio-author reviewed; simulated, not operationally approved</w:t>
            </w:r>
          </w:p>
        </w:tc>
      </w:tr>
      <w:tr>
        <w:tc>
          <w:tcPr>
            <w:tcW w:type="dxa" w:w="4968"/>
            <w:vAlign w:val="center"/>
          </w:tcPr>
          <w:p>
            <w:pPr>
              <w:spacing w:after="20"/>
            </w:pPr>
            <w:r>
              <w:rPr>
                <w:sz w:val="16"/>
              </w:rPr>
              <w:t>Portfolio role</w:t>
            </w:r>
          </w:p>
        </w:tc>
        <w:tc>
          <w:tcPr>
            <w:tcW w:type="dxa" w:w="4968"/>
            <w:vAlign w:val="center"/>
          </w:tcPr>
          <w:p>
            <w:pPr>
              <w:spacing w:after="20"/>
            </w:pPr>
            <w:r>
              <w:rPr>
                <w:sz w:val="16"/>
              </w:rPr>
              <w:t>IAM Governance Analyst (simulated)</w:t>
            </w:r>
          </w:p>
        </w:tc>
      </w:tr>
      <w:tr>
        <w:tc>
          <w:tcPr>
            <w:tcW w:type="dxa" w:w="4968"/>
            <w:vAlign w:val="center"/>
          </w:tcPr>
          <w:p>
            <w:pPr>
              <w:spacing w:after="20"/>
            </w:pPr>
            <w:r>
              <w:rPr>
                <w:sz w:val="16"/>
              </w:rPr>
              <w:t>In-scope systems</w:t>
            </w:r>
          </w:p>
        </w:tc>
        <w:tc>
          <w:tcPr>
            <w:tcW w:type="dxa" w:w="4968"/>
            <w:vAlign w:val="center"/>
          </w:tcPr>
          <w:p>
            <w:pPr>
              <w:spacing w:after="20"/>
            </w:pPr>
            <w:r>
              <w:rPr>
                <w:sz w:val="16"/>
              </w:rPr>
              <w:t>Microsoft Entra ID, Microsoft 365, critical cloud applications, privileged accounts</w:t>
            </w:r>
          </w:p>
        </w:tc>
      </w:tr>
      <w:tr>
        <w:tc>
          <w:tcPr>
            <w:tcW w:type="dxa" w:w="4968"/>
            <w:vAlign w:val="center"/>
          </w:tcPr>
          <w:p>
            <w:pPr>
              <w:spacing w:after="20"/>
            </w:pPr>
            <w:r>
              <w:rPr>
                <w:sz w:val="16"/>
              </w:rPr>
              <w:t>Previous version</w:t>
            </w:r>
          </w:p>
        </w:tc>
        <w:tc>
          <w:tcPr>
            <w:tcW w:type="dxa" w:w="4968"/>
            <w:vAlign w:val="center"/>
          </w:tcPr>
          <w:p>
            <w:pPr>
              <w:spacing w:after="20"/>
            </w:pPr>
            <w:r>
              <w:rPr>
                <w:sz w:val="16"/>
              </w:rPr>
              <w:t>Draft v0.1</w:t>
            </w:r>
          </w:p>
        </w:tc>
      </w:tr>
      <w:tr>
        <w:tc>
          <w:tcPr>
            <w:tcW w:type="dxa" w:w="4968"/>
            <w:vAlign w:val="center"/>
          </w:tcPr>
          <w:p>
            <w:pPr>
              <w:spacing w:after="20"/>
            </w:pPr>
            <w:r>
              <w:rPr>
                <w:sz w:val="16"/>
              </w:rPr>
              <w:t>Assessment date</w:t>
            </w:r>
          </w:p>
        </w:tc>
        <w:tc>
          <w:tcPr>
            <w:tcW w:type="dxa" w:w="4968"/>
            <w:vAlign w:val="center"/>
          </w:tcPr>
          <w:p>
            <w:pPr>
              <w:spacing w:after="20"/>
            </w:pPr>
            <w:r>
              <w:rPr>
                <w:sz w:val="16"/>
              </w:rPr>
              <w:t>27 October 2026 — scenario development date, not risk discovery date</w:t>
            </w:r>
          </w:p>
        </w:tc>
      </w:tr>
    </w:tbl>
    <w:p>
      <w:pPr>
        <w:pStyle w:val="Heading1"/>
      </w:pPr>
      <w:r>
        <w:t>1. Purpose and scope</w:t>
      </w:r>
    </w:p>
    <w:p>
      <w:r>
        <w:t>This document establishes a consistent method to identify, assess, prioritize, assign and track identity and access management (IAM) risks for fictional Northstar HealthTech. It supports risk-based decisions, control improvement, accountable ownership, remediation monitoring and leadership reporting.</w:t>
      </w:r>
    </w:p>
    <w:p>
      <w:r>
        <w:t>Six illustrative risks are within scope: IAM-001 retained leaver access; IAM-002 excessive access after moves; IAM-003 unauthorized privileged access; IAM-004 missing MFA enforcement; IAM-005 overdue access reviews; and IAM-006 emergency access not revoked on time.</w:t>
      </w:r>
    </w:p>
    <w:p>
      <w:r>
        <w:t>Assessment boundaries: all inherent scores derive from scenario assumptions. Projected residual scores are conditional estimates assuming proposed controls are implemented and verified. No actual operational data, incidents, control tests or observed outcomes are asserted.</w:t>
      </w:r>
    </w:p>
    <w:p>
      <w:pPr>
        <w:pStyle w:val="Heading1"/>
      </w:pPr>
      <w:r>
        <w:t>2. Risk assessment methodology</w:t>
      </w:r>
    </w:p>
    <w:p>
      <w:r>
        <w:t>Risk score = Likelihood (1–5) × Impact (1–5). Each score requires documented rationale. Likelihood considers probability and control exposure; impact considers confidentiality, integrity, availability, operations and legal/compliance consequences.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20"/>
            </w:pPr>
            <w:r>
              <w:rPr>
                <w:sz w:val="16"/>
              </w:rPr>
              <w:t>Score</w:t>
            </w:r>
          </w:p>
        </w:tc>
        <w:tc>
          <w:tcPr>
            <w:tcW w:type="dxa" w:w="3312"/>
            <w:vAlign w:val="center"/>
          </w:tcPr>
          <w:p>
            <w:pPr>
              <w:spacing w:after="20"/>
            </w:pPr>
            <w:r>
              <w:rPr>
                <w:sz w:val="16"/>
              </w:rPr>
              <w:t>Likelihood</w:t>
            </w:r>
          </w:p>
        </w:tc>
        <w:tc>
          <w:tcPr>
            <w:tcW w:type="dxa" w:w="3312"/>
            <w:vAlign w:val="center"/>
          </w:tcPr>
          <w:p>
            <w:pPr>
              <w:spacing w:after="20"/>
            </w:pPr>
            <w:r>
              <w:rPr>
                <w:sz w:val="16"/>
              </w:rPr>
              <w:t>Impact</w:t>
            </w:r>
          </w:p>
        </w:tc>
      </w:tr>
      <w:tr>
        <w:tc>
          <w:tcPr>
            <w:tcW w:type="dxa" w:w="3312"/>
            <w:vAlign w:val="center"/>
          </w:tcPr>
          <w:p>
            <w:pPr>
              <w:spacing w:after="20"/>
            </w:pPr>
            <w:r>
              <w:rPr>
                <w:sz w:val="16"/>
              </w:rPr>
              <w:t>1</w:t>
            </w:r>
          </w:p>
        </w:tc>
        <w:tc>
          <w:tcPr>
            <w:tcW w:type="dxa" w:w="3312"/>
            <w:vAlign w:val="center"/>
          </w:tcPr>
          <w:p>
            <w:pPr>
              <w:spacing w:after="20"/>
            </w:pPr>
            <w:r>
              <w:rPr>
                <w:sz w:val="16"/>
              </w:rPr>
              <w:t>Rare</w:t>
            </w:r>
          </w:p>
        </w:tc>
        <w:tc>
          <w:tcPr>
            <w:tcW w:type="dxa" w:w="3312"/>
            <w:vAlign w:val="center"/>
          </w:tcPr>
          <w:p>
            <w:pPr>
              <w:spacing w:after="20"/>
            </w:pPr>
            <w:r>
              <w:rPr>
                <w:sz w:val="16"/>
              </w:rPr>
              <w:t>Negligible</w:t>
            </w:r>
          </w:p>
        </w:tc>
      </w:tr>
      <w:tr>
        <w:tc>
          <w:tcPr>
            <w:tcW w:type="dxa" w:w="3312"/>
            <w:vAlign w:val="center"/>
          </w:tcPr>
          <w:p>
            <w:pPr>
              <w:spacing w:after="20"/>
            </w:pPr>
            <w:r>
              <w:rPr>
                <w:sz w:val="16"/>
              </w:rPr>
              <w:t>2</w:t>
            </w:r>
          </w:p>
        </w:tc>
        <w:tc>
          <w:tcPr>
            <w:tcW w:type="dxa" w:w="3312"/>
            <w:vAlign w:val="center"/>
          </w:tcPr>
          <w:p>
            <w:pPr>
              <w:spacing w:after="20"/>
            </w:pPr>
            <w:r>
              <w:rPr>
                <w:sz w:val="16"/>
              </w:rPr>
              <w:t>Unlikely</w:t>
            </w:r>
          </w:p>
        </w:tc>
        <w:tc>
          <w:tcPr>
            <w:tcW w:type="dxa" w:w="3312"/>
            <w:vAlign w:val="center"/>
          </w:tcPr>
          <w:p>
            <w:pPr>
              <w:spacing w:after="20"/>
            </w:pPr>
            <w:r>
              <w:rPr>
                <w:sz w:val="16"/>
              </w:rPr>
              <w:t>Minor</w:t>
            </w:r>
          </w:p>
        </w:tc>
      </w:tr>
      <w:tr>
        <w:tc>
          <w:tcPr>
            <w:tcW w:type="dxa" w:w="3312"/>
            <w:vAlign w:val="center"/>
          </w:tcPr>
          <w:p>
            <w:pPr>
              <w:spacing w:after="20"/>
            </w:pPr>
            <w:r>
              <w:rPr>
                <w:sz w:val="16"/>
              </w:rPr>
              <w:t>3</w:t>
            </w:r>
          </w:p>
        </w:tc>
        <w:tc>
          <w:tcPr>
            <w:tcW w:type="dxa" w:w="3312"/>
            <w:vAlign w:val="center"/>
          </w:tcPr>
          <w:p>
            <w:pPr>
              <w:spacing w:after="20"/>
            </w:pPr>
            <w:r>
              <w:rPr>
                <w:sz w:val="16"/>
              </w:rPr>
              <w:t>Possible</w:t>
            </w:r>
          </w:p>
        </w:tc>
        <w:tc>
          <w:tcPr>
            <w:tcW w:type="dxa" w:w="3312"/>
            <w:vAlign w:val="center"/>
          </w:tcPr>
          <w:p>
            <w:pPr>
              <w:spacing w:after="20"/>
            </w:pPr>
            <w:r>
              <w:rPr>
                <w:sz w:val="16"/>
              </w:rPr>
              <w:t>Moderate</w:t>
            </w:r>
          </w:p>
        </w:tc>
      </w:tr>
      <w:tr>
        <w:tc>
          <w:tcPr>
            <w:tcW w:type="dxa" w:w="3312"/>
            <w:vAlign w:val="center"/>
          </w:tcPr>
          <w:p>
            <w:pPr>
              <w:spacing w:after="20"/>
            </w:pPr>
            <w:r>
              <w:rPr>
                <w:sz w:val="16"/>
              </w:rPr>
              <w:t>4</w:t>
            </w:r>
          </w:p>
        </w:tc>
        <w:tc>
          <w:tcPr>
            <w:tcW w:type="dxa" w:w="3312"/>
            <w:vAlign w:val="center"/>
          </w:tcPr>
          <w:p>
            <w:pPr>
              <w:spacing w:after="20"/>
            </w:pPr>
            <w:r>
              <w:rPr>
                <w:sz w:val="16"/>
              </w:rPr>
              <w:t>Likely</w:t>
            </w:r>
          </w:p>
        </w:tc>
        <w:tc>
          <w:tcPr>
            <w:tcW w:type="dxa" w:w="3312"/>
            <w:vAlign w:val="center"/>
          </w:tcPr>
          <w:p>
            <w:pPr>
              <w:spacing w:after="20"/>
            </w:pPr>
            <w:r>
              <w:rPr>
                <w:sz w:val="16"/>
              </w:rPr>
              <w:t>Major</w:t>
            </w:r>
          </w:p>
        </w:tc>
      </w:tr>
      <w:tr>
        <w:tc>
          <w:tcPr>
            <w:tcW w:type="dxa" w:w="3312"/>
            <w:vAlign w:val="center"/>
          </w:tcPr>
          <w:p>
            <w:pPr>
              <w:spacing w:after="20"/>
            </w:pPr>
            <w:r>
              <w:rPr>
                <w:sz w:val="16"/>
              </w:rPr>
              <w:t>5</w:t>
            </w:r>
          </w:p>
        </w:tc>
        <w:tc>
          <w:tcPr>
            <w:tcW w:type="dxa" w:w="3312"/>
            <w:vAlign w:val="center"/>
          </w:tcPr>
          <w:p>
            <w:pPr>
              <w:spacing w:after="20"/>
            </w:pPr>
            <w:r>
              <w:rPr>
                <w:sz w:val="16"/>
              </w:rPr>
              <w:t>Almost certain</w:t>
            </w:r>
          </w:p>
        </w:tc>
        <w:tc>
          <w:tcPr>
            <w:tcW w:type="dxa" w:w="3312"/>
            <w:vAlign w:val="center"/>
          </w:tcPr>
          <w:p>
            <w:pPr>
              <w:spacing w:after="20"/>
            </w:pPr>
            <w:r>
              <w:rPr>
                <w:sz w:val="16"/>
              </w:rPr>
              <w:t>Severe</w:t>
            </w:r>
          </w:p>
        </w:tc>
      </w:tr>
    </w:tbl>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20"/>
            </w:pPr>
            <w:r>
              <w:rPr>
                <w:sz w:val="16"/>
              </w:rPr>
              <w:t>Risk score</w:t>
            </w:r>
          </w:p>
        </w:tc>
        <w:tc>
          <w:tcPr>
            <w:tcW w:type="dxa" w:w="3312"/>
            <w:vAlign w:val="center"/>
          </w:tcPr>
          <w:p>
            <w:pPr>
              <w:spacing w:after="20"/>
            </w:pPr>
            <w:r>
              <w:rPr>
                <w:sz w:val="16"/>
              </w:rPr>
              <w:t>Severity</w:t>
            </w:r>
          </w:p>
        </w:tc>
        <w:tc>
          <w:tcPr>
            <w:tcW w:type="dxa" w:w="3312"/>
            <w:vAlign w:val="center"/>
          </w:tcPr>
          <w:p>
            <w:pPr>
              <w:spacing w:after="20"/>
            </w:pPr>
            <w:r>
              <w:rPr>
                <w:sz w:val="16"/>
              </w:rPr>
              <w:t>Internal remediation target</w:t>
            </w:r>
          </w:p>
        </w:tc>
      </w:tr>
      <w:tr>
        <w:tc>
          <w:tcPr>
            <w:tcW w:type="dxa" w:w="3312"/>
            <w:vAlign w:val="center"/>
          </w:tcPr>
          <w:p>
            <w:pPr>
              <w:spacing w:after="20"/>
            </w:pPr>
            <w:r>
              <w:rPr>
                <w:sz w:val="16"/>
              </w:rPr>
              <w:t>1–4</w:t>
            </w:r>
          </w:p>
        </w:tc>
        <w:tc>
          <w:tcPr>
            <w:tcW w:type="dxa" w:w="3312"/>
            <w:vAlign w:val="center"/>
          </w:tcPr>
          <w:p>
            <w:pPr>
              <w:spacing w:after="20"/>
            </w:pPr>
            <w:r>
              <w:rPr>
                <w:sz w:val="16"/>
              </w:rPr>
              <w:t>Low</w:t>
            </w:r>
          </w:p>
        </w:tc>
        <w:tc>
          <w:tcPr>
            <w:tcW w:type="dxa" w:w="3312"/>
            <w:vAlign w:val="center"/>
          </w:tcPr>
          <w:p>
            <w:pPr>
              <w:spacing w:after="20"/>
            </w:pPr>
            <w:r>
              <w:rPr>
                <w:sz w:val="16"/>
              </w:rPr>
              <w:t>90 calendar days</w:t>
            </w:r>
          </w:p>
        </w:tc>
      </w:tr>
      <w:tr>
        <w:tc>
          <w:tcPr>
            <w:tcW w:type="dxa" w:w="3312"/>
            <w:vAlign w:val="center"/>
          </w:tcPr>
          <w:p>
            <w:pPr>
              <w:spacing w:after="20"/>
            </w:pPr>
            <w:r>
              <w:rPr>
                <w:sz w:val="16"/>
              </w:rPr>
              <w:t>5–9</w:t>
            </w:r>
          </w:p>
        </w:tc>
        <w:tc>
          <w:tcPr>
            <w:tcW w:type="dxa" w:w="3312"/>
            <w:vAlign w:val="center"/>
          </w:tcPr>
          <w:p>
            <w:pPr>
              <w:spacing w:after="20"/>
            </w:pPr>
            <w:r>
              <w:rPr>
                <w:sz w:val="16"/>
              </w:rPr>
              <w:t>Medium</w:t>
            </w:r>
          </w:p>
        </w:tc>
        <w:tc>
          <w:tcPr>
            <w:tcW w:type="dxa" w:w="3312"/>
            <w:vAlign w:val="center"/>
          </w:tcPr>
          <w:p>
            <w:pPr>
              <w:spacing w:after="20"/>
            </w:pPr>
            <w:r>
              <w:rPr>
                <w:sz w:val="16"/>
              </w:rPr>
              <w:t>30 calendar days</w:t>
            </w:r>
          </w:p>
        </w:tc>
      </w:tr>
      <w:tr>
        <w:tc>
          <w:tcPr>
            <w:tcW w:type="dxa" w:w="3312"/>
            <w:vAlign w:val="center"/>
          </w:tcPr>
          <w:p>
            <w:pPr>
              <w:spacing w:after="20"/>
            </w:pPr>
            <w:r>
              <w:rPr>
                <w:sz w:val="16"/>
              </w:rPr>
              <w:t>10–16</w:t>
            </w:r>
          </w:p>
        </w:tc>
        <w:tc>
          <w:tcPr>
            <w:tcW w:type="dxa" w:w="3312"/>
            <w:vAlign w:val="center"/>
          </w:tcPr>
          <w:p>
            <w:pPr>
              <w:spacing w:after="20"/>
            </w:pPr>
            <w:r>
              <w:rPr>
                <w:sz w:val="16"/>
              </w:rPr>
              <w:t>High</w:t>
            </w:r>
          </w:p>
        </w:tc>
        <w:tc>
          <w:tcPr>
            <w:tcW w:type="dxa" w:w="3312"/>
            <w:vAlign w:val="center"/>
          </w:tcPr>
          <w:p>
            <w:pPr>
              <w:spacing w:after="20"/>
            </w:pPr>
            <w:r>
              <w:rPr>
                <w:sz w:val="16"/>
              </w:rPr>
              <w:t>7 calendar days</w:t>
            </w:r>
          </w:p>
        </w:tc>
      </w:tr>
      <w:tr>
        <w:tc>
          <w:tcPr>
            <w:tcW w:type="dxa" w:w="3312"/>
            <w:vAlign w:val="center"/>
          </w:tcPr>
          <w:p>
            <w:pPr>
              <w:spacing w:after="20"/>
            </w:pPr>
            <w:r>
              <w:rPr>
                <w:sz w:val="16"/>
              </w:rPr>
              <w:t>17–25</w:t>
            </w:r>
          </w:p>
        </w:tc>
        <w:tc>
          <w:tcPr>
            <w:tcW w:type="dxa" w:w="3312"/>
            <w:vAlign w:val="center"/>
          </w:tcPr>
          <w:p>
            <w:pPr>
              <w:spacing w:after="20"/>
            </w:pPr>
            <w:r>
              <w:rPr>
                <w:sz w:val="16"/>
              </w:rPr>
              <w:t>Critical</w:t>
            </w:r>
          </w:p>
        </w:tc>
        <w:tc>
          <w:tcPr>
            <w:tcW w:type="dxa" w:w="3312"/>
            <w:vAlign w:val="center"/>
          </w:tcPr>
          <w:p>
            <w:pPr>
              <w:spacing w:after="20"/>
            </w:pPr>
            <w:r>
              <w:rPr>
                <w:sz w:val="16"/>
              </w:rPr>
              <w:t>Immediate containment and escalation</w:t>
            </w:r>
          </w:p>
        </w:tc>
      </w:tr>
    </w:tbl>
    <w:p>
      <w:r>
        <w:t>Active threats or unauthorized access require immediate containment regardless of calculated severity. Targets begin upon actual identification/assignment, not the date this hypothetical portfolio was drafted. These bands and targets are simulated internal standards, not universal regulatory requirements.</w:t>
      </w:r>
    </w:p>
    <w:p>
      <w:r>
        <w:t>Inherent risk estimates exposure before mitigating controls. Projected residual risk estimates remaining exposure if proposed controls operate effectively; it must not be reported as actual residual risk without implementation evidence and testing. Reassess when threats, systems, access or control effectiveness materially change.</w:t>
      </w:r>
    </w:p>
    <w:p>
      <w:pPr>
        <w:pStyle w:val="Heading1"/>
      </w:pPr>
      <w:r>
        <w:t>3. IAM risk register</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pPr>
              <w:spacing w:after="20"/>
            </w:pPr>
            <w:r>
              <w:rPr>
                <w:sz w:val="16"/>
              </w:rPr>
              <w:t>ID and hypothetical scenario</w:t>
            </w:r>
          </w:p>
        </w:tc>
        <w:tc>
          <w:tcPr>
            <w:tcW w:type="dxa" w:w="2484"/>
            <w:vAlign w:val="center"/>
          </w:tcPr>
          <w:p>
            <w:pPr>
              <w:spacing w:after="20"/>
            </w:pPr>
            <w:r>
              <w:rPr>
                <w:sz w:val="16"/>
              </w:rPr>
              <w:t>Inherent L×I</w:t>
            </w:r>
          </w:p>
        </w:tc>
        <w:tc>
          <w:tcPr>
            <w:tcW w:type="dxa" w:w="2484"/>
            <w:vAlign w:val="center"/>
          </w:tcPr>
          <w:p>
            <w:pPr>
              <w:spacing w:after="20"/>
            </w:pPr>
            <w:r>
              <w:rPr>
                <w:sz w:val="16"/>
              </w:rPr>
              <w:t>Projected residual L×I</w:t>
            </w:r>
          </w:p>
        </w:tc>
        <w:tc>
          <w:tcPr>
            <w:tcW w:type="dxa" w:w="2484"/>
            <w:vAlign w:val="center"/>
          </w:tcPr>
          <w:p>
            <w:pPr>
              <w:spacing w:after="20"/>
            </w:pPr>
            <w:r>
              <w:rPr>
                <w:sz w:val="16"/>
              </w:rPr>
              <w:t>Owner</w:t>
            </w:r>
          </w:p>
        </w:tc>
      </w:tr>
      <w:tr>
        <w:tc>
          <w:tcPr>
            <w:tcW w:type="dxa" w:w="2484"/>
            <w:vAlign w:val="center"/>
          </w:tcPr>
          <w:p>
            <w:pPr>
              <w:spacing w:after="20"/>
            </w:pPr>
            <w:r>
              <w:rPr>
                <w:sz w:val="16"/>
              </w:rPr>
              <w:t>IAM-001 — Former employee retains access</w:t>
            </w:r>
          </w:p>
        </w:tc>
        <w:tc>
          <w:tcPr>
            <w:tcW w:type="dxa" w:w="2484"/>
            <w:vAlign w:val="center"/>
          </w:tcPr>
          <w:p>
            <w:pPr>
              <w:spacing w:after="20"/>
            </w:pPr>
            <w:r>
              <w:rPr>
                <w:sz w:val="16"/>
              </w:rPr>
              <w:t>4×4 = 16 High</w:t>
            </w:r>
          </w:p>
        </w:tc>
        <w:tc>
          <w:tcPr>
            <w:tcW w:type="dxa" w:w="2484"/>
            <w:vAlign w:val="center"/>
          </w:tcPr>
          <w:p>
            <w:pPr>
              <w:spacing w:after="20"/>
            </w:pPr>
            <w:r>
              <w:rPr>
                <w:sz w:val="16"/>
              </w:rPr>
              <w:t>2×4 = 8 Medium</w:t>
            </w:r>
          </w:p>
        </w:tc>
        <w:tc>
          <w:tcPr>
            <w:tcW w:type="dxa" w:w="2484"/>
            <w:vAlign w:val="center"/>
          </w:tcPr>
          <w:p>
            <w:pPr>
              <w:spacing w:after="20"/>
            </w:pPr>
            <w:r>
              <w:rPr>
                <w:sz w:val="16"/>
              </w:rPr>
              <w:t>IT/IAM Lead</w:t>
            </w:r>
          </w:p>
        </w:tc>
      </w:tr>
      <w:tr>
        <w:tc>
          <w:tcPr>
            <w:tcW w:type="dxa" w:w="2484"/>
            <w:vAlign w:val="center"/>
          </w:tcPr>
          <w:p>
            <w:pPr>
              <w:spacing w:after="20"/>
            </w:pPr>
            <w:r>
              <w:rPr>
                <w:sz w:val="16"/>
              </w:rPr>
              <w:t>IAM-002 — Excessive permissions after transfers</w:t>
            </w:r>
          </w:p>
        </w:tc>
        <w:tc>
          <w:tcPr>
            <w:tcW w:type="dxa" w:w="2484"/>
            <w:vAlign w:val="center"/>
          </w:tcPr>
          <w:p>
            <w:pPr>
              <w:spacing w:after="20"/>
            </w:pPr>
            <w:r>
              <w:rPr>
                <w:sz w:val="16"/>
              </w:rPr>
              <w:t>4×3 = 12 High</w:t>
            </w:r>
          </w:p>
        </w:tc>
        <w:tc>
          <w:tcPr>
            <w:tcW w:type="dxa" w:w="2484"/>
            <w:vAlign w:val="center"/>
          </w:tcPr>
          <w:p>
            <w:pPr>
              <w:spacing w:after="20"/>
            </w:pPr>
            <w:r>
              <w:rPr>
                <w:sz w:val="16"/>
              </w:rPr>
              <w:t>2×3 = 6 Medium</w:t>
            </w:r>
          </w:p>
        </w:tc>
        <w:tc>
          <w:tcPr>
            <w:tcW w:type="dxa" w:w="2484"/>
            <w:vAlign w:val="center"/>
          </w:tcPr>
          <w:p>
            <w:pPr>
              <w:spacing w:after="20"/>
            </w:pPr>
            <w:r>
              <w:rPr>
                <w:sz w:val="16"/>
              </w:rPr>
              <w:t>IT/IAM Lead</w:t>
            </w:r>
          </w:p>
        </w:tc>
      </w:tr>
      <w:tr>
        <w:tc>
          <w:tcPr>
            <w:tcW w:type="dxa" w:w="2484"/>
            <w:vAlign w:val="center"/>
          </w:tcPr>
          <w:p>
            <w:pPr>
              <w:spacing w:after="20"/>
            </w:pPr>
            <w:r>
              <w:rPr>
                <w:sz w:val="16"/>
              </w:rPr>
              <w:t>IAM-003 — Privileged access without approval</w:t>
            </w:r>
          </w:p>
        </w:tc>
        <w:tc>
          <w:tcPr>
            <w:tcW w:type="dxa" w:w="2484"/>
            <w:vAlign w:val="center"/>
          </w:tcPr>
          <w:p>
            <w:pPr>
              <w:spacing w:after="20"/>
            </w:pPr>
            <w:r>
              <w:rPr>
                <w:sz w:val="16"/>
              </w:rPr>
              <w:t>3×5 = 15 High</w:t>
            </w:r>
          </w:p>
        </w:tc>
        <w:tc>
          <w:tcPr>
            <w:tcW w:type="dxa" w:w="2484"/>
            <w:vAlign w:val="center"/>
          </w:tcPr>
          <w:p>
            <w:pPr>
              <w:spacing w:after="20"/>
            </w:pPr>
            <w:r>
              <w:rPr>
                <w:sz w:val="16"/>
              </w:rPr>
              <w:t>2×5 = 10 High</w:t>
            </w:r>
          </w:p>
        </w:tc>
        <w:tc>
          <w:tcPr>
            <w:tcW w:type="dxa" w:w="2484"/>
            <w:vAlign w:val="center"/>
          </w:tcPr>
          <w:p>
            <w:pPr>
              <w:spacing w:after="20"/>
            </w:pPr>
            <w:r>
              <w:rPr>
                <w:sz w:val="16"/>
              </w:rPr>
              <w:t>Security Lead</w:t>
            </w:r>
          </w:p>
        </w:tc>
      </w:tr>
      <w:tr>
        <w:tc>
          <w:tcPr>
            <w:tcW w:type="dxa" w:w="2484"/>
            <w:vAlign w:val="center"/>
          </w:tcPr>
          <w:p>
            <w:pPr>
              <w:spacing w:after="20"/>
            </w:pPr>
            <w:r>
              <w:rPr>
                <w:sz w:val="16"/>
              </w:rPr>
              <w:t>IAM-004 — Employee accounts without MFA</w:t>
            </w:r>
          </w:p>
        </w:tc>
        <w:tc>
          <w:tcPr>
            <w:tcW w:type="dxa" w:w="2484"/>
            <w:vAlign w:val="center"/>
          </w:tcPr>
          <w:p>
            <w:pPr>
              <w:spacing w:after="20"/>
            </w:pPr>
            <w:r>
              <w:rPr>
                <w:sz w:val="16"/>
              </w:rPr>
              <w:t>4×4 = 16 High</w:t>
            </w:r>
          </w:p>
        </w:tc>
        <w:tc>
          <w:tcPr>
            <w:tcW w:type="dxa" w:w="2484"/>
            <w:vAlign w:val="center"/>
          </w:tcPr>
          <w:p>
            <w:pPr>
              <w:spacing w:after="20"/>
            </w:pPr>
            <w:r>
              <w:rPr>
                <w:sz w:val="16"/>
              </w:rPr>
              <w:t>2×4 = 8 Medium</w:t>
            </w:r>
          </w:p>
        </w:tc>
        <w:tc>
          <w:tcPr>
            <w:tcW w:type="dxa" w:w="2484"/>
            <w:vAlign w:val="center"/>
          </w:tcPr>
          <w:p>
            <w:pPr>
              <w:spacing w:after="20"/>
            </w:pPr>
            <w:r>
              <w:rPr>
                <w:sz w:val="16"/>
              </w:rPr>
              <w:t>IT/IAM Lead</w:t>
            </w:r>
          </w:p>
        </w:tc>
      </w:tr>
      <w:tr>
        <w:tc>
          <w:tcPr>
            <w:tcW w:type="dxa" w:w="2484"/>
            <w:vAlign w:val="center"/>
          </w:tcPr>
          <w:p>
            <w:pPr>
              <w:spacing w:after="20"/>
            </w:pPr>
            <w:r>
              <w:rPr>
                <w:sz w:val="16"/>
              </w:rPr>
              <w:t>IAM-005 — Incomplete or overdue access reviews</w:t>
            </w:r>
          </w:p>
        </w:tc>
        <w:tc>
          <w:tcPr>
            <w:tcW w:type="dxa" w:w="2484"/>
            <w:vAlign w:val="center"/>
          </w:tcPr>
          <w:p>
            <w:pPr>
              <w:spacing w:after="20"/>
            </w:pPr>
            <w:r>
              <w:rPr>
                <w:sz w:val="16"/>
              </w:rPr>
              <w:t>4×3 = 12 High</w:t>
            </w:r>
          </w:p>
        </w:tc>
        <w:tc>
          <w:tcPr>
            <w:tcW w:type="dxa" w:w="2484"/>
            <w:vAlign w:val="center"/>
          </w:tcPr>
          <w:p>
            <w:pPr>
              <w:spacing w:after="20"/>
            </w:pPr>
            <w:r>
              <w:rPr>
                <w:sz w:val="16"/>
              </w:rPr>
              <w:t>2×3 = 6 Medium</w:t>
            </w:r>
          </w:p>
        </w:tc>
        <w:tc>
          <w:tcPr>
            <w:tcW w:type="dxa" w:w="2484"/>
            <w:vAlign w:val="center"/>
          </w:tcPr>
          <w:p>
            <w:pPr>
              <w:spacing w:after="20"/>
            </w:pPr>
            <w:r>
              <w:rPr>
                <w:sz w:val="16"/>
              </w:rPr>
              <w:t>IAM Governance Lead</w:t>
            </w:r>
          </w:p>
        </w:tc>
      </w:tr>
      <w:tr>
        <w:tc>
          <w:tcPr>
            <w:tcW w:type="dxa" w:w="2484"/>
            <w:vAlign w:val="center"/>
          </w:tcPr>
          <w:p>
            <w:pPr>
              <w:spacing w:after="20"/>
            </w:pPr>
            <w:r>
              <w:rPr>
                <w:sz w:val="16"/>
              </w:rPr>
              <w:t>IAM-006 — Emergency access not revoked on time</w:t>
            </w:r>
          </w:p>
        </w:tc>
        <w:tc>
          <w:tcPr>
            <w:tcW w:type="dxa" w:w="2484"/>
            <w:vAlign w:val="center"/>
          </w:tcPr>
          <w:p>
            <w:pPr>
              <w:spacing w:after="20"/>
            </w:pPr>
            <w:r>
              <w:rPr>
                <w:sz w:val="16"/>
              </w:rPr>
              <w:t>3×5 = 15 High</w:t>
            </w:r>
          </w:p>
        </w:tc>
        <w:tc>
          <w:tcPr>
            <w:tcW w:type="dxa" w:w="2484"/>
            <w:vAlign w:val="center"/>
          </w:tcPr>
          <w:p>
            <w:pPr>
              <w:spacing w:after="20"/>
            </w:pPr>
            <w:r>
              <w:rPr>
                <w:sz w:val="16"/>
              </w:rPr>
              <w:t>2×5 = 10 High</w:t>
            </w:r>
          </w:p>
        </w:tc>
        <w:tc>
          <w:tcPr>
            <w:tcW w:type="dxa" w:w="2484"/>
            <w:vAlign w:val="center"/>
          </w:tcPr>
          <w:p>
            <w:pPr>
              <w:spacing w:after="20"/>
            </w:pPr>
            <w:r>
              <w:rPr>
                <w:sz w:val="16"/>
              </w:rPr>
              <w:t>Security Lead</w:t>
            </w:r>
          </w:p>
        </w:tc>
      </w:tr>
    </w:tbl>
    <w:p>
      <w:r>
        <w:t>All six treatment statuses: PLANNED. Inherent values are assumed, not measured. Projected residual values are conditional only. IAM-003 and IAM-006 remain High even if proposed treatments operate effectively.</w:t>
      </w:r>
    </w:p>
    <w:p>
      <w:pPr>
        <w:pStyle w:val="Heading1"/>
      </w:pPr>
      <w:r>
        <w:t>4. Risk ownership and treatment plans</w:t>
      </w:r>
    </w:p>
    <w:p>
      <w:pPr>
        <w:pStyle w:val="Heading2"/>
      </w:pPr>
      <w:r>
        <w:t>IAM-001 — Former employee retains access</w:t>
      </w:r>
    </w:p>
    <w:p>
      <w:r>
        <w:t>Accountable owner: IT/IAM Lead. Proposed treatment: HR provides advance notice; IT disables accounts at authorized termination time, revokes sessions and all applicable application access; Security verifies sensitive and privileged removal.</w:t>
      </w:r>
    </w:p>
    <w:p>
      <w:r>
        <w:t>Projection rationale: Likely 4→2 assumes consistent cross-system disablement and verification; impact remains Major.</w:t>
      </w:r>
    </w:p>
    <w:p>
      <w:r>
        <w:t>Treatment status: Planned  |  Action owner: not assigned in simulation  |  Target date: not assigned  |  Implementation evidence: none  |  Verification: not performed</w:t>
      </w:r>
    </w:p>
    <w:p>
      <w:pPr>
        <w:pStyle w:val="Heading2"/>
      </w:pPr>
      <w:r>
        <w:t>IAM-002 — Excessive access after transfer</w:t>
      </w:r>
    </w:p>
    <w:p>
      <w:r>
        <w:t>Accountable owner: IT/IAM Lead. Proposed treatment: HR notifies IT three business days before planned changes; managers/Security authorize applicable access; IT removes old access at effective time; handover exceptions require approvals and expire in five business days unless separately extended.</w:t>
      </w:r>
    </w:p>
    <w:p>
      <w:r>
        <w:t>Projection rationale: Likely 4→2 assumes consistent removal and temporary-access tracking; impact remains Moderate.</w:t>
      </w:r>
    </w:p>
    <w:p>
      <w:r>
        <w:t>Treatment status: Planned  |  Action owner: not assigned in simulation  |  Target date: not assigned  |  Implementation evidence: none  |  Verification: not performed</w:t>
      </w:r>
    </w:p>
    <w:p>
      <w:pPr>
        <w:pStyle w:val="Heading2"/>
      </w:pPr>
      <w:r>
        <w:t>IAM-003 — Unauthorized privileged access</w:t>
      </w:r>
    </w:p>
    <w:p>
      <w:r>
        <w:t>Accountable owner: Security Lead. Proposed treatment: Require manager and Security approval, distinct privileged accounts, MFA, activity logging and monthly privileged reviews. Emergency privilege exceptions use authorized incident controls.</w:t>
      </w:r>
    </w:p>
    <w:p>
      <w:r>
        <w:t>Projection rationale: Possible 3→2 assumes enforcement and evidence of review; impact remains Severe; projected risk stays High.</w:t>
      </w:r>
    </w:p>
    <w:p>
      <w:r>
        <w:t>Treatment status: Planned  |  Action owner: not assigned in simulation  |  Target date: not assigned  |  Implementation evidence: none  |  Verification: not performed</w:t>
      </w:r>
    </w:p>
    <w:p>
      <w:pPr>
        <w:pStyle w:val="Heading2"/>
      </w:pPr>
      <w:r>
        <w:t>IAM-004 — Missing MFA enforcement</w:t>
      </w:r>
    </w:p>
    <w:p>
      <w:r>
        <w:t>Accountable owner: IT/IAM Lead. Proposed treatment: Enforce MFA for all employee accounts, check enrollment at onboarding, verify access enforcement, monitor coverage and exceptions.</w:t>
      </w:r>
    </w:p>
    <w:p>
      <w:r>
        <w:t>Projection rationale: Likely 4→2 assumes verified enforcement; impact remains Major; phishing and session theft remain possible.</w:t>
      </w:r>
    </w:p>
    <w:p>
      <w:r>
        <w:t>Treatment status: Planned  |  Action owner: not assigned in simulation  |  Target date: not assigned  |  Implementation evidence: none  |  Verification: not performed</w:t>
      </w:r>
    </w:p>
    <w:p>
      <w:pPr>
        <w:pStyle w:val="Heading2"/>
      </w:pPr>
      <w:r>
        <w:t>IAM-005 — Overdue access reviews</w:t>
      </w:r>
    </w:p>
    <w:p>
      <w:r>
        <w:t>Accountable owner: IAM Governance Lead. Proposed treatment: Managers review standard access quarterly; Security reviews privileged access monthly; track overdue decisions, revoke inappropriate permissions and retain attestation evidence.</w:t>
      </w:r>
    </w:p>
    <w:p>
      <w:r>
        <w:t>Projection rationale: Likely 4→2 assumes completed, actionable reviews and verified removals; impact remains Moderate.</w:t>
      </w:r>
    </w:p>
    <w:p>
      <w:r>
        <w:t>Treatment status: Planned  |  Action owner: not assigned in simulation  |  Target date: not assigned  |  Implementation evidence: none  |  Verification: not performed</w:t>
      </w:r>
    </w:p>
    <w:p>
      <w:pPr>
        <w:pStyle w:val="Heading2"/>
      </w:pPr>
      <w:r>
        <w:t>IAM-006 — Emergency access not revoked</w:t>
      </w:r>
    </w:p>
    <w:p>
      <w:r>
        <w:t>Accountable owner: Security Lead. Proposed treatment: Security incident lead authorizes time-limited access (maximum four hours per authorization); extensions need new approval; log activity, alert Security, verify revocation and review within one business day.</w:t>
      </w:r>
    </w:p>
    <w:p>
      <w:r>
        <w:t>Projection rationale: Possible 3→2 assumes functioning expiration and oversight; impact remains Severe; projected risk stays High.</w:t>
      </w:r>
    </w:p>
    <w:p>
      <w:r>
        <w:t>Treatment status: Planned  |  Action owner: not assigned in simulation  |  Target date: not assigned  |  Implementation evidence: none  |  Verification: not performed</w:t>
      </w:r>
    </w:p>
    <w:p>
      <w:r>
        <w:t>The IAM Governance Analyst coordinates register maintenance, monitoring and evidence reporting; accountable owners retain treatment responsibility. Formal risk acceptance requires separately designated authorization.</w:t>
      </w:r>
    </w:p>
    <w:p>
      <w:pPr>
        <w:pStyle w:val="Heading1"/>
      </w:pPr>
      <w:r>
        <w:t>5. Risk monitoring, reporting, and escalation</w:t>
      </w:r>
    </w:p>
    <w:p>
      <w:r>
        <w:t>The IAM Governance Analyst monitors severity changes, treatment progress, overdue corrective actions, incomplete evidence and significant exceptions. Risk owners provide updates when remediation or threat conditions change.</w:t>
      </w:r>
    </w:p>
    <w:p>
      <w:r>
        <w:t>Monthly reporting to IT/Security leadership and the Executive Sponsor should include open risks by severity, overdue work, status by risk, remaining High risk, significant exceptions and escalation decisions. This is a proposed cadence, not evidence that reports were issued.</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20"/>
            </w:pPr>
            <w:r>
              <w:rPr>
                <w:sz w:val="16"/>
              </w:rPr>
              <w:t>Condition</w:t>
            </w:r>
          </w:p>
        </w:tc>
        <w:tc>
          <w:tcPr>
            <w:tcW w:type="dxa" w:w="4968"/>
            <w:vAlign w:val="center"/>
          </w:tcPr>
          <w:p>
            <w:pPr>
              <w:spacing w:after="20"/>
            </w:pPr>
            <w:r>
              <w:rPr>
                <w:sz w:val="16"/>
              </w:rPr>
              <w:t>Proposed response</w:t>
            </w:r>
          </w:p>
        </w:tc>
      </w:tr>
      <w:tr>
        <w:tc>
          <w:tcPr>
            <w:tcW w:type="dxa" w:w="4968"/>
            <w:vAlign w:val="center"/>
          </w:tcPr>
          <w:p>
            <w:pPr>
              <w:spacing w:after="20"/>
            </w:pPr>
            <w:r>
              <w:rPr>
                <w:sz w:val="16"/>
              </w:rPr>
              <w:t>Active unauthorized access/ongoing threat</w:t>
            </w:r>
          </w:p>
        </w:tc>
        <w:tc>
          <w:tcPr>
            <w:tcW w:type="dxa" w:w="4968"/>
            <w:vAlign w:val="center"/>
          </w:tcPr>
          <w:p>
            <w:pPr>
              <w:spacing w:after="20"/>
            </w:pPr>
            <w:r>
              <w:rPr>
                <w:sz w:val="16"/>
              </w:rPr>
              <w:t>Immediate containment and Security notification</w:t>
            </w:r>
          </w:p>
        </w:tc>
      </w:tr>
      <w:tr>
        <w:tc>
          <w:tcPr>
            <w:tcW w:type="dxa" w:w="4968"/>
            <w:vAlign w:val="center"/>
          </w:tcPr>
          <w:p>
            <w:pPr>
              <w:spacing w:after="20"/>
            </w:pPr>
            <w:r>
              <w:rPr>
                <w:sz w:val="16"/>
              </w:rPr>
              <w:t>Critical risk</w:t>
            </w:r>
          </w:p>
        </w:tc>
        <w:tc>
          <w:tcPr>
            <w:tcW w:type="dxa" w:w="4968"/>
            <w:vAlign w:val="center"/>
          </w:tcPr>
          <w:p>
            <w:pPr>
              <w:spacing w:after="20"/>
            </w:pPr>
            <w:r>
              <w:rPr>
                <w:sz w:val="16"/>
              </w:rPr>
              <w:t>Immediate escalation to Security and appropriate leadership</w:t>
            </w:r>
          </w:p>
        </w:tc>
      </w:tr>
      <w:tr>
        <w:tc>
          <w:tcPr>
            <w:tcW w:type="dxa" w:w="4968"/>
            <w:vAlign w:val="center"/>
          </w:tcPr>
          <w:p>
            <w:pPr>
              <w:spacing w:after="20"/>
            </w:pPr>
            <w:r>
              <w:rPr>
                <w:sz w:val="16"/>
              </w:rPr>
              <w:t>High risk</w:t>
            </w:r>
          </w:p>
        </w:tc>
        <w:tc>
          <w:tcPr>
            <w:tcW w:type="dxa" w:w="4968"/>
            <w:vAlign w:val="center"/>
          </w:tcPr>
          <w:p>
            <w:pPr>
              <w:spacing w:after="20"/>
            </w:pPr>
            <w:r>
              <w:rPr>
                <w:sz w:val="16"/>
              </w:rPr>
              <w:t>Assign owner and monitor against 7-calendar-day remediation target</w:t>
            </w:r>
          </w:p>
        </w:tc>
      </w:tr>
      <w:tr>
        <w:tc>
          <w:tcPr>
            <w:tcW w:type="dxa" w:w="4968"/>
            <w:vAlign w:val="center"/>
          </w:tcPr>
          <w:p>
            <w:pPr>
              <w:spacing w:after="20"/>
            </w:pPr>
            <w:r>
              <w:rPr>
                <w:sz w:val="16"/>
              </w:rPr>
              <w:t>Overdue action</w:t>
            </w:r>
          </w:p>
        </w:tc>
        <w:tc>
          <w:tcPr>
            <w:tcW w:type="dxa" w:w="4968"/>
            <w:vAlign w:val="center"/>
          </w:tcPr>
          <w:p>
            <w:pPr>
              <w:spacing w:after="20"/>
            </w:pPr>
            <w:r>
              <w:rPr>
                <w:sz w:val="16"/>
              </w:rPr>
              <w:t>Escalate to accountable risk owner and appropriate leadership</w:t>
            </w:r>
          </w:p>
        </w:tc>
      </w:tr>
      <w:tr>
        <w:tc>
          <w:tcPr>
            <w:tcW w:type="dxa" w:w="4968"/>
            <w:vAlign w:val="center"/>
          </w:tcPr>
          <w:p>
            <w:pPr>
              <w:spacing w:after="20"/>
            </w:pPr>
            <w:r>
              <w:rPr>
                <w:sz w:val="16"/>
              </w:rPr>
              <w:t>Missing verification evidence</w:t>
            </w:r>
          </w:p>
        </w:tc>
        <w:tc>
          <w:tcPr>
            <w:tcW w:type="dxa" w:w="4968"/>
            <w:vAlign w:val="center"/>
          </w:tcPr>
          <w:p>
            <w:pPr>
              <w:spacing w:after="20"/>
            </w:pPr>
            <w:r>
              <w:rPr>
                <w:sz w:val="16"/>
              </w:rPr>
              <w:t>Keep treatment open until evidence is verified</w:t>
            </w:r>
          </w:p>
        </w:tc>
      </w:tr>
    </w:tbl>
    <w:p>
      <w:r>
        <w:t>Reassess after material changes in systems, permissions, threats, control effectiveness or incidents. Residual risk acceptance, where authorized, does not itself establish treatment completion.</w:t>
      </w:r>
    </w:p>
    <w:p>
      <w:pPr>
        <w:pStyle w:val="Heading1"/>
      </w:pPr>
      <w:r>
        <w:t>6. Evidence, verification, and risk acceptance</w:t>
      </w:r>
    </w:p>
    <w:p>
      <w:r>
        <w:t>Each risk record retains: (1) ID and description; (2) inherent risk score; (3) projected residual score; (4) accountable owner; (5) proposed control/corrective action; (6) action owner; (7) target date if assigned; (8) status; (9) evidence reference; and (10) verification/closure decision.</w:t>
      </w:r>
    </w:p>
    <w:p>
      <w:r>
        <w:t>Potential implementation evidence includes access-removal logs, approvals, MFA reports, access-review records and emergency access audit trails. None is available for this fictional assessment. An appropriately independent reviewer would verify implementation and corrective effectiveness before any treatment is marked Completed.</w:t>
      </w:r>
    </w:p>
    <w:p>
      <w:r>
        <w:t>Treatment status vocabulary: Planned; In Progress; Blocked; Pending Verification; Completed. A designed control is not an implemented control. Completion requires documented correction and verification. Projected residual scores cannot be substituted for measured results.</w:t>
      </w:r>
    </w:p>
    <w:p>
      <w:r>
        <w:t>When material risk remains, an authorized risk-acceptance authority should record a decision, justification, accepted exposure, conditions and review date, or require further treatment. Acceptance does not automatically close remediation; accepted exposure remains subject to oversight.</w:t>
      </w:r>
    </w:p>
    <w:p>
      <w:r>
        <w:t>SIMULATION LIMITATION: All six risks and owner assignments are instructional assumptions. All six treatments remain Planned. No production deployment, testing, verified residual reduction, executive acceptance or operational deadline is represented.</w:t>
      </w:r>
    </w:p>
    <w:sectPr w:rsidR="00FC693F" w:rsidRPr="0006063C" w:rsidSect="00034616">
      <w:footerReference w:type="default" r:id="rId9"/>
      <w:pgSz w:w="12240" w:h="15840"/>
      <w:pgMar w:top="979"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77079"/>
        <w:sz w:val="16"/>
      </w:rPr>
      <w:t>Northstar HealthTech (fictional)  •  Independent IAM governance portfolio simulation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93851"/>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9385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color w:val="19385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