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IAM RISK ASSESSMENT &amp; RISK REGISTER</w:t>
      </w:r>
    </w:p>
    <w:p>
      <w:r>
        <w:t>Northstar HealthTech | Document #4 | Draft v0.1 | 27 October 2026</w:t>
      </w:r>
    </w:p>
    <w:p>
      <w:r>
        <w:t>INDEPENDENT EDUCATIONAL SIMULATION — fictional organization, no company affiliation, no deployed or tested controls.</w:t>
      </w:r>
    </w:p>
    <w:p>
      <w:pPr>
        <w:pStyle w:val="Heading1"/>
      </w:pPr>
      <w:r>
        <w:t>Document control</w:t>
      </w:r>
    </w:p>
    <w:tbl>
      <w:tblPr>
        <w:tblStyle w:val="LightShading-Accent1"/>
        <w:tblW w:type="auto" w:w="0"/>
        <w:jc w:val="center"/>
        <w:tblLook w:firstColumn="1" w:firstRow="1" w:lastColumn="0" w:lastRow="0" w:noHBand="0" w:noVBand="1" w:val="04A0"/>
      </w:tblPr>
      <w:tblGrid>
        <w:gridCol w:w="4997"/>
        <w:gridCol w:w="4997"/>
      </w:tblGrid>
      <w:tr>
        <w:trPr>
          <w:tblHeader w:val="true"/>
        </w:trPr>
        <w:tc>
          <w:tcPr>
            <w:tcW w:type="dxa" w:w="4997"/>
            <w:vAlign w:val="center"/>
          </w:tcPr>
          <w:p>
            <w:pPr>
              <w:spacing w:after="20"/>
            </w:pPr>
            <w:r>
              <w:rPr>
                <w:sz w:val="16"/>
              </w:rPr>
              <w:t>Item</w:t>
            </w:r>
          </w:p>
        </w:tc>
        <w:tc>
          <w:tcPr>
            <w:tcW w:type="dxa" w:w="4997"/>
            <w:vAlign w:val="center"/>
          </w:tcPr>
          <w:p>
            <w:pPr>
              <w:spacing w:after="20"/>
            </w:pPr>
            <w:r>
              <w:rPr>
                <w:sz w:val="16"/>
              </w:rPr>
              <w:t>Description</w:t>
            </w:r>
          </w:p>
        </w:tc>
      </w:tr>
      <w:tr>
        <w:tc>
          <w:tcPr>
            <w:tcW w:type="dxa" w:w="4997"/>
            <w:vAlign w:val="center"/>
          </w:tcPr>
          <w:p>
            <w:pPr>
              <w:spacing w:after="20"/>
            </w:pPr>
            <w:r>
              <w:rPr>
                <w:sz w:val="16"/>
              </w:rPr>
              <w:t>Status</w:t>
            </w:r>
          </w:p>
        </w:tc>
        <w:tc>
          <w:tcPr>
            <w:tcW w:type="dxa" w:w="4997"/>
            <w:vAlign w:val="center"/>
          </w:tcPr>
          <w:p>
            <w:pPr>
              <w:spacing w:after="20"/>
            </w:pPr>
            <w:r>
              <w:rPr>
                <w:sz w:val="16"/>
              </w:rPr>
              <w:t>Portfolio draft; author-approved risk design decisions, not executive approval</w:t>
            </w:r>
          </w:p>
        </w:tc>
      </w:tr>
      <w:tr>
        <w:tc>
          <w:tcPr>
            <w:tcW w:type="dxa" w:w="4997"/>
            <w:vAlign w:val="center"/>
          </w:tcPr>
          <w:p>
            <w:pPr>
              <w:spacing w:after="20"/>
            </w:pPr>
            <w:r>
              <w:rPr>
                <w:sz w:val="16"/>
              </w:rPr>
              <w:t>Scenario</w:t>
            </w:r>
          </w:p>
        </w:tc>
        <w:tc>
          <w:tcPr>
            <w:tcW w:type="dxa" w:w="4997"/>
            <w:vAlign w:val="center"/>
          </w:tcPr>
          <w:p>
            <w:pPr>
              <w:spacing w:after="20"/>
            </w:pPr>
            <w:r>
              <w:rPr>
                <w:sz w:val="16"/>
              </w:rPr>
              <w:t>Fictional healthcare technology company; approximately 250 employees</w:t>
            </w:r>
          </w:p>
        </w:tc>
      </w:tr>
      <w:tr>
        <w:tc>
          <w:tcPr>
            <w:tcW w:type="dxa" w:w="4997"/>
            <w:vAlign w:val="center"/>
          </w:tcPr>
          <w:p>
            <w:pPr>
              <w:spacing w:after="20"/>
            </w:pPr>
            <w:r>
              <w:rPr>
                <w:sz w:val="16"/>
              </w:rPr>
              <w:t>Scope</w:t>
            </w:r>
          </w:p>
        </w:tc>
        <w:tc>
          <w:tcPr>
            <w:tcW w:type="dxa" w:w="4997"/>
            <w:vAlign w:val="center"/>
          </w:tcPr>
          <w:p>
            <w:pPr>
              <w:spacing w:after="20"/>
            </w:pPr>
            <w:r>
              <w:rPr>
                <w:sz w:val="16"/>
              </w:rPr>
              <w:t>Employee identities, Microsoft Entra ID, Microsoft 365, critical cloud apps, privileged accounts</w:t>
            </w:r>
          </w:p>
        </w:tc>
      </w:tr>
      <w:tr>
        <w:tc>
          <w:tcPr>
            <w:tcW w:type="dxa" w:w="4997"/>
            <w:vAlign w:val="center"/>
          </w:tcPr>
          <w:p>
            <w:pPr>
              <w:spacing w:after="20"/>
            </w:pPr>
            <w:r>
              <w:rPr>
                <w:sz w:val="16"/>
              </w:rPr>
              <w:t>Assessment basis</w:t>
            </w:r>
          </w:p>
        </w:tc>
        <w:tc>
          <w:tcPr>
            <w:tcW w:type="dxa" w:w="4997"/>
            <w:vAlign w:val="center"/>
          </w:tcPr>
          <w:p>
            <w:pPr>
              <w:spacing w:after="20"/>
            </w:pPr>
            <w:r>
              <w:rPr>
                <w:sz w:val="16"/>
              </w:rPr>
              <w:t>Hypothetical scenarios and approved proposed IAM program controls</w:t>
            </w:r>
          </w:p>
        </w:tc>
      </w:tr>
      <w:tr>
        <w:tc>
          <w:tcPr>
            <w:tcW w:type="dxa" w:w="4997"/>
            <w:vAlign w:val="center"/>
          </w:tcPr>
          <w:p>
            <w:pPr>
              <w:spacing w:after="20"/>
            </w:pPr>
            <w:r>
              <w:rPr>
                <w:sz w:val="16"/>
              </w:rPr>
              <w:t>Evidence status</w:t>
            </w:r>
          </w:p>
        </w:tc>
        <w:tc>
          <w:tcPr>
            <w:tcW w:type="dxa" w:w="4997"/>
            <w:vAlign w:val="center"/>
          </w:tcPr>
          <w:p>
            <w:pPr>
              <w:spacing w:after="20"/>
            </w:pPr>
            <w:r>
              <w:rPr>
                <w:sz w:val="16"/>
              </w:rPr>
              <w:t>No production testing or verified risk-reduction evidence</w:t>
            </w:r>
          </w:p>
        </w:tc>
      </w:tr>
    </w:tbl>
    <w:p>
      <w:pPr>
        <w:pStyle w:val="Heading1"/>
      </w:pPr>
      <w:r>
        <w:t>1. Purpose and assessment boundaries</w:t>
      </w:r>
    </w:p>
    <w:p>
      <w:r>
        <w:t>Identify, score, assign, and plan treatment of six illustrative identity and access management risks. Inherent scores represent assumed exposure before controls. Projected residual scores are conditional targets assuming effective operation of the proposed controls; they are not verified present-state results.</w:t>
      </w:r>
    </w:p>
    <w:p>
      <w:pPr>
        <w:pStyle w:val="Heading1"/>
      </w:pPr>
      <w:r>
        <w:t>2. Risk scoring methodology</w:t>
      </w:r>
    </w:p>
    <w:p>
      <w:r>
        <w:t>Inherent and projected residual scores are Likelihood (1–5) × Impact (1–5). Likelihood scale: 1 Rare, 2 Unlikely, 3 Possible, 4 Likely, 5 Almost Certain. Impact scale: 1 Negligible, 2 Minor, 3 Moderate, 4 Major, 5 Severe. Score justifications should consider scenario assumptions, operational disruption, confidentiality, integrity, availability, and compliance implications.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Pr>
          <w:p>
            <w:pPr>
              <w:spacing w:after="20"/>
            </w:pPr>
            <w:r>
              <w:rPr>
                <w:sz w:val="16"/>
              </w:rPr>
              <w:t>Band</w:t>
            </w:r>
          </w:p>
        </w:tc>
        <w:tc>
          <w:tcPr>
            <w:tcW w:type="dxa" w:w="3331"/>
            <w:vAlign w:val="center"/>
          </w:tcPr>
          <w:p>
            <w:pPr>
              <w:spacing w:after="20"/>
            </w:pPr>
            <w:r>
              <w:rPr>
                <w:sz w:val="16"/>
              </w:rPr>
              <w:t>Score</w:t>
            </w:r>
          </w:p>
        </w:tc>
        <w:tc>
          <w:tcPr>
            <w:tcW w:type="dxa" w:w="3331"/>
            <w:vAlign w:val="center"/>
          </w:tcPr>
          <w:p>
            <w:pPr>
              <w:spacing w:after="20"/>
            </w:pPr>
            <w:r>
              <w:rPr>
                <w:sz w:val="16"/>
              </w:rPr>
              <w:t>Proposed response target</w:t>
            </w:r>
          </w:p>
        </w:tc>
      </w:tr>
      <w:tr>
        <w:tc>
          <w:tcPr>
            <w:tcW w:type="dxa" w:w="3331"/>
            <w:vAlign w:val="center"/>
          </w:tcPr>
          <w:p>
            <w:pPr>
              <w:spacing w:after="20"/>
            </w:pPr>
            <w:r>
              <w:rPr>
                <w:sz w:val="16"/>
              </w:rPr>
              <w:t>Low</w:t>
            </w:r>
          </w:p>
        </w:tc>
        <w:tc>
          <w:tcPr>
            <w:tcW w:type="dxa" w:w="3331"/>
            <w:vAlign w:val="center"/>
          </w:tcPr>
          <w:p>
            <w:pPr>
              <w:spacing w:after="20"/>
            </w:pPr>
            <w:r>
              <w:rPr>
                <w:sz w:val="16"/>
              </w:rPr>
              <w:t>1–4</w:t>
            </w:r>
          </w:p>
        </w:tc>
        <w:tc>
          <w:tcPr>
            <w:tcW w:type="dxa" w:w="3331"/>
            <w:vAlign w:val="center"/>
          </w:tcPr>
          <w:p>
            <w:pPr>
              <w:spacing w:after="20"/>
            </w:pPr>
            <w:r>
              <w:rPr>
                <w:sz w:val="16"/>
              </w:rPr>
              <w:t>90 calendar days</w:t>
            </w:r>
          </w:p>
        </w:tc>
      </w:tr>
      <w:tr>
        <w:tc>
          <w:tcPr>
            <w:tcW w:type="dxa" w:w="3331"/>
            <w:vAlign w:val="center"/>
          </w:tcPr>
          <w:p>
            <w:pPr>
              <w:spacing w:after="20"/>
            </w:pPr>
            <w:r>
              <w:rPr>
                <w:sz w:val="16"/>
              </w:rPr>
              <w:t>Medium</w:t>
            </w:r>
          </w:p>
        </w:tc>
        <w:tc>
          <w:tcPr>
            <w:tcW w:type="dxa" w:w="3331"/>
            <w:vAlign w:val="center"/>
          </w:tcPr>
          <w:p>
            <w:pPr>
              <w:spacing w:after="20"/>
            </w:pPr>
            <w:r>
              <w:rPr>
                <w:sz w:val="16"/>
              </w:rPr>
              <w:t>5–9</w:t>
            </w:r>
          </w:p>
        </w:tc>
        <w:tc>
          <w:tcPr>
            <w:tcW w:type="dxa" w:w="3331"/>
            <w:vAlign w:val="center"/>
          </w:tcPr>
          <w:p>
            <w:pPr>
              <w:spacing w:after="20"/>
            </w:pPr>
            <w:r>
              <w:rPr>
                <w:sz w:val="16"/>
              </w:rPr>
              <w:t>30 calendar days</w:t>
            </w:r>
          </w:p>
        </w:tc>
      </w:tr>
      <w:tr>
        <w:tc>
          <w:tcPr>
            <w:tcW w:type="dxa" w:w="3331"/>
            <w:vAlign w:val="center"/>
          </w:tcPr>
          <w:p>
            <w:pPr>
              <w:spacing w:after="20"/>
            </w:pPr>
            <w:r>
              <w:rPr>
                <w:sz w:val="16"/>
              </w:rPr>
              <w:t>High</w:t>
            </w:r>
          </w:p>
        </w:tc>
        <w:tc>
          <w:tcPr>
            <w:tcW w:type="dxa" w:w="3331"/>
            <w:vAlign w:val="center"/>
          </w:tcPr>
          <w:p>
            <w:pPr>
              <w:spacing w:after="20"/>
            </w:pPr>
            <w:r>
              <w:rPr>
                <w:sz w:val="16"/>
              </w:rPr>
              <w:t>10–16</w:t>
            </w:r>
          </w:p>
        </w:tc>
        <w:tc>
          <w:tcPr>
            <w:tcW w:type="dxa" w:w="3331"/>
            <w:vAlign w:val="center"/>
          </w:tcPr>
          <w:p>
            <w:pPr>
              <w:spacing w:after="20"/>
            </w:pPr>
            <w:r>
              <w:rPr>
                <w:sz w:val="16"/>
              </w:rPr>
              <w:t>7 calendar days</w:t>
            </w:r>
          </w:p>
        </w:tc>
      </w:tr>
      <w:tr>
        <w:tc>
          <w:tcPr>
            <w:tcW w:type="dxa" w:w="3331"/>
            <w:vAlign w:val="center"/>
          </w:tcPr>
          <w:p>
            <w:pPr>
              <w:spacing w:after="20"/>
            </w:pPr>
            <w:r>
              <w:rPr>
                <w:sz w:val="16"/>
              </w:rPr>
              <w:t>Critical</w:t>
            </w:r>
          </w:p>
        </w:tc>
        <w:tc>
          <w:tcPr>
            <w:tcW w:type="dxa" w:w="3331"/>
            <w:vAlign w:val="center"/>
          </w:tcPr>
          <w:p>
            <w:pPr>
              <w:spacing w:after="20"/>
            </w:pPr>
            <w:r>
              <w:rPr>
                <w:sz w:val="16"/>
              </w:rPr>
              <w:t>17–25</w:t>
            </w:r>
          </w:p>
        </w:tc>
        <w:tc>
          <w:tcPr>
            <w:tcW w:type="dxa" w:w="3331"/>
            <w:vAlign w:val="center"/>
          </w:tcPr>
          <w:p>
            <w:pPr>
              <w:spacing w:after="20"/>
            </w:pPr>
            <w:r>
              <w:rPr>
                <w:sz w:val="16"/>
              </w:rPr>
              <w:t>Immediate containment and escalation</w:t>
            </w:r>
          </w:p>
        </w:tc>
      </w:tr>
    </w:tbl>
    <w:p>
      <w:r>
        <w:t>Response targets are fictional internal policy choices; actual threats and unauthorized access require immediate containment irrespective of calculated score. Remediation timing begins only after actual identification/assignment; no operational discovery dates are asserted here.</w:t>
      </w:r>
    </w:p>
    <w:p>
      <w:pPr>
        <w:pStyle w:val="Heading1"/>
      </w:pPr>
      <w:r>
        <w:t>3. Consolidated risk register</w:t>
      </w:r>
    </w:p>
    <w:tbl>
      <w:tblPr>
        <w:tblStyle w:val="LightShading-Accent1"/>
        <w:tblW w:type="auto" w:w="0"/>
        <w:jc w:val="center"/>
        <w:tblLook w:firstColumn="1" w:firstRow="1" w:lastColumn="0" w:lastRow="0" w:noHBand="0" w:noVBand="1" w:val="04A0"/>
      </w:tblPr>
      <w:tblGrid>
        <w:gridCol w:w="2498"/>
        <w:gridCol w:w="2498"/>
        <w:gridCol w:w="2498"/>
        <w:gridCol w:w="2498"/>
      </w:tblGrid>
      <w:tr>
        <w:trPr>
          <w:tblHeader w:val="true"/>
        </w:trPr>
        <w:tc>
          <w:tcPr>
            <w:tcW w:type="dxa" w:w="2498"/>
            <w:vAlign w:val="center"/>
          </w:tcPr>
          <w:p>
            <w:pPr>
              <w:spacing w:after="20"/>
            </w:pPr>
            <w:r>
              <w:rPr>
                <w:sz w:val="16"/>
              </w:rPr>
              <w:t>ID / scenario</w:t>
            </w:r>
          </w:p>
        </w:tc>
        <w:tc>
          <w:tcPr>
            <w:tcW w:type="dxa" w:w="2498"/>
            <w:vAlign w:val="center"/>
          </w:tcPr>
          <w:p>
            <w:pPr>
              <w:spacing w:after="20"/>
            </w:pPr>
            <w:r>
              <w:rPr>
                <w:sz w:val="16"/>
              </w:rPr>
              <w:t>Inherent</w:t>
            </w:r>
          </w:p>
        </w:tc>
        <w:tc>
          <w:tcPr>
            <w:tcW w:type="dxa" w:w="2498"/>
            <w:vAlign w:val="center"/>
          </w:tcPr>
          <w:p>
            <w:pPr>
              <w:spacing w:after="20"/>
            </w:pPr>
            <w:r>
              <w:rPr>
                <w:sz w:val="16"/>
              </w:rPr>
              <w:t>Projected residual</w:t>
            </w:r>
          </w:p>
        </w:tc>
        <w:tc>
          <w:tcPr>
            <w:tcW w:type="dxa" w:w="2498"/>
            <w:vAlign w:val="center"/>
          </w:tcPr>
          <w:p>
            <w:pPr>
              <w:spacing w:after="20"/>
            </w:pPr>
            <w:r>
              <w:rPr>
                <w:sz w:val="16"/>
              </w:rPr>
              <w:t>Accountable owner</w:t>
            </w:r>
          </w:p>
        </w:tc>
      </w:tr>
      <w:tr>
        <w:tc>
          <w:tcPr>
            <w:tcW w:type="dxa" w:w="2498"/>
            <w:vAlign w:val="center"/>
          </w:tcPr>
          <w:p>
            <w:pPr>
              <w:spacing w:after="20"/>
            </w:pPr>
            <w:r>
              <w:rPr>
                <w:sz w:val="16"/>
              </w:rPr>
              <w:t>IAM-001 — Former employee retains active access</w:t>
            </w:r>
          </w:p>
        </w:tc>
        <w:tc>
          <w:tcPr>
            <w:tcW w:type="dxa" w:w="2498"/>
            <w:vAlign w:val="center"/>
          </w:tcPr>
          <w:p>
            <w:pPr>
              <w:spacing w:after="20"/>
            </w:pPr>
            <w:r>
              <w:rPr>
                <w:sz w:val="16"/>
              </w:rPr>
              <w:t>4 × 4 = 16 / High</w:t>
            </w:r>
          </w:p>
        </w:tc>
        <w:tc>
          <w:tcPr>
            <w:tcW w:type="dxa" w:w="2498"/>
            <w:vAlign w:val="center"/>
          </w:tcPr>
          <w:p>
            <w:pPr>
              <w:spacing w:after="20"/>
            </w:pPr>
            <w:r>
              <w:rPr>
                <w:sz w:val="16"/>
              </w:rPr>
              <w:t>2 × 4 = 8 / Medium</w:t>
            </w:r>
          </w:p>
        </w:tc>
        <w:tc>
          <w:tcPr>
            <w:tcW w:type="dxa" w:w="2498"/>
            <w:vAlign w:val="center"/>
          </w:tcPr>
          <w:p>
            <w:pPr>
              <w:spacing w:after="20"/>
            </w:pPr>
            <w:r>
              <w:rPr>
                <w:sz w:val="16"/>
              </w:rPr>
              <w:t>IT/IAM Lead</w:t>
            </w:r>
          </w:p>
        </w:tc>
      </w:tr>
      <w:tr>
        <w:tc>
          <w:tcPr>
            <w:tcW w:type="dxa" w:w="2498"/>
            <w:vAlign w:val="center"/>
          </w:tcPr>
          <w:p>
            <w:pPr>
              <w:spacing w:after="20"/>
            </w:pPr>
            <w:r>
              <w:rPr>
                <w:sz w:val="16"/>
              </w:rPr>
              <w:t>IAM-002 — Excessive permissions after role change</w:t>
            </w:r>
          </w:p>
        </w:tc>
        <w:tc>
          <w:tcPr>
            <w:tcW w:type="dxa" w:w="2498"/>
            <w:vAlign w:val="center"/>
          </w:tcPr>
          <w:p>
            <w:pPr>
              <w:spacing w:after="20"/>
            </w:pPr>
            <w:r>
              <w:rPr>
                <w:sz w:val="16"/>
              </w:rPr>
              <w:t>4 × 3 = 12 / High</w:t>
            </w:r>
          </w:p>
        </w:tc>
        <w:tc>
          <w:tcPr>
            <w:tcW w:type="dxa" w:w="2498"/>
            <w:vAlign w:val="center"/>
          </w:tcPr>
          <w:p>
            <w:pPr>
              <w:spacing w:after="20"/>
            </w:pPr>
            <w:r>
              <w:rPr>
                <w:sz w:val="16"/>
              </w:rPr>
              <w:t>2 × 3 = 6 / Medium</w:t>
            </w:r>
          </w:p>
        </w:tc>
        <w:tc>
          <w:tcPr>
            <w:tcW w:type="dxa" w:w="2498"/>
            <w:vAlign w:val="center"/>
          </w:tcPr>
          <w:p>
            <w:pPr>
              <w:spacing w:after="20"/>
            </w:pPr>
            <w:r>
              <w:rPr>
                <w:sz w:val="16"/>
              </w:rPr>
              <w:t>IT/IAM Lead</w:t>
            </w:r>
          </w:p>
        </w:tc>
      </w:tr>
      <w:tr>
        <w:tc>
          <w:tcPr>
            <w:tcW w:type="dxa" w:w="2498"/>
            <w:vAlign w:val="center"/>
          </w:tcPr>
          <w:p>
            <w:pPr>
              <w:spacing w:after="20"/>
            </w:pPr>
            <w:r>
              <w:rPr>
                <w:sz w:val="16"/>
              </w:rPr>
              <w:t>IAM-003 — Privileged access without required approval</w:t>
            </w:r>
          </w:p>
        </w:tc>
        <w:tc>
          <w:tcPr>
            <w:tcW w:type="dxa" w:w="2498"/>
            <w:vAlign w:val="center"/>
          </w:tcPr>
          <w:p>
            <w:pPr>
              <w:spacing w:after="20"/>
            </w:pPr>
            <w:r>
              <w:rPr>
                <w:sz w:val="16"/>
              </w:rPr>
              <w:t>3 × 5 = 15 / High</w:t>
            </w:r>
          </w:p>
        </w:tc>
        <w:tc>
          <w:tcPr>
            <w:tcW w:type="dxa" w:w="2498"/>
            <w:vAlign w:val="center"/>
          </w:tcPr>
          <w:p>
            <w:pPr>
              <w:spacing w:after="20"/>
            </w:pPr>
            <w:r>
              <w:rPr>
                <w:sz w:val="16"/>
              </w:rPr>
              <w:t>2 × 5 = 10 / High</w:t>
            </w:r>
          </w:p>
        </w:tc>
        <w:tc>
          <w:tcPr>
            <w:tcW w:type="dxa" w:w="2498"/>
            <w:vAlign w:val="center"/>
          </w:tcPr>
          <w:p>
            <w:pPr>
              <w:spacing w:after="20"/>
            </w:pPr>
            <w:r>
              <w:rPr>
                <w:sz w:val="16"/>
              </w:rPr>
              <w:t>Security Lead</w:t>
            </w:r>
          </w:p>
        </w:tc>
      </w:tr>
      <w:tr>
        <w:tc>
          <w:tcPr>
            <w:tcW w:type="dxa" w:w="2498"/>
            <w:vAlign w:val="center"/>
          </w:tcPr>
          <w:p>
            <w:pPr>
              <w:spacing w:after="20"/>
            </w:pPr>
            <w:r>
              <w:rPr>
                <w:sz w:val="16"/>
              </w:rPr>
              <w:t>IAM-004 — Employee MFA not enforced</w:t>
            </w:r>
          </w:p>
        </w:tc>
        <w:tc>
          <w:tcPr>
            <w:tcW w:type="dxa" w:w="2498"/>
            <w:vAlign w:val="center"/>
          </w:tcPr>
          <w:p>
            <w:pPr>
              <w:spacing w:after="20"/>
            </w:pPr>
            <w:r>
              <w:rPr>
                <w:sz w:val="16"/>
              </w:rPr>
              <w:t>4 × 4 = 16 / High</w:t>
            </w:r>
          </w:p>
        </w:tc>
        <w:tc>
          <w:tcPr>
            <w:tcW w:type="dxa" w:w="2498"/>
            <w:vAlign w:val="center"/>
          </w:tcPr>
          <w:p>
            <w:pPr>
              <w:spacing w:after="20"/>
            </w:pPr>
            <w:r>
              <w:rPr>
                <w:sz w:val="16"/>
              </w:rPr>
              <w:t>2 × 4 = 8 / Medium</w:t>
            </w:r>
          </w:p>
        </w:tc>
        <w:tc>
          <w:tcPr>
            <w:tcW w:type="dxa" w:w="2498"/>
            <w:vAlign w:val="center"/>
          </w:tcPr>
          <w:p>
            <w:pPr>
              <w:spacing w:after="20"/>
            </w:pPr>
            <w:r>
              <w:rPr>
                <w:sz w:val="16"/>
              </w:rPr>
              <w:t>IT/IAM Lead</w:t>
            </w:r>
          </w:p>
        </w:tc>
      </w:tr>
      <w:tr>
        <w:tc>
          <w:tcPr>
            <w:tcW w:type="dxa" w:w="2498"/>
            <w:vAlign w:val="center"/>
          </w:tcPr>
          <w:p>
            <w:pPr>
              <w:spacing w:after="20"/>
            </w:pPr>
            <w:r>
              <w:rPr>
                <w:sz w:val="16"/>
              </w:rPr>
              <w:t>IAM-005 — Overdue or incomplete access reviews</w:t>
            </w:r>
          </w:p>
        </w:tc>
        <w:tc>
          <w:tcPr>
            <w:tcW w:type="dxa" w:w="2498"/>
            <w:vAlign w:val="center"/>
          </w:tcPr>
          <w:p>
            <w:pPr>
              <w:spacing w:after="20"/>
            </w:pPr>
            <w:r>
              <w:rPr>
                <w:sz w:val="16"/>
              </w:rPr>
              <w:t>4 × 3 = 12 / High</w:t>
            </w:r>
          </w:p>
        </w:tc>
        <w:tc>
          <w:tcPr>
            <w:tcW w:type="dxa" w:w="2498"/>
            <w:vAlign w:val="center"/>
          </w:tcPr>
          <w:p>
            <w:pPr>
              <w:spacing w:after="20"/>
            </w:pPr>
            <w:r>
              <w:rPr>
                <w:sz w:val="16"/>
              </w:rPr>
              <w:t>2 × 3 = 6 / Medium</w:t>
            </w:r>
          </w:p>
        </w:tc>
        <w:tc>
          <w:tcPr>
            <w:tcW w:type="dxa" w:w="2498"/>
            <w:vAlign w:val="center"/>
          </w:tcPr>
          <w:p>
            <w:pPr>
              <w:spacing w:after="20"/>
            </w:pPr>
            <w:r>
              <w:rPr>
                <w:sz w:val="16"/>
              </w:rPr>
              <w:t>IAM Governance Lead</w:t>
            </w:r>
          </w:p>
        </w:tc>
      </w:tr>
      <w:tr>
        <w:tc>
          <w:tcPr>
            <w:tcW w:type="dxa" w:w="2498"/>
            <w:vAlign w:val="center"/>
          </w:tcPr>
          <w:p>
            <w:pPr>
              <w:spacing w:after="20"/>
            </w:pPr>
            <w:r>
              <w:rPr>
                <w:sz w:val="16"/>
              </w:rPr>
              <w:t>IAM-006 — Emergency access remains active too long</w:t>
            </w:r>
          </w:p>
        </w:tc>
        <w:tc>
          <w:tcPr>
            <w:tcW w:type="dxa" w:w="2498"/>
            <w:vAlign w:val="center"/>
          </w:tcPr>
          <w:p>
            <w:pPr>
              <w:spacing w:after="20"/>
            </w:pPr>
            <w:r>
              <w:rPr>
                <w:sz w:val="16"/>
              </w:rPr>
              <w:t>3 × 5 = 15 / High</w:t>
            </w:r>
          </w:p>
        </w:tc>
        <w:tc>
          <w:tcPr>
            <w:tcW w:type="dxa" w:w="2498"/>
            <w:vAlign w:val="center"/>
          </w:tcPr>
          <w:p>
            <w:pPr>
              <w:spacing w:after="20"/>
            </w:pPr>
            <w:r>
              <w:rPr>
                <w:sz w:val="16"/>
              </w:rPr>
              <w:t>2 × 5 = 10 / High</w:t>
            </w:r>
          </w:p>
        </w:tc>
        <w:tc>
          <w:tcPr>
            <w:tcW w:type="dxa" w:w="2498"/>
            <w:vAlign w:val="center"/>
          </w:tcPr>
          <w:p>
            <w:pPr>
              <w:spacing w:after="20"/>
            </w:pPr>
            <w:r>
              <w:rPr>
                <w:sz w:val="16"/>
              </w:rPr>
              <w:t>Security Lead</w:t>
            </w:r>
          </w:p>
        </w:tc>
      </w:tr>
    </w:tbl>
    <w:p>
      <w:r>
        <w:t>All six risk treatments have simulation status PLANNED. The projected residual score for IAM-003 and IAM-006 remains High; do not assume control designs eliminate these risks.</w:t>
      </w:r>
    </w:p>
    <w:p>
      <w:pPr>
        <w:pStyle w:val="Heading1"/>
      </w:pPr>
      <w:r>
        <w:t>4. Proposed risk treatments</w:t>
      </w:r>
    </w:p>
    <w:p>
      <w:pPr>
        <w:pStyle w:val="Heading2"/>
      </w:pPr>
      <w:r>
        <w:t>IAM-001 — Treatment plan</w:t>
      </w:r>
    </w:p>
    <w:p>
      <w:r>
        <w:t>Proposed actions: Timely HR departure notice; disable account at authorized termination time; revoke sessions and independently managed access; Security verifies sensitive access removal.</w:t>
      </w:r>
    </w:p>
    <w:p>
      <w:r>
        <w:t>Projection basis: Likelihood reduction 4→2 assumes verified timely offboarding across applicable systems.</w:t>
      </w:r>
    </w:p>
    <w:p>
      <w:r>
        <w:t>Treatment status: Planned | Action owner: to be assigned by accountable lead | Target date: not assigned (simulation) | Evidence: not available | Verification: not performed</w:t>
      </w:r>
    </w:p>
    <w:p>
      <w:pPr>
        <w:pStyle w:val="Heading2"/>
      </w:pPr>
      <w:r>
        <w:t>IAM-002 — Treatment plan</w:t>
      </w:r>
    </w:p>
    <w:p>
      <w:r>
        <w:t>Proposed actions: Three-business-day planned transfer notification; manager/Security approvals; remove unnecessary old access at role-change time; approved handover exceptions expire within five business days.</w:t>
      </w:r>
    </w:p>
    <w:p>
      <w:r>
        <w:t>Projection basis: Likelihood reduction 4→2 assumes consistent old-access removal and exception monitoring.</w:t>
      </w:r>
    </w:p>
    <w:p>
      <w:r>
        <w:t>Treatment status: Planned | Action owner: to be assigned by accountable lead | Target date: not assigned (simulation) | Evidence: not available | Verification: not performed</w:t>
      </w:r>
    </w:p>
    <w:p>
      <w:pPr>
        <w:pStyle w:val="Heading2"/>
      </w:pPr>
      <w:r>
        <w:t>IAM-003 — Treatment plan</w:t>
      </w:r>
    </w:p>
    <w:p>
      <w:r>
        <w:t>Proposed actions: Manager and Security privileged-access approvals; separate admin identities; MFA; activity logging; monthly Security recertification; emergency authorization controls.</w:t>
      </w:r>
    </w:p>
    <w:p>
      <w:r>
        <w:t>Projection basis: Likelihood reduction 3→2; Severe impact remains unchanged.</w:t>
      </w:r>
    </w:p>
    <w:p>
      <w:r>
        <w:t>Treatment status: Planned | Action owner: to be assigned by accountable lead | Target date: not assigned (simulation) | Evidence: not available | Verification: not performed</w:t>
      </w:r>
    </w:p>
    <w:p>
      <w:pPr>
        <w:pStyle w:val="Heading2"/>
      </w:pPr>
      <w:r>
        <w:t>IAM-004 — Treatment plan</w:t>
      </w:r>
    </w:p>
    <w:p>
      <w:r>
        <w:t>Proposed actions: Enforce MFA on all employee accounts; verify enrollment and access enforcement; monitor failures and approved exceptions.</w:t>
      </w:r>
    </w:p>
    <w:p>
      <w:r>
        <w:t>Projection basis: Likelihood reduction 4→2 assumes effective MFA coverage, recognizing session theft and other residual threats.</w:t>
      </w:r>
    </w:p>
    <w:p>
      <w:r>
        <w:t>Treatment status: Planned | Action owner: to be assigned by accountable lead | Target date: not assigned (simulation) | Evidence: not available | Verification: not performed</w:t>
      </w:r>
    </w:p>
    <w:p>
      <w:pPr>
        <w:pStyle w:val="Heading2"/>
      </w:pPr>
      <w:r>
        <w:t>IAM-005 — Treatment plan</w:t>
      </w:r>
    </w:p>
    <w:p>
      <w:r>
        <w:t>Proposed actions: Quarterly standard access reviews by managers; monthly privileged reviews by Security; follow up overdue decisions and revoke unauthorized access.</w:t>
      </w:r>
    </w:p>
    <w:p>
      <w:r>
        <w:t>Projection basis: Likelihood reduction 4→2 assumes reviews and removals are verified.</w:t>
      </w:r>
    </w:p>
    <w:p>
      <w:r>
        <w:t>Treatment status: Planned | Action owner: to be assigned by accountable lead | Target date: not assigned (simulation) | Evidence: not available | Verification: not performed</w:t>
      </w:r>
    </w:p>
    <w:p>
      <w:pPr>
        <w:pStyle w:val="Heading2"/>
      </w:pPr>
      <w:r>
        <w:t>IAM-006 — Treatment plan</w:t>
      </w:r>
    </w:p>
    <w:p>
      <w:r>
        <w:t>Proposed actions: Security incident lead approval; maximum four-hour emergency authorization; fresh approval for extension; log/alert activation; prompt revocation verification; Security review within one business day.</w:t>
      </w:r>
    </w:p>
    <w:p>
      <w:r>
        <w:t>Projection basis: Likelihood reduction 3→2; Severe impact remains unchanged.</w:t>
      </w:r>
    </w:p>
    <w:p>
      <w:r>
        <w:t>Treatment status: Planned | Action owner: to be assigned by accountable lead | Target date: not assigned (simulation) | Evidence: not available | Verification: not performed</w:t>
      </w:r>
    </w:p>
    <w:p>
      <w:pPr>
        <w:pStyle w:val="Heading1"/>
      </w:pPr>
      <w:r>
        <w:t>5. Treatment tracking and evidence</w:t>
      </w:r>
    </w:p>
    <w:p>
      <w:r>
        <w:t>For each record maintain ten fields: (1) risk ID and description; (2) inherent risk score; (3) projected residual risk; (4) accountable risk owner; (5) required control/corrective action; (6) action owner; (7) target completion date; (8) status; (9) evidence reference; (10) verification and closure decision.</w:t>
      </w:r>
    </w:p>
    <w:p>
      <w:r>
        <w:t>Allowed treatment statuses: Planned, In Progress, Blocked, Pending Verification, Completed. Completed requires independent or appropriately assigned confirmation and supporting evidence. Draft policy documents and fictional scenarios are not evidence that operational remediation occurred.</w:t>
      </w:r>
    </w:p>
    <w:p>
      <w:pPr>
        <w:pStyle w:val="Heading1"/>
      </w:pPr>
      <w:r>
        <w:t>6. Accountability and oversight</w:t>
      </w:r>
    </w:p>
    <w:p>
      <w:r>
        <w:t>IT/IAM Lead owns IAM-001, IAM-002, IAM-004. Security Lead owns IAM-003 and IAM-006. IAM Governance Lead owns IAM-005. IAM Governance Analyst maintains the register, follows up on actions, reviews evidence and reports overdue exceptions; the analyst does not automatically accept risk on behalf of the organization. Material risk acceptance requires separately designated authorization.</w:t>
      </w:r>
    </w:p>
    <w:p>
      <w:r>
        <w:t>Proposed reporting cadence: monthly reporting to IT/Security leadership and Executive Sponsor; immediate escalation of active unauthorized access or Critical conditions.</w:t>
      </w:r>
    </w:p>
    <w:p>
      <w:pPr>
        <w:pStyle w:val="Heading1"/>
      </w:pPr>
      <w:r>
        <w:t>7. Limitations and next review</w:t>
      </w:r>
    </w:p>
    <w:p>
      <w:r>
        <w:t>Risk narratives, likelihood/impact inputs, owners and expected treatment effects are instructional assumptions. No Northstar employees, systems, audit logs, incidents, dates, budget commitments, controls, or completion evidence exist. Reassess scores after real-world control evidence if this were adopted by an actual organization. Draft v0.1 is prepared for portfolio publication and subsequent section review.</w:t>
      </w:r>
    </w:p>
    <w:sectPr w:rsidR="00FC693F" w:rsidRPr="0006063C" w:rsidSect="00034616">
      <w:footerReference w:type="default" r:id="rId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Northstar HealthTech | Independent educational simulation | Draft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62E48"/>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954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62E4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