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Access Review and Certification Procedure</w:t>
      </w:r>
    </w:p>
    <w:p>
      <w:r>
        <w:t>Northstar HealthTech  |  Document #5  |  Version 1.0  |  October 28, 2026</w:t>
      </w:r>
    </w:p>
    <w:p>
      <w:r>
        <w:t>DOCUMENT CLASSIFICATION: Educational portfolio simulation. Northstar HealthTech is fictional. This procedure describes designed controls only; no access reviews, production certifications, or remediation activities have been performed.</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pPr>
            <w:r>
              <w:rPr>
                <w:b/>
                <w:sz w:val="16"/>
              </w:rPr>
              <w:t>Document control</w:t>
            </w:r>
          </w:p>
        </w:tc>
        <w:tc>
          <w:tcPr>
            <w:tcW w:type="dxa" w:w="4939"/>
            <w:vAlign w:val="center"/>
          </w:tcPr>
          <w:p>
            <w:pPr>
              <w:spacing w:after="20"/>
            </w:pPr>
            <w:r>
              <w:rPr>
                <w:b/>
                <w:sz w:val="16"/>
              </w:rPr>
              <w:t>Value</w:t>
            </w:r>
          </w:p>
        </w:tc>
      </w:tr>
      <w:tr>
        <w:tc>
          <w:tcPr>
            <w:tcW w:type="dxa" w:w="4939"/>
            <w:vAlign w:val="center"/>
          </w:tcPr>
          <w:p>
            <w:pPr>
              <w:spacing w:after="20"/>
            </w:pPr>
            <w:r>
              <w:rPr>
                <w:sz w:val="16"/>
              </w:rPr>
              <w:t>Status</w:t>
            </w:r>
          </w:p>
        </w:tc>
        <w:tc>
          <w:tcPr>
            <w:tcW w:type="dxa" w:w="4939"/>
            <w:vAlign w:val="center"/>
          </w:tcPr>
          <w:p>
            <w:pPr>
              <w:spacing w:after="20"/>
            </w:pPr>
            <w:r>
              <w:rPr>
                <w:sz w:val="16"/>
              </w:rPr>
              <w:t>Portfolio-reviewed v1.0 (independent author review; not employer approval)</w:t>
            </w:r>
          </w:p>
        </w:tc>
      </w:tr>
      <w:tr>
        <w:tc>
          <w:tcPr>
            <w:tcW w:type="dxa" w:w="4939"/>
            <w:vAlign w:val="center"/>
          </w:tcPr>
          <w:p>
            <w:pPr>
              <w:spacing w:after="20"/>
            </w:pPr>
            <w:r>
              <w:rPr>
                <w:sz w:val="16"/>
              </w:rPr>
              <w:t>Process owner (proposed)</w:t>
            </w:r>
          </w:p>
        </w:tc>
        <w:tc>
          <w:tcPr>
            <w:tcW w:type="dxa" w:w="4939"/>
            <w:vAlign w:val="center"/>
          </w:tcPr>
          <w:p>
            <w:pPr>
              <w:spacing w:after="20"/>
            </w:pPr>
            <w:r>
              <w:rPr>
                <w:sz w:val="16"/>
              </w:rPr>
              <w:t>IAM Governance Lead</w:t>
            </w:r>
          </w:p>
        </w:tc>
      </w:tr>
      <w:tr>
        <w:tc>
          <w:tcPr>
            <w:tcW w:type="dxa" w:w="4939"/>
            <w:vAlign w:val="center"/>
          </w:tcPr>
          <w:p>
            <w:pPr>
              <w:spacing w:after="20"/>
            </w:pPr>
            <w:r>
              <w:rPr>
                <w:sz w:val="16"/>
              </w:rPr>
              <w:t>Coordinator (proposed)</w:t>
            </w:r>
          </w:p>
        </w:tc>
        <w:tc>
          <w:tcPr>
            <w:tcW w:type="dxa" w:w="4939"/>
            <w:vAlign w:val="center"/>
          </w:tcPr>
          <w:p>
            <w:pPr>
              <w:spacing w:after="20"/>
            </w:pPr>
            <w:r>
              <w:rPr>
                <w:sz w:val="16"/>
              </w:rPr>
              <w:t>IAM Governance Analyst</w:t>
            </w:r>
          </w:p>
        </w:tc>
      </w:tr>
      <w:tr>
        <w:tc>
          <w:tcPr>
            <w:tcW w:type="dxa" w:w="4939"/>
            <w:vAlign w:val="center"/>
          </w:tcPr>
          <w:p>
            <w:pPr>
              <w:spacing w:after="20"/>
            </w:pPr>
            <w:r>
              <w:rPr>
                <w:sz w:val="16"/>
              </w:rPr>
              <w:t>Scope</w:t>
            </w:r>
          </w:p>
        </w:tc>
        <w:tc>
          <w:tcPr>
            <w:tcW w:type="dxa" w:w="4939"/>
            <w:vAlign w:val="center"/>
          </w:tcPr>
          <w:p>
            <w:pPr>
              <w:spacing w:after="20"/>
            </w:pPr>
            <w:r>
              <w:rPr>
                <w:sz w:val="16"/>
              </w:rPr>
              <w:t>Entra ID, Microsoft 365, critical cloud apps, standard and privileged access</w:t>
            </w:r>
          </w:p>
        </w:tc>
      </w:tr>
      <w:tr>
        <w:tc>
          <w:tcPr>
            <w:tcW w:type="dxa" w:w="4939"/>
            <w:vAlign w:val="center"/>
          </w:tcPr>
          <w:p>
            <w:pPr>
              <w:spacing w:after="20"/>
            </w:pPr>
            <w:r>
              <w:rPr>
                <w:sz w:val="16"/>
              </w:rPr>
              <w:t>Related simulated artifacts</w:t>
            </w:r>
          </w:p>
        </w:tc>
        <w:tc>
          <w:tcPr>
            <w:tcW w:type="dxa" w:w="4939"/>
            <w:vAlign w:val="center"/>
          </w:tcPr>
          <w:p>
            <w:pPr>
              <w:spacing w:after="20"/>
            </w:pPr>
            <w:r>
              <w:rPr>
                <w:sz w:val="16"/>
              </w:rPr>
              <w:t>IAM Governance Charter; JML Procedure; Access Request and Approval Matrix; IAM Risk Assessment and Risk Register</w:t>
            </w:r>
          </w:p>
        </w:tc>
      </w:tr>
    </w:tbl>
    <w:p>
      <w:pPr>
        <w:pStyle w:val="Heading1"/>
      </w:pPr>
      <w:r>
        <w:t>1. Purpose and Scope</w:t>
      </w:r>
    </w:p>
    <w:p>
      <w:pPr>
        <w:pStyle w:val="Heading2"/>
      </w:pPr>
      <w:r>
        <w:t>1.1 Purpose</w:t>
      </w:r>
    </w:p>
    <w:p>
      <w:r>
        <w:t>Establish a consistent process for periodically reviewing employee and privileged access to confirm permissions remain appropriate, authorized, and aligned with current responsibilities. This procedure defines review frequency, roles, decisions, evidence, remediation, escalation, and closure.</w:t>
      </w:r>
    </w:p>
    <w:p>
      <w:pPr>
        <w:pStyle w:val="Heading2"/>
      </w:pPr>
      <w:r>
        <w:t>1.2 Scope</w:t>
      </w:r>
    </w:p>
    <w:p>
      <w:r>
        <w:t>The simulated review population includes Microsoft Entra ID accounts and permissions, Microsoft 365, critical cloud applications, privileged administrator roles, and standard employee access subject to periodic certification.</w:t>
      </w:r>
    </w:p>
    <w:p>
      <w:pPr>
        <w:pStyle w:val="Heading2"/>
      </w:pPr>
      <w:r>
        <w:t>1.3 Review frequency and deadlines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pPr>
              <w:spacing w:after="20"/>
            </w:pPr>
            <w:r>
              <w:rPr>
                <w:b/>
                <w:sz w:val="16"/>
              </w:rPr>
              <w:t>Access category</w:t>
            </w:r>
          </w:p>
        </w:tc>
        <w:tc>
          <w:tcPr>
            <w:tcW w:type="dxa" w:w="2469"/>
            <w:vAlign w:val="center"/>
          </w:tcPr>
          <w:p>
            <w:pPr>
              <w:spacing w:after="20"/>
            </w:pPr>
            <w:r>
              <w:rPr>
                <w:b/>
                <w:sz w:val="16"/>
              </w:rPr>
              <w:t>Reviewer</w:t>
            </w:r>
          </w:p>
        </w:tc>
        <w:tc>
          <w:tcPr>
            <w:tcW w:type="dxa" w:w="2469"/>
            <w:vAlign w:val="center"/>
          </w:tcPr>
          <w:p>
            <w:pPr>
              <w:spacing w:after="20"/>
            </w:pPr>
            <w:r>
              <w:rPr>
                <w:b/>
                <w:sz w:val="16"/>
              </w:rPr>
              <w:t>Frequency</w:t>
            </w:r>
          </w:p>
        </w:tc>
        <w:tc>
          <w:tcPr>
            <w:tcW w:type="dxa" w:w="2469"/>
            <w:vAlign w:val="center"/>
          </w:tcPr>
          <w:p>
            <w:pPr>
              <w:spacing w:after="20"/>
            </w:pPr>
            <w:r>
              <w:rPr>
                <w:b/>
                <w:sz w:val="16"/>
              </w:rPr>
              <w:t>Completion target</w:t>
            </w:r>
          </w:p>
        </w:tc>
      </w:tr>
      <w:tr>
        <w:tc>
          <w:tcPr>
            <w:tcW w:type="dxa" w:w="2469"/>
            <w:vAlign w:val="center"/>
          </w:tcPr>
          <w:p>
            <w:pPr>
              <w:spacing w:after="20"/>
            </w:pPr>
            <w:r>
              <w:rPr>
                <w:sz w:val="16"/>
              </w:rPr>
              <w:t>Standard employee access</w:t>
            </w:r>
          </w:p>
        </w:tc>
        <w:tc>
          <w:tcPr>
            <w:tcW w:type="dxa" w:w="2469"/>
            <w:vAlign w:val="center"/>
          </w:tcPr>
          <w:p>
            <w:pPr>
              <w:spacing w:after="20"/>
            </w:pPr>
            <w:r>
              <w:rPr>
                <w:sz w:val="16"/>
              </w:rPr>
              <w:t>Department Manager</w:t>
            </w:r>
          </w:p>
        </w:tc>
        <w:tc>
          <w:tcPr>
            <w:tcW w:type="dxa" w:w="2469"/>
            <w:vAlign w:val="center"/>
          </w:tcPr>
          <w:p>
            <w:pPr>
              <w:spacing w:after="20"/>
            </w:pPr>
            <w:r>
              <w:rPr>
                <w:sz w:val="16"/>
              </w:rPr>
              <w:t>Quarterly</w:t>
            </w:r>
          </w:p>
        </w:tc>
        <w:tc>
          <w:tcPr>
            <w:tcW w:type="dxa" w:w="2469"/>
            <w:vAlign w:val="center"/>
          </w:tcPr>
          <w:p>
            <w:pPr>
              <w:spacing w:after="20"/>
            </w:pPr>
            <w:r>
              <w:rPr>
                <w:sz w:val="16"/>
              </w:rPr>
              <w:t>15 calendar days from launch</w:t>
            </w:r>
          </w:p>
        </w:tc>
      </w:tr>
      <w:tr>
        <w:tc>
          <w:tcPr>
            <w:tcW w:type="dxa" w:w="2469"/>
            <w:vAlign w:val="center"/>
          </w:tcPr>
          <w:p>
            <w:pPr>
              <w:spacing w:after="20"/>
            </w:pPr>
            <w:r>
              <w:rPr>
                <w:sz w:val="16"/>
              </w:rPr>
              <w:t>Privileged access</w:t>
            </w:r>
          </w:p>
        </w:tc>
        <w:tc>
          <w:tcPr>
            <w:tcW w:type="dxa" w:w="2469"/>
            <w:vAlign w:val="center"/>
          </w:tcPr>
          <w:p>
            <w:pPr>
              <w:spacing w:after="20"/>
            </w:pPr>
            <w:r>
              <w:rPr>
                <w:sz w:val="16"/>
              </w:rPr>
              <w:t>Security Team</w:t>
            </w:r>
          </w:p>
        </w:tc>
        <w:tc>
          <w:tcPr>
            <w:tcW w:type="dxa" w:w="2469"/>
            <w:vAlign w:val="center"/>
          </w:tcPr>
          <w:p>
            <w:pPr>
              <w:spacing w:after="20"/>
            </w:pPr>
            <w:r>
              <w:rPr>
                <w:sz w:val="16"/>
              </w:rPr>
              <w:t>Monthly</w:t>
            </w:r>
          </w:p>
        </w:tc>
        <w:tc>
          <w:tcPr>
            <w:tcW w:type="dxa" w:w="2469"/>
            <w:vAlign w:val="center"/>
          </w:tcPr>
          <w:p>
            <w:pPr>
              <w:spacing w:after="20"/>
            </w:pPr>
            <w:r>
              <w:rPr>
                <w:sz w:val="16"/>
              </w:rPr>
              <w:t>5 business days from launch</w:t>
            </w:r>
          </w:p>
        </w:tc>
      </w:tr>
    </w:tbl>
    <w:p>
      <w:pPr>
        <w:pStyle w:val="Heading2"/>
      </w:pPr>
      <w:r>
        <w:t>1.4 Boundaries</w:t>
      </w:r>
    </w:p>
    <w:p>
      <w:r>
        <w:t>The document describes proposed governance workflow only. It does not demonstrate deployed automation, real-world reviews, verified operating effectiveness, or company authorization.</w:t>
      </w:r>
    </w:p>
    <w:p>
      <w:pPr>
        <w:pStyle w:val="Heading1"/>
      </w:pPr>
      <w:r>
        <w:t>2. Access Review Preparation and Launch</w:t>
      </w:r>
    </w:p>
    <w:p>
      <w:pPr>
        <w:pStyle w:val="Heading2"/>
      </w:pPr>
      <w:r>
        <w:t>2.1 Define the review population</w:t>
      </w:r>
    </w:p>
    <w:p>
      <w:r>
        <w:t>The IT/IAM Administrator prepares a current listing identifying in-scope employee or account, application, role or permission, and assigned reviewer. Access listings should be reconciled against the defined in-scope systems and available account records.</w:t>
      </w:r>
    </w:p>
    <w:p>
      <w:pPr>
        <w:pStyle w:val="Heading2"/>
      </w:pPr>
      <w:r>
        <w:t>2.2 Validate assignments</w:t>
      </w:r>
    </w:p>
    <w:p>
      <w:r>
        <w:t>The IAM Governance Analyst checks reviewer ownership, identifies gaps and potential conflicts of interest, and documents an authorized alternate where a reviewer is unavailable or conflicted. Standard access is assigned to Department Managers and privileged access to the Security Team.</w:t>
      </w:r>
    </w:p>
    <w:p>
      <w:pPr>
        <w:pStyle w:val="Heading2"/>
      </w:pPr>
      <w:r>
        <w:t>2.3 Launch record</w:t>
      </w:r>
    </w:p>
    <w:p>
      <w:r>
        <w:t>IAM Governance records the unique review cycle ID, review period, scope, launch date, assigned reviewers, and deadline; it distributes the listing and instructions for Retain, Revoke, and Investigate decisions.</w:t>
      </w:r>
    </w:p>
    <w:p>
      <w:pPr>
        <w:pStyle w:val="Heading2"/>
      </w:pPr>
      <w:r>
        <w:t>2.4 Incomplete source data</w:t>
      </w:r>
    </w:p>
    <w:p>
      <w:r>
        <w:t>Known account listing or reviewer assignment gaps must be documented, assigned an owner, and tracked rather than silently excluded from certification.</w:t>
      </w:r>
    </w:p>
    <w:p>
      <w:pPr>
        <w:pStyle w:val="Heading1"/>
      </w:pPr>
      <w:r>
        <w:t>3. Access Certification Decisions</w:t>
      </w:r>
    </w:p>
    <w:p>
      <w:pPr>
        <w:pStyle w:val="Heading2"/>
      </w:pPr>
      <w:r>
        <w:t>3.1 Decisions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20"/>
            </w:pPr>
            <w:r>
              <w:rPr>
                <w:b/>
                <w:sz w:val="16"/>
              </w:rPr>
              <w:t>Decision</w:t>
            </w:r>
          </w:p>
        </w:tc>
        <w:tc>
          <w:tcPr>
            <w:tcW w:type="dxa" w:w="3293"/>
            <w:vAlign w:val="center"/>
          </w:tcPr>
          <w:p>
            <w:pPr>
              <w:spacing w:after="20"/>
            </w:pPr>
            <w:r>
              <w:rPr>
                <w:b/>
                <w:sz w:val="16"/>
              </w:rPr>
              <w:t>Reviewer obligation</w:t>
            </w:r>
          </w:p>
        </w:tc>
        <w:tc>
          <w:tcPr>
            <w:tcW w:type="dxa" w:w="3293"/>
            <w:vAlign w:val="center"/>
          </w:tcPr>
          <w:p>
            <w:pPr>
              <w:spacing w:after="20"/>
            </w:pPr>
            <w:r>
              <w:rPr>
                <w:b/>
                <w:sz w:val="16"/>
              </w:rPr>
              <w:t>Required follow-through</w:t>
            </w:r>
          </w:p>
        </w:tc>
      </w:tr>
      <w:tr>
        <w:tc>
          <w:tcPr>
            <w:tcW w:type="dxa" w:w="3293"/>
            <w:vAlign w:val="center"/>
          </w:tcPr>
          <w:p>
            <w:pPr>
              <w:spacing w:after="20"/>
            </w:pPr>
            <w:r>
              <w:rPr>
                <w:sz w:val="16"/>
              </w:rPr>
              <w:t>Retain</w:t>
            </w:r>
          </w:p>
        </w:tc>
        <w:tc>
          <w:tcPr>
            <w:tcW w:type="dxa" w:w="3293"/>
            <w:vAlign w:val="center"/>
          </w:tcPr>
          <w:p>
            <w:pPr>
              <w:spacing w:after="20"/>
            </w:pPr>
            <w:r>
              <w:rPr>
                <w:sz w:val="16"/>
              </w:rPr>
              <w:t>Confirm continued business need</w:t>
            </w:r>
          </w:p>
        </w:tc>
        <w:tc>
          <w:tcPr>
            <w:tcW w:type="dxa" w:w="3293"/>
            <w:vAlign w:val="center"/>
          </w:tcPr>
          <w:p>
            <w:pPr>
              <w:spacing w:after="20"/>
            </w:pPr>
            <w:r>
              <w:rPr>
                <w:sz w:val="16"/>
              </w:rPr>
              <w:t>Document justification and decision date</w:t>
            </w:r>
          </w:p>
        </w:tc>
      </w:tr>
      <w:tr>
        <w:tc>
          <w:tcPr>
            <w:tcW w:type="dxa" w:w="3293"/>
            <w:vAlign w:val="center"/>
          </w:tcPr>
          <w:p>
            <w:pPr>
              <w:spacing w:after="20"/>
            </w:pPr>
            <w:r>
              <w:rPr>
                <w:sz w:val="16"/>
              </w:rPr>
              <w:t>Revoke</w:t>
            </w:r>
          </w:p>
        </w:tc>
        <w:tc>
          <w:tcPr>
            <w:tcW w:type="dxa" w:w="3293"/>
            <w:vAlign w:val="center"/>
          </w:tcPr>
          <w:p>
            <w:pPr>
              <w:spacing w:after="20"/>
            </w:pPr>
            <w:r>
              <w:rPr>
                <w:sz w:val="16"/>
              </w:rPr>
              <w:t>Identify inappropriate or unnecessary access</w:t>
            </w:r>
          </w:p>
        </w:tc>
        <w:tc>
          <w:tcPr>
            <w:tcW w:type="dxa" w:w="3293"/>
            <w:vAlign w:val="center"/>
          </w:tcPr>
          <w:p>
            <w:pPr>
              <w:spacing w:after="20"/>
            </w:pPr>
            <w:r>
              <w:rPr>
                <w:sz w:val="16"/>
              </w:rPr>
              <w:t>Create remediation task for IT and verify removal</w:t>
            </w:r>
          </w:p>
        </w:tc>
      </w:tr>
      <w:tr>
        <w:tc>
          <w:tcPr>
            <w:tcW w:type="dxa" w:w="3293"/>
            <w:vAlign w:val="center"/>
          </w:tcPr>
          <w:p>
            <w:pPr>
              <w:spacing w:after="20"/>
            </w:pPr>
            <w:r>
              <w:rPr>
                <w:sz w:val="16"/>
              </w:rPr>
              <w:t>Investigate</w:t>
            </w:r>
          </w:p>
        </w:tc>
        <w:tc>
          <w:tcPr>
            <w:tcW w:type="dxa" w:w="3293"/>
            <w:vAlign w:val="center"/>
          </w:tcPr>
          <w:p>
            <w:pPr>
              <w:spacing w:after="20"/>
            </w:pPr>
            <w:r>
              <w:rPr>
                <w:sz w:val="16"/>
              </w:rPr>
              <w:t>Identify uncertain or inconsistent access</w:t>
            </w:r>
          </w:p>
        </w:tc>
        <w:tc>
          <w:tcPr>
            <w:tcW w:type="dxa" w:w="3293"/>
            <w:vAlign w:val="center"/>
          </w:tcPr>
          <w:p>
            <w:pPr>
              <w:spacing w:after="20"/>
            </w:pPr>
            <w:r>
              <w:rPr>
                <w:sz w:val="16"/>
              </w:rPr>
              <w:t>Assign investigation owner and due date; finalize as Retain or Revoke</w:t>
            </w:r>
          </w:p>
        </w:tc>
      </w:tr>
    </w:tbl>
    <w:p>
      <w:pPr>
        <w:pStyle w:val="Heading2"/>
      </w:pPr>
      <w:r>
        <w:t>3.2 Accountability and resolution</w:t>
      </w:r>
    </w:p>
    <w:p>
      <w:r>
        <w:t>Department Managers certify standard access; Security certifies privileged access. IAM Governance coordinates and monitors but may not certify on the reviewer’s behalf. An Investigate finding is not a completed certification until a final Retain or Revoke decision and supporting justification are recorded.</w:t>
      </w:r>
    </w:p>
    <w:p>
      <w:pPr>
        <w:pStyle w:val="Heading2"/>
      </w:pPr>
      <w:r>
        <w:t>3.3 Ten required evidence fields</w:t>
      </w:r>
    </w:p>
    <w:p>
      <w:r>
        <w:t>1. Review cycle ID and review period</w:t>
      </w:r>
    </w:p>
    <w:p>
      <w:r>
        <w:t>2. Employee or account identifier</w:t>
      </w:r>
    </w:p>
    <w:p>
      <w:r>
        <w:t>3. Application or system reviewed</w:t>
      </w:r>
    </w:p>
    <w:p>
      <w:r>
        <w:t>4. Role or permission reviewed</w:t>
      </w:r>
    </w:p>
    <w:p>
      <w:r>
        <w:t>5. Assigned reviewer</w:t>
      </w:r>
    </w:p>
    <w:p>
      <w:r>
        <w:t>6. Certification decision (Retain, Revoke, or Investigate)</w:t>
      </w:r>
    </w:p>
    <w:p>
      <w:r>
        <w:t>7. Business justification or finding</w:t>
      </w:r>
    </w:p>
    <w:p>
      <w:r>
        <w:t>8. Decision date</w:t>
      </w:r>
    </w:p>
    <w:p>
      <w:r>
        <w:t>9. Remediation ticket or investigation reference, where applicable</w:t>
      </w:r>
    </w:p>
    <w:p>
      <w:r>
        <w:t>10. Final resolution, verification evidence, and closure date, where applicable</w:t>
      </w:r>
    </w:p>
    <w:p>
      <w:r>
        <w:t>Unneeded or unauthorized high-risk access is escalated promptly; active unauthorized access requires immediate Security notification and appropriate containment.</w:t>
      </w:r>
    </w:p>
    <w:p>
      <w:pPr>
        <w:pStyle w:val="Heading1"/>
      </w:pPr>
      <w:r>
        <w:t>4. Access Revocation and Remediation</w:t>
      </w:r>
    </w:p>
    <w:p>
      <w:pPr>
        <w:pStyle w:val="Heading2"/>
      </w:pPr>
      <w:r>
        <w:t>4.1 Assignment</w:t>
      </w:r>
    </w:p>
    <w:p>
      <w:r>
        <w:t>A Revoke decision must create a documented remediation task specifying account, application, permission, responsible administrator, and target date. The deadline begins when the Revoke decision is recorded and the task is assigned to IT.</w:t>
      </w:r>
    </w:p>
    <w:p>
      <w:pPr>
        <w:pStyle w:val="Heading2"/>
      </w:pPr>
      <w:r>
        <w:t>4.2 Remediation targets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pPr>
            <w:r>
              <w:rPr>
                <w:b/>
                <w:sz w:val="16"/>
              </w:rPr>
              <w:t>Finding</w:t>
            </w:r>
          </w:p>
        </w:tc>
        <w:tc>
          <w:tcPr>
            <w:tcW w:type="dxa" w:w="4939"/>
            <w:vAlign w:val="center"/>
          </w:tcPr>
          <w:p>
            <w:pPr>
              <w:spacing w:after="20"/>
            </w:pPr>
            <w:r>
              <w:rPr>
                <w:b/>
                <w:sz w:val="16"/>
              </w:rPr>
              <w:t>Action deadline</w:t>
            </w:r>
          </w:p>
        </w:tc>
      </w:tr>
      <w:tr>
        <w:tc>
          <w:tcPr>
            <w:tcW w:type="dxa" w:w="4939"/>
            <w:vAlign w:val="center"/>
          </w:tcPr>
          <w:p>
            <w:pPr>
              <w:spacing w:after="20"/>
            </w:pPr>
            <w:r>
              <w:rPr>
                <w:sz w:val="16"/>
              </w:rPr>
              <w:t>Standard access no longer required</w:t>
            </w:r>
          </w:p>
        </w:tc>
        <w:tc>
          <w:tcPr>
            <w:tcW w:type="dxa" w:w="4939"/>
            <w:vAlign w:val="center"/>
          </w:tcPr>
          <w:p>
            <w:pPr>
              <w:spacing w:after="20"/>
            </w:pPr>
            <w:r>
              <w:rPr>
                <w:sz w:val="16"/>
              </w:rPr>
              <w:t>Remove and verify within 3 business days</w:t>
            </w:r>
          </w:p>
        </w:tc>
      </w:tr>
      <w:tr>
        <w:tc>
          <w:tcPr>
            <w:tcW w:type="dxa" w:w="4939"/>
            <w:vAlign w:val="center"/>
          </w:tcPr>
          <w:p>
            <w:pPr>
              <w:spacing w:after="20"/>
            </w:pPr>
            <w:r>
              <w:rPr>
                <w:sz w:val="16"/>
              </w:rPr>
              <w:t>Unnecessary privileged access</w:t>
            </w:r>
          </w:p>
        </w:tc>
        <w:tc>
          <w:tcPr>
            <w:tcW w:type="dxa" w:w="4939"/>
            <w:vAlign w:val="center"/>
          </w:tcPr>
          <w:p>
            <w:pPr>
              <w:spacing w:after="20"/>
            </w:pPr>
            <w:r>
              <w:rPr>
                <w:sz w:val="16"/>
              </w:rPr>
              <w:t>Remove and verify within 1 business day</w:t>
            </w:r>
          </w:p>
        </w:tc>
      </w:tr>
      <w:tr>
        <w:tc>
          <w:tcPr>
            <w:tcW w:type="dxa" w:w="4939"/>
            <w:vAlign w:val="center"/>
          </w:tcPr>
          <w:p>
            <w:pPr>
              <w:spacing w:after="20"/>
            </w:pPr>
            <w:r>
              <w:rPr>
                <w:sz w:val="16"/>
              </w:rPr>
              <w:t>Confirmed active unauthorized access</w:t>
            </w:r>
          </w:p>
        </w:tc>
        <w:tc>
          <w:tcPr>
            <w:tcW w:type="dxa" w:w="4939"/>
            <w:vAlign w:val="center"/>
          </w:tcPr>
          <w:p>
            <w:pPr>
              <w:spacing w:after="20"/>
            </w:pPr>
            <w:r>
              <w:rPr>
                <w:sz w:val="16"/>
              </w:rPr>
              <w:t>Immediate containment and Security escalation</w:t>
            </w:r>
          </w:p>
        </w:tc>
      </w:tr>
    </w:tbl>
    <w:p>
      <w:pPr>
        <w:pStyle w:val="Heading2"/>
      </w:pPr>
      <w:r>
        <w:t>4.3 Verify and close</w:t>
      </w:r>
    </w:p>
    <w:p>
      <w:r>
        <w:t>IT removes the designated permissions and verifies removal in the relevant system. The evidence identifies the account, action, completion date, and verification result. IAM Governance tracks outstanding findings, escalates missed deadlines to the IT/IAM Lead, and confirms closure documentation. An assigned ticket or unverified implementation report is not enough to mark a finding Resolved.</w:t>
      </w:r>
    </w:p>
    <w:p>
      <w:pPr>
        <w:pStyle w:val="Heading1"/>
      </w:pPr>
      <w:r>
        <w:t>5. Overdue Reviews and Escalation</w:t>
      </w:r>
    </w:p>
    <w:p>
      <w:pPr>
        <w:pStyle w:val="Heading2"/>
      </w:pPr>
      <w:r>
        <w:t>5.1 Monitoring and escalation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pPr>
            <w:r>
              <w:rPr>
                <w:b/>
                <w:sz w:val="16"/>
              </w:rPr>
              <w:t>Trigger</w:t>
            </w:r>
          </w:p>
        </w:tc>
        <w:tc>
          <w:tcPr>
            <w:tcW w:type="dxa" w:w="4939"/>
            <w:vAlign w:val="center"/>
          </w:tcPr>
          <w:p>
            <w:pPr>
              <w:spacing w:after="20"/>
            </w:pPr>
            <w:r>
              <w:rPr>
                <w:b/>
                <w:sz w:val="16"/>
              </w:rPr>
              <w:t>Required action</w:t>
            </w:r>
          </w:p>
        </w:tc>
      </w:tr>
      <w:tr>
        <w:tc>
          <w:tcPr>
            <w:tcW w:type="dxa" w:w="4939"/>
            <w:vAlign w:val="center"/>
          </w:tcPr>
          <w:p>
            <w:pPr>
              <w:spacing w:after="20"/>
            </w:pPr>
            <w:r>
              <w:rPr>
                <w:sz w:val="16"/>
              </w:rPr>
              <w:t>Approaching review deadline</w:t>
            </w:r>
          </w:p>
        </w:tc>
        <w:tc>
          <w:tcPr>
            <w:tcW w:type="dxa" w:w="4939"/>
            <w:vAlign w:val="center"/>
          </w:tcPr>
          <w:p>
            <w:pPr>
              <w:spacing w:after="20"/>
            </w:pPr>
            <w:r>
              <w:rPr>
                <w:sz w:val="16"/>
              </w:rPr>
              <w:t>Remind the assigned reviewer</w:t>
            </w:r>
          </w:p>
        </w:tc>
      </w:tr>
      <w:tr>
        <w:tc>
          <w:tcPr>
            <w:tcW w:type="dxa" w:w="4939"/>
            <w:vAlign w:val="center"/>
          </w:tcPr>
          <w:p>
            <w:pPr>
              <w:spacing w:after="20"/>
            </w:pPr>
            <w:r>
              <w:rPr>
                <w:sz w:val="16"/>
              </w:rPr>
              <w:t>Deadline missed</w:t>
            </w:r>
          </w:p>
        </w:tc>
        <w:tc>
          <w:tcPr>
            <w:tcW w:type="dxa" w:w="4939"/>
            <w:vAlign w:val="center"/>
          </w:tcPr>
          <w:p>
            <w:pPr>
              <w:spacing w:after="20"/>
            </w:pPr>
            <w:r>
              <w:rPr>
                <w:sz w:val="16"/>
              </w:rPr>
              <w:t>Mark overdue; notify reviewer and their manager within 1 business day</w:t>
            </w:r>
          </w:p>
        </w:tc>
      </w:tr>
      <w:tr>
        <w:tc>
          <w:tcPr>
            <w:tcW w:type="dxa" w:w="4939"/>
            <w:vAlign w:val="center"/>
          </w:tcPr>
          <w:p>
            <w:pPr>
              <w:spacing w:after="20"/>
            </w:pPr>
            <w:r>
              <w:rPr>
                <w:sz w:val="16"/>
              </w:rPr>
              <w:t>Still overdue after 3 additional business days</w:t>
            </w:r>
          </w:p>
        </w:tc>
        <w:tc>
          <w:tcPr>
            <w:tcW w:type="dxa" w:w="4939"/>
            <w:vAlign w:val="center"/>
          </w:tcPr>
          <w:p>
            <w:pPr>
              <w:spacing w:after="20"/>
            </w:pPr>
            <w:r>
              <w:rPr>
                <w:sz w:val="16"/>
              </w:rPr>
              <w:t>Escalate to IAM Governance Lead and appropriate Security leadership</w:t>
            </w:r>
          </w:p>
        </w:tc>
      </w:tr>
      <w:tr>
        <w:tc>
          <w:tcPr>
            <w:tcW w:type="dxa" w:w="4939"/>
            <w:vAlign w:val="center"/>
          </w:tcPr>
          <w:p>
            <w:pPr>
              <w:spacing w:after="20"/>
            </w:pPr>
            <w:r>
              <w:rPr>
                <w:sz w:val="16"/>
              </w:rPr>
              <w:t>Unresolved after escalation</w:t>
            </w:r>
          </w:p>
        </w:tc>
        <w:tc>
          <w:tcPr>
            <w:tcW w:type="dxa" w:w="4939"/>
            <w:vAlign w:val="center"/>
          </w:tcPr>
          <w:p>
            <w:pPr>
              <w:spacing w:after="20"/>
            </w:pPr>
            <w:r>
              <w:rPr>
                <w:sz w:val="16"/>
              </w:rPr>
              <w:t>Track follow-ups and continue documented escalation until resolved</w:t>
            </w:r>
          </w:p>
        </w:tc>
      </w:tr>
    </w:tbl>
    <w:p>
      <w:pPr>
        <w:pStyle w:val="Heading2"/>
      </w:pPr>
      <w:r>
        <w:t>5.2 Escalation evidence</w:t>
      </w:r>
    </w:p>
    <w:p>
      <w:r>
        <w:t>Record cycle ID, reviewer, missed deadline, notification date, escalation recipient, outstanding action, and eventual resolution. Reviewer accountability remains unchanged unless an authorized alternate is formally assigned. Active unauthorized access and high-risk incidents bypass routine escalation windows.</w:t>
      </w:r>
    </w:p>
    <w:p>
      <w:pPr>
        <w:pStyle w:val="Heading1"/>
      </w:pPr>
      <w:r>
        <w:t>6. Exceptions and Risk Acceptance</w:t>
      </w:r>
    </w:p>
    <w:p>
      <w:pPr>
        <w:pStyle w:val="Heading2"/>
      </w:pPr>
      <w:r>
        <w:t>6.1 Eligibility</w:t>
      </w:r>
    </w:p>
    <w:p>
      <w:r>
        <w:t>A temporary exception may be requested when a review or revocation cannot meet its deadline because of a documented operational dependency. Exceptions cannot bypass mandatory approvals or delay containment of active unauthorized access.</w:t>
      </w:r>
    </w:p>
    <w:p>
      <w:pPr>
        <w:pStyle w:val="Heading2"/>
      </w:pPr>
      <w:r>
        <w:t>6.2 Approval rules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20"/>
            </w:pPr>
            <w:r>
              <w:rPr>
                <w:b/>
                <w:sz w:val="16"/>
              </w:rPr>
              <w:t>Exception class</w:t>
            </w:r>
          </w:p>
        </w:tc>
        <w:tc>
          <w:tcPr>
            <w:tcW w:type="dxa" w:w="4939"/>
            <w:vAlign w:val="center"/>
          </w:tcPr>
          <w:p>
            <w:pPr>
              <w:spacing w:after="20"/>
            </w:pPr>
            <w:r>
              <w:rPr>
                <w:b/>
                <w:sz w:val="16"/>
              </w:rPr>
              <w:t>Required approvals</w:t>
            </w:r>
          </w:p>
        </w:tc>
      </w:tr>
      <w:tr>
        <w:tc>
          <w:tcPr>
            <w:tcW w:type="dxa" w:w="4939"/>
            <w:vAlign w:val="center"/>
          </w:tcPr>
          <w:p>
            <w:pPr>
              <w:spacing w:after="20"/>
            </w:pPr>
            <w:r>
              <w:rPr>
                <w:sz w:val="16"/>
              </w:rPr>
              <w:t>Standard employee access</w:t>
            </w:r>
          </w:p>
        </w:tc>
        <w:tc>
          <w:tcPr>
            <w:tcW w:type="dxa" w:w="4939"/>
            <w:vAlign w:val="center"/>
          </w:tcPr>
          <w:p>
            <w:pPr>
              <w:spacing w:after="20"/>
            </w:pPr>
            <w:r>
              <w:rPr>
                <w:sz w:val="16"/>
              </w:rPr>
              <w:t>Department Manager and IAM Governance Lead</w:t>
            </w:r>
          </w:p>
        </w:tc>
      </w:tr>
      <w:tr>
        <w:tc>
          <w:tcPr>
            <w:tcW w:type="dxa" w:w="4939"/>
            <w:vAlign w:val="center"/>
          </w:tcPr>
          <w:p>
            <w:pPr>
              <w:spacing w:after="20"/>
            </w:pPr>
            <w:r>
              <w:rPr>
                <w:sz w:val="16"/>
              </w:rPr>
              <w:t>Sensitive or privileged access</w:t>
            </w:r>
          </w:p>
        </w:tc>
        <w:tc>
          <w:tcPr>
            <w:tcW w:type="dxa" w:w="4939"/>
            <w:vAlign w:val="center"/>
          </w:tcPr>
          <w:p>
            <w:pPr>
              <w:spacing w:after="20"/>
            </w:pPr>
            <w:r>
              <w:rPr>
                <w:sz w:val="16"/>
              </w:rPr>
              <w:t>Department Manager, Security Lead, and IAM Governance Lead</w:t>
            </w:r>
          </w:p>
        </w:tc>
      </w:tr>
      <w:tr>
        <w:tc>
          <w:tcPr>
            <w:tcW w:type="dxa" w:w="4939"/>
            <w:vAlign w:val="center"/>
          </w:tcPr>
          <w:p>
            <w:pPr>
              <w:spacing w:after="20"/>
            </w:pPr>
            <w:r>
              <w:rPr>
                <w:sz w:val="16"/>
              </w:rPr>
              <w:t>Active unauthorized access</w:t>
            </w:r>
          </w:p>
        </w:tc>
        <w:tc>
          <w:tcPr>
            <w:tcW w:type="dxa" w:w="4939"/>
            <w:vAlign w:val="center"/>
          </w:tcPr>
          <w:p>
            <w:pPr>
              <w:spacing w:after="20"/>
            </w:pPr>
            <w:r>
              <w:rPr>
                <w:sz w:val="16"/>
              </w:rPr>
              <w:t>No exception permits delayed containment</w:t>
            </w:r>
          </w:p>
        </w:tc>
      </w:tr>
    </w:tbl>
    <w:p>
      <w:pPr>
        <w:pStyle w:val="Heading2"/>
      </w:pPr>
      <w:r>
        <w:t>6.3 Duration and documentation</w:t>
      </w:r>
    </w:p>
    <w:p>
      <w:r>
        <w:t>An exception lasts no more than 5 business days per authorization. Renewals require new justification, risk review, and approval before expiration. The record must identify account, permissions, business justification, assessed risk, accountable owner, approving authority, compensating safeguards, expiration, and follow-up action.</w:t>
      </w:r>
    </w:p>
    <w:p>
      <w:pPr>
        <w:pStyle w:val="Heading2"/>
      </w:pPr>
      <w:r>
        <w:t>6.4 Monitoring and acceptance</w:t>
      </w:r>
    </w:p>
    <w:p>
      <w:r>
        <w:t>IAM Governance tracks exceptions and escalates expired or unauthorized exceptions. Acceptance of material residual risk must record an authorized decision-maker, rationale, accepted exposure, conditions, and review date. Risk acceptance does not itself resolve a revocation finding or prove removal.</w:t>
      </w:r>
    </w:p>
    <w:p>
      <w:pPr>
        <w:pStyle w:val="Heading1"/>
      </w:pPr>
      <w:r>
        <w:t>7. Review Cycle Closure and Evidence Retention</w:t>
      </w:r>
    </w:p>
    <w:p>
      <w:pPr>
        <w:pStyle w:val="Heading2"/>
      </w:pPr>
      <w:r>
        <w:t>7.1 Seven-point closure checklist</w:t>
      </w:r>
    </w:p>
    <w:p>
      <w:r>
        <w:t>1. All in-scope accounts and permissions have been reviewed.</w:t>
      </w:r>
    </w:p>
    <w:p>
      <w:r>
        <w:t>2. Each certification has a final Retain or Revoke decision.</w:t>
      </w:r>
    </w:p>
    <w:p>
      <w:r>
        <w:t>3. All Investigate decisions have been resolved.</w:t>
      </w:r>
    </w:p>
    <w:p>
      <w:r>
        <w:t>4. All required revocations are completed and verified by IT.</w:t>
      </w:r>
    </w:p>
    <w:p>
      <w:r>
        <w:t>5. All required certification evidence and business justifications are recorded.</w:t>
      </w:r>
    </w:p>
    <w:p>
      <w:r>
        <w:t>6. All overdue items and escalations have documented resolutions.</w:t>
      </w:r>
    </w:p>
    <w:p>
      <w:r>
        <w:t>7. IAM Governance verifies completeness and records the cycle closure date.</w:t>
      </w:r>
    </w:p>
    <w:p>
      <w:pPr>
        <w:pStyle w:val="Heading2"/>
      </w:pPr>
      <w:r>
        <w:t>7.2 Open cycles</w:t>
      </w:r>
    </w:p>
    <w:p>
      <w:r>
        <w:t>When any closure condition is not met, the cycle remains “Open — Pending Resolution,” with outstanding item, accountable owner, next action, and follow-up date documented.</w:t>
      </w:r>
    </w:p>
    <w:p>
      <w:pPr>
        <w:pStyle w:val="Heading2"/>
      </w:pPr>
      <w:r>
        <w:t>7.3 Evidence safeguards and retention</w:t>
      </w:r>
    </w:p>
    <w:p>
      <w:r>
        <w:t>Maintain all ten approved certification evidence fields along with applicable tickets, verification results, exception approvals, and escalation records. Protect records against unauthorized alteration and restrict access to authorized personnel. Retain evidence per an approved records-retention schedule and applicable requirements; a numeric retention period has not been established in this simulation.</w:t>
      </w:r>
    </w:p>
    <w:p>
      <w:pPr>
        <w:pStyle w:val="Heading2"/>
      </w:pPr>
      <w:r>
        <w:t>7.4 Governance reporting</w:t>
      </w:r>
    </w:p>
    <w:p>
      <w:r>
        <w:t>IAM Governance reports cycle status, unresolved items, recurring issues, and significant findings to appropriate IAM and Security leadership.</w:t>
      </w:r>
    </w:p>
    <w:p>
      <w:pPr>
        <w:pStyle w:val="Heading1"/>
      </w:pPr>
      <w:r>
        <w:t>Portfolio Simulation Limitations</w:t>
      </w:r>
    </w:p>
    <w:p>
      <w:r>
        <w:t>This is independently authored scenario documentation for a fictional approximately 250-person healthcare technology organization. Policies, deadlines, approvals, roles, and controls are proposed designs. No live accounts, production testing, real company approvals, access review events, or confirmed control performance are represented. Version 1.0 indicates portfolio content approval only.</w:t>
      </w:r>
    </w:p>
    <w:sectPr w:rsidR="00FC693F" w:rsidRPr="0006063C" w:rsidSect="00034616">
      <w:headerReference w:type="default" r:id="rId9"/>
      <w:footerReference w:type="default" r:id="rId10"/>
      <w:pgSz w:w="12240" w:h="15840"/>
      <w:pgMar w:top="1008"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educational simulation  •  Portfolio-reviewed v1.0  •  No production implementation claimed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HEALTHTECH   /   IAM GOVERNANCE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C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33F66"/>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133F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42C4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