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IAM Control Testing and Evidence Matrix</w:t>
      </w:r>
    </w:p>
    <w:p>
      <w:r>
        <w:t>NORTHSTAR HEALTHTECH  |  DOCUMENT #7  |  VERSION 1.0 — PORTFOLIO REVIEWED</w:t>
      </w:r>
    </w:p>
    <w:p>
      <w:r>
        <w:t>Independent educational simulation · Fictional 250-employee healthcare technology organization · No company affiliation</w:t>
      </w:r>
    </w:p>
    <w:p>
      <w:r>
        <w:t>Document status: Portfolio-reviewed testing design. CT-001 through CT-007 remain NOT TESTED. No production evidence, operational findings, or measured effectiveness is claimed.</w:t>
      </w:r>
    </w:p>
    <w:p>
      <w:pPr>
        <w:pStyle w:val="Heading1"/>
      </w:pPr>
      <w:r>
        <w:t>1. Purpose and Scope</w:t>
      </w:r>
    </w:p>
    <w:p>
      <w:r>
        <w:t>Establish a repeatable, documented approach to assessing design effectiveness (DE) and operating effectiveness (OE) of proposed IAM controls. Define objectives, selection of test populations and samples, evidence, exceptions, reporting, and supportable conclusions.</w:t>
      </w:r>
    </w:p>
    <w:tbl>
      <w:tblPr>
        <w:tblStyle w:val="LightShading-Accent1"/>
        <w:tblW w:type="auto" w:w="0"/>
        <w:jc w:val="center"/>
        <w:tblLook w:firstColumn="1" w:firstRow="1" w:lastColumn="0" w:lastRow="0" w:noHBand="0" w:noVBand="1" w:val="04A0"/>
      </w:tblPr>
      <w:tblGrid>
        <w:gridCol w:w="4896"/>
        <w:gridCol w:w="4896"/>
      </w:tblGrid>
      <w:tr>
        <w:tc>
          <w:tcPr>
            <w:tcW w:type="dxa" w:w="4896"/>
          </w:tcPr>
          <w:p>
            <w:pPr>
              <w:spacing w:after="20" w:before="20"/>
            </w:pPr>
            <w:r>
              <w:t>Control</w:t>
            </w:r>
          </w:p>
        </w:tc>
        <w:tc>
          <w:tcPr>
            <w:tcW w:type="dxa" w:w="4896"/>
          </w:tcPr>
          <w:p>
            <w:pPr>
              <w:spacing w:after="20" w:before="20"/>
            </w:pPr>
            <w:r>
              <w:t>Scope</w:t>
            </w:r>
          </w:p>
        </w:tc>
      </w:tr>
      <w:tr>
        <w:tc>
          <w:tcPr>
            <w:tcW w:type="dxa" w:w="4896"/>
          </w:tcPr>
          <w:p>
            <w:pPr>
              <w:spacing w:after="20" w:before="20"/>
            </w:pPr>
            <w:r>
              <w:t>CT-001</w:t>
            </w:r>
          </w:p>
        </w:tc>
        <w:tc>
          <w:tcPr>
            <w:tcW w:type="dxa" w:w="4896"/>
          </w:tcPr>
          <w:p>
            <w:pPr>
              <w:spacing w:after="20" w:before="20"/>
            </w:pPr>
            <w:r>
              <w:t>New-Hire Access Provisioning</w:t>
            </w:r>
          </w:p>
        </w:tc>
      </w:tr>
      <w:tr>
        <w:tc>
          <w:tcPr>
            <w:tcW w:type="dxa" w:w="4896"/>
          </w:tcPr>
          <w:p>
            <w:pPr>
              <w:spacing w:after="20" w:before="20"/>
            </w:pPr>
            <w:r>
              <w:t>CT-002</w:t>
            </w:r>
          </w:p>
        </w:tc>
        <w:tc>
          <w:tcPr>
            <w:tcW w:type="dxa" w:w="4896"/>
          </w:tcPr>
          <w:p>
            <w:pPr>
              <w:spacing w:after="20" w:before="20"/>
            </w:pPr>
            <w:r>
              <w:t>Employee Offboarding Access Removal</w:t>
            </w:r>
          </w:p>
        </w:tc>
      </w:tr>
      <w:tr>
        <w:tc>
          <w:tcPr>
            <w:tcW w:type="dxa" w:w="4896"/>
          </w:tcPr>
          <w:p>
            <w:pPr>
              <w:spacing w:after="20" w:before="20"/>
            </w:pPr>
            <w:r>
              <w:t>CT-003</w:t>
            </w:r>
          </w:p>
        </w:tc>
        <w:tc>
          <w:tcPr>
            <w:tcW w:type="dxa" w:w="4896"/>
          </w:tcPr>
          <w:p>
            <w:pPr>
              <w:spacing w:after="20" w:before="20"/>
            </w:pPr>
            <w:r>
              <w:t>Employee Role-Change Access Management</w:t>
            </w:r>
          </w:p>
        </w:tc>
      </w:tr>
      <w:tr>
        <w:tc>
          <w:tcPr>
            <w:tcW w:type="dxa" w:w="4896"/>
          </w:tcPr>
          <w:p>
            <w:pPr>
              <w:spacing w:after="20" w:before="20"/>
            </w:pPr>
            <w:r>
              <w:t>CT-004</w:t>
            </w:r>
          </w:p>
        </w:tc>
        <w:tc>
          <w:tcPr>
            <w:tcW w:type="dxa" w:w="4896"/>
          </w:tcPr>
          <w:p>
            <w:pPr>
              <w:spacing w:after="20" w:before="20"/>
            </w:pPr>
            <w:r>
              <w:t>Privileged Access Approval Compliance</w:t>
            </w:r>
          </w:p>
        </w:tc>
      </w:tr>
      <w:tr>
        <w:tc>
          <w:tcPr>
            <w:tcW w:type="dxa" w:w="4896"/>
          </w:tcPr>
          <w:p>
            <w:pPr>
              <w:spacing w:after="20" w:before="20"/>
            </w:pPr>
            <w:r>
              <w:t>CT-005</w:t>
            </w:r>
          </w:p>
        </w:tc>
        <w:tc>
          <w:tcPr>
            <w:tcW w:type="dxa" w:w="4896"/>
          </w:tcPr>
          <w:p>
            <w:pPr>
              <w:spacing w:after="20" w:before="20"/>
            </w:pPr>
            <w:r>
              <w:t>MFA Enforcement</w:t>
            </w:r>
          </w:p>
        </w:tc>
      </w:tr>
      <w:tr>
        <w:tc>
          <w:tcPr>
            <w:tcW w:type="dxa" w:w="4896"/>
          </w:tcPr>
          <w:p>
            <w:pPr>
              <w:spacing w:after="20" w:before="20"/>
            </w:pPr>
            <w:r>
              <w:t>CT-006</w:t>
            </w:r>
          </w:p>
        </w:tc>
        <w:tc>
          <w:tcPr>
            <w:tcW w:type="dxa" w:w="4896"/>
          </w:tcPr>
          <w:p>
            <w:pPr>
              <w:spacing w:after="20" w:before="20"/>
            </w:pPr>
            <w:r>
              <w:t>Access Review and Certification</w:t>
            </w:r>
          </w:p>
        </w:tc>
      </w:tr>
      <w:tr>
        <w:tc>
          <w:tcPr>
            <w:tcW w:type="dxa" w:w="4896"/>
          </w:tcPr>
          <w:p>
            <w:pPr>
              <w:spacing w:after="20" w:before="20"/>
            </w:pPr>
            <w:r>
              <w:t>CT-007</w:t>
            </w:r>
          </w:p>
        </w:tc>
        <w:tc>
          <w:tcPr>
            <w:tcW w:type="dxa" w:w="4896"/>
          </w:tcPr>
          <w:p>
            <w:pPr>
              <w:spacing w:after="20" w:before="20"/>
            </w:pPr>
            <w:r>
              <w:t>Emergency Privileged Access</w:t>
            </w:r>
          </w:p>
        </w:tc>
      </w:tr>
    </w:tbl>
    <w:p>
      <w:r>
        <w:t>Relevant simulated systems: Microsoft Entra ID, Microsoft 365, critical cloud applications, privileged accounts, and supporting HR, approval, and security records. Actual system populations are not available.</w:t>
      </w:r>
    </w:p>
    <w:p>
      <w:pPr>
        <w:pStyle w:val="Heading1"/>
      </w:pPr>
      <w:r>
        <w:t>2. Control Testing Methodology</w:t>
      </w:r>
    </w:p>
    <w:p>
      <w:r>
        <w:t>DE evaluates whether a documented control is reasonably designed to address its risk. OE requires evidence that a control operated as specified within a defined period. An approved procedure is not evidence of actual effectiveness.</w:t>
      </w:r>
    </w:p>
    <w:p>
      <w:pPr>
        <w:pStyle w:val="ListBullet"/>
      </w:pPr>
      <w:r>
        <w:t>Identify control objective and associated IAM risk.</w:t>
      </w:r>
    </w:p>
    <w:p>
      <w:pPr>
        <w:pStyle w:val="ListBullet"/>
      </w:pPr>
      <w:r>
        <w:t>Define testing period, eligible population and exclusions.</w:t>
      </w:r>
    </w:p>
    <w:p>
      <w:pPr>
        <w:pStyle w:val="ListBullet"/>
      </w:pPr>
      <w:r>
        <w:t>Document a risk-appropriate sample and selection method.</w:t>
      </w:r>
    </w:p>
    <w:p>
      <w:pPr>
        <w:pStyle w:val="ListBullet"/>
      </w:pPr>
      <w:r>
        <w:t>Execute test steps and examine supporting evidence.</w:t>
      </w:r>
    </w:p>
    <w:p>
      <w:pPr>
        <w:pStyle w:val="ListBullet"/>
      </w:pPr>
      <w:r>
        <w:t>Record observations, exceptions and evidence references.</w:t>
      </w:r>
    </w:p>
    <w:p>
      <w:pPr>
        <w:pStyle w:val="ListBullet"/>
      </w:pPr>
      <w:r>
        <w:t>Document supported conclusion, limitations and corrective action.</w:t>
      </w:r>
    </w:p>
    <w:tbl>
      <w:tblPr>
        <w:tblStyle w:val="LightShading-Accent1"/>
        <w:tblW w:type="auto" w:w="0"/>
        <w:jc w:val="center"/>
        <w:tblLook w:firstColumn="1" w:firstRow="1" w:lastColumn="0" w:lastRow="0" w:noHBand="0" w:noVBand="1" w:val="04A0"/>
      </w:tblPr>
      <w:tblGrid>
        <w:gridCol w:w="4896"/>
        <w:gridCol w:w="4896"/>
      </w:tblGrid>
      <w:tr>
        <w:tc>
          <w:tcPr>
            <w:tcW w:type="dxa" w:w="4896"/>
          </w:tcPr>
          <w:p>
            <w:pPr>
              <w:spacing w:after="20" w:before="20"/>
            </w:pPr>
            <w:r>
              <w:t>Eligible records</w:t>
            </w:r>
          </w:p>
        </w:tc>
        <w:tc>
          <w:tcPr>
            <w:tcW w:type="dxa" w:w="4896"/>
          </w:tcPr>
          <w:p>
            <w:pPr>
              <w:spacing w:after="20" w:before="20"/>
            </w:pPr>
            <w:r>
              <w:t>Initial nonstatistical sample</w:t>
            </w:r>
          </w:p>
        </w:tc>
      </w:tr>
      <w:tr>
        <w:tc>
          <w:tcPr>
            <w:tcW w:type="dxa" w:w="4896"/>
          </w:tcPr>
          <w:p>
            <w:pPr>
              <w:spacing w:after="20" w:before="20"/>
            </w:pPr>
            <w:r>
              <w:t>1–10</w:t>
            </w:r>
          </w:p>
        </w:tc>
        <w:tc>
          <w:tcPr>
            <w:tcW w:type="dxa" w:w="4896"/>
          </w:tcPr>
          <w:p>
            <w:pPr>
              <w:spacing w:after="20" w:before="20"/>
            </w:pPr>
            <w:r>
              <w:t>All</w:t>
            </w:r>
          </w:p>
        </w:tc>
      </w:tr>
      <w:tr>
        <w:tc>
          <w:tcPr>
            <w:tcW w:type="dxa" w:w="4896"/>
          </w:tcPr>
          <w:p>
            <w:pPr>
              <w:spacing w:after="20" w:before="20"/>
            </w:pPr>
            <w:r>
              <w:t>11–50</w:t>
            </w:r>
          </w:p>
        </w:tc>
        <w:tc>
          <w:tcPr>
            <w:tcW w:type="dxa" w:w="4896"/>
          </w:tcPr>
          <w:p>
            <w:pPr>
              <w:spacing w:after="20" w:before="20"/>
            </w:pPr>
            <w:r>
              <w:t>10</w:t>
            </w:r>
          </w:p>
        </w:tc>
      </w:tr>
      <w:tr>
        <w:tc>
          <w:tcPr>
            <w:tcW w:type="dxa" w:w="4896"/>
          </w:tcPr>
          <w:p>
            <w:pPr>
              <w:spacing w:after="20" w:before="20"/>
            </w:pPr>
            <w:r>
              <w:t>51–250</w:t>
            </w:r>
          </w:p>
        </w:tc>
        <w:tc>
          <w:tcPr>
            <w:tcW w:type="dxa" w:w="4896"/>
          </w:tcPr>
          <w:p>
            <w:pPr>
              <w:spacing w:after="20" w:before="20"/>
            </w:pPr>
            <w:r>
              <w:t>15</w:t>
            </w:r>
          </w:p>
        </w:tc>
      </w:tr>
      <w:tr>
        <w:tc>
          <w:tcPr>
            <w:tcW w:type="dxa" w:w="4896"/>
          </w:tcPr>
          <w:p>
            <w:pPr>
              <w:spacing w:after="20" w:before="20"/>
            </w:pPr>
            <w:r>
              <w:t>More than 250</w:t>
            </w:r>
          </w:p>
        </w:tc>
        <w:tc>
          <w:tcPr>
            <w:tcW w:type="dxa" w:w="4896"/>
          </w:tcPr>
          <w:p>
            <w:pPr>
              <w:spacing w:after="20" w:before="20"/>
            </w:pPr>
            <w:r>
              <w:t>25</w:t>
            </w:r>
          </w:p>
        </w:tc>
      </w:tr>
    </w:tbl>
    <w:p>
      <w:r>
        <w:t>Sample sizes are internal nonstatistical guidance, not confidence or statistical assurance levels. Document selection methods and identify risk-based selections separately from random ones; a passing sample does not prove population-wide compliance.</w:t>
      </w:r>
    </w:p>
    <w:tbl>
      <w:tblPr>
        <w:tblStyle w:val="LightShading-Accent1"/>
        <w:tblW w:type="auto" w:w="0"/>
        <w:jc w:val="center"/>
        <w:tblLook w:firstColumn="1" w:firstRow="1" w:lastColumn="0" w:lastRow="0" w:noHBand="0" w:noVBand="1" w:val="04A0"/>
      </w:tblPr>
      <w:tblGrid>
        <w:gridCol w:w="4896"/>
        <w:gridCol w:w="4896"/>
      </w:tblGrid>
      <w:tr>
        <w:tc>
          <w:tcPr>
            <w:tcW w:type="dxa" w:w="4896"/>
          </w:tcPr>
          <w:p>
            <w:pPr>
              <w:spacing w:after="20" w:before="20"/>
            </w:pPr>
            <w:r>
              <w:t>Test conclusion</w:t>
            </w:r>
          </w:p>
        </w:tc>
        <w:tc>
          <w:tcPr>
            <w:tcW w:type="dxa" w:w="4896"/>
          </w:tcPr>
          <w:p>
            <w:pPr>
              <w:spacing w:after="20" w:before="20"/>
            </w:pPr>
            <w:r>
              <w:t>Interpretation</w:t>
            </w:r>
          </w:p>
        </w:tc>
      </w:tr>
      <w:tr>
        <w:tc>
          <w:tcPr>
            <w:tcW w:type="dxa" w:w="4896"/>
          </w:tcPr>
          <w:p>
            <w:pPr>
              <w:spacing w:after="20" w:before="20"/>
            </w:pPr>
            <w:r>
              <w:t>Pass</w:t>
            </w:r>
          </w:p>
        </w:tc>
        <w:tc>
          <w:tcPr>
            <w:tcW w:type="dxa" w:w="4896"/>
          </w:tcPr>
          <w:p>
            <w:pPr>
              <w:spacing w:after="20" w:before="20"/>
            </w:pPr>
            <w:r>
              <w:t>Evidence supports the tested requirement.</w:t>
            </w:r>
          </w:p>
        </w:tc>
      </w:tr>
      <w:tr>
        <w:tc>
          <w:tcPr>
            <w:tcW w:type="dxa" w:w="4896"/>
          </w:tcPr>
          <w:p>
            <w:pPr>
              <w:spacing w:after="20" w:before="20"/>
            </w:pPr>
            <w:r>
              <w:t>Fail</w:t>
            </w:r>
          </w:p>
        </w:tc>
        <w:tc>
          <w:tcPr>
            <w:tcW w:type="dxa" w:w="4896"/>
          </w:tcPr>
          <w:p>
            <w:pPr>
              <w:spacing w:after="20" w:before="20"/>
            </w:pPr>
            <w:r>
              <w:t>Evidence establishes the requirement was not satisfied.</w:t>
            </w:r>
          </w:p>
        </w:tc>
      </w:tr>
      <w:tr>
        <w:tc>
          <w:tcPr>
            <w:tcW w:type="dxa" w:w="4896"/>
          </w:tcPr>
          <w:p>
            <w:pPr>
              <w:spacing w:after="20" w:before="20"/>
            </w:pPr>
            <w:r>
              <w:t>Inconclusive</w:t>
            </w:r>
          </w:p>
        </w:tc>
        <w:tc>
          <w:tcPr>
            <w:tcW w:type="dxa" w:w="4896"/>
          </w:tcPr>
          <w:p>
            <w:pPr>
              <w:spacing w:after="20" w:before="20"/>
            </w:pPr>
            <w:r>
              <w:t>Evidence is insufficient to support a conclusion.</w:t>
            </w:r>
          </w:p>
        </w:tc>
      </w:tr>
      <w:tr>
        <w:tc>
          <w:tcPr>
            <w:tcW w:type="dxa" w:w="4896"/>
          </w:tcPr>
          <w:p>
            <w:pPr>
              <w:spacing w:after="20" w:before="20"/>
            </w:pPr>
            <w:r>
              <w:t>Not Tested</w:t>
            </w:r>
          </w:p>
        </w:tc>
        <w:tc>
          <w:tcPr>
            <w:tcW w:type="dxa" w:w="4896"/>
          </w:tcPr>
          <w:p>
            <w:pPr>
              <w:spacing w:after="20" w:before="20"/>
            </w:pPr>
            <w:r>
              <w:t>No testing procedure has been performed.</w:t>
            </w:r>
          </w:p>
        </w:tc>
      </w:tr>
    </w:tbl>
    <w:p>
      <w:r>
        <w:t>Each executed test records control ID, testing period, population, sample, method, tester, dates, evidence, observations, findings and limitations. Missing evidence never establishes compliance. DE and OE may have different conclusions.</w:t>
      </w:r>
    </w:p>
    <w:p>
      <w:pPr>
        <w:pStyle w:val="Heading1"/>
      </w:pPr>
      <w:r>
        <w:t>3. IAM Control Testing and Evidence Matrix</w:t>
      </w:r>
    </w:p>
    <w:p>
      <w:r>
        <w:t>Each test below is a proposed testing procedure; all DE and OE conclusions are Not Tested. Each test applies the Section 2 sampling standard, with risk-based selections separately identified.</w:t>
      </w:r>
    </w:p>
    <w:p>
      <w:pPr>
        <w:pStyle w:val="Heading2"/>
      </w:pPr>
      <w:r>
        <w:t>CT-001 — New-Hire Access Provisioning</w:t>
      </w:r>
    </w:p>
    <w:p>
      <w:r>
        <w:t>Risk mapping: IAM-004 applies to MFA only; onboarding approval risk lacks a dedicated register entry (proposed risk gap for future assessment)  |  DE: Not Tested  |  OE: Not Tested</w:t>
      </w:r>
    </w:p>
    <w:p>
      <w:r>
        <w:t>Objective: New hires are tied to HR records, access is approved, MFA enforced and activation does not precede authorized start.</w:t>
      </w:r>
    </w:p>
    <w:p>
      <w:r>
        <w:t>Design-effectiveness criteria: JML and access matrix: HR notice at least 3 business days before planned start; identity matching; Manager approval; Security approval for sensitive or privileged grants; MFA and authorized activation.</w:t>
      </w:r>
    </w:p>
    <w:tbl>
      <w:tblPr>
        <w:tblStyle w:val="LightShading-Accent1"/>
        <w:tblW w:type="auto" w:w="0"/>
        <w:jc w:val="center"/>
        <w:tblLook w:firstColumn="1" w:firstRow="1" w:lastColumn="0" w:lastRow="0" w:noHBand="0" w:noVBand="1" w:val="04A0"/>
      </w:tblPr>
      <w:tblGrid>
        <w:gridCol w:w="4896"/>
        <w:gridCol w:w="4896"/>
      </w:tblGrid>
      <w:tr>
        <w:tc>
          <w:tcPr>
            <w:tcW w:type="dxa" w:w="4896"/>
          </w:tcPr>
          <w:p>
            <w:pPr>
              <w:spacing w:after="20" w:before="20"/>
            </w:pPr>
            <w:r>
              <w:t>#</w:t>
            </w:r>
          </w:p>
        </w:tc>
        <w:tc>
          <w:tcPr>
            <w:tcW w:type="dxa" w:w="4896"/>
          </w:tcPr>
          <w:p>
            <w:pPr>
              <w:spacing w:after="20" w:before="20"/>
            </w:pPr>
            <w:r>
              <w:t>Operating-effectiveness evidence check</w:t>
            </w:r>
          </w:p>
        </w:tc>
      </w:tr>
      <w:tr>
        <w:tc>
          <w:tcPr>
            <w:tcW w:type="dxa" w:w="4896"/>
          </w:tcPr>
          <w:p>
            <w:pPr>
              <w:spacing w:after="20" w:before="20"/>
            </w:pPr>
            <w:r>
              <w:t>1</w:t>
            </w:r>
          </w:p>
        </w:tc>
        <w:tc>
          <w:tcPr>
            <w:tcW w:type="dxa" w:w="4896"/>
          </w:tcPr>
          <w:p>
            <w:pPr>
              <w:spacing w:after="20" w:before="20"/>
            </w:pPr>
            <w:r>
              <w:t>HR identity and authorized start record</w:t>
            </w:r>
          </w:p>
        </w:tc>
      </w:tr>
      <w:tr>
        <w:tc>
          <w:tcPr>
            <w:tcW w:type="dxa" w:w="4896"/>
          </w:tcPr>
          <w:p>
            <w:pPr>
              <w:spacing w:after="20" w:before="20"/>
            </w:pPr>
            <w:r>
              <w:t>2</w:t>
            </w:r>
          </w:p>
        </w:tc>
        <w:tc>
          <w:tcPr>
            <w:tcW w:type="dxa" w:w="4896"/>
          </w:tcPr>
          <w:p>
            <w:pPr>
              <w:spacing w:after="20" w:before="20"/>
            </w:pPr>
            <w:r>
              <w:t>HR notification timestamp</w:t>
            </w:r>
          </w:p>
        </w:tc>
      </w:tr>
      <w:tr>
        <w:tc>
          <w:tcPr>
            <w:tcW w:type="dxa" w:w="4896"/>
          </w:tcPr>
          <w:p>
            <w:pPr>
              <w:spacing w:after="20" w:before="20"/>
            </w:pPr>
            <w:r>
              <w:t>3</w:t>
            </w:r>
          </w:p>
        </w:tc>
        <w:tc>
          <w:tcPr>
            <w:tcW w:type="dxa" w:w="4896"/>
          </w:tcPr>
          <w:p>
            <w:pPr>
              <w:spacing w:after="20" w:before="20"/>
            </w:pPr>
            <w:r>
              <w:t>Access request and required approval history</w:t>
            </w:r>
          </w:p>
        </w:tc>
      </w:tr>
      <w:tr>
        <w:tc>
          <w:tcPr>
            <w:tcW w:type="dxa" w:w="4896"/>
          </w:tcPr>
          <w:p>
            <w:pPr>
              <w:spacing w:after="20" w:before="20"/>
            </w:pPr>
            <w:r>
              <w:t>4</w:t>
            </w:r>
          </w:p>
        </w:tc>
        <w:tc>
          <w:tcPr>
            <w:tcW w:type="dxa" w:w="4896"/>
          </w:tcPr>
          <w:p>
            <w:pPr>
              <w:spacing w:after="20" w:before="20"/>
            </w:pPr>
            <w:r>
              <w:t>Account creation and activation logs</w:t>
            </w:r>
          </w:p>
        </w:tc>
      </w:tr>
      <w:tr>
        <w:tc>
          <w:tcPr>
            <w:tcW w:type="dxa" w:w="4896"/>
          </w:tcPr>
          <w:p>
            <w:pPr>
              <w:spacing w:after="20" w:before="20"/>
            </w:pPr>
            <w:r>
              <w:t>5</w:t>
            </w:r>
          </w:p>
        </w:tc>
        <w:tc>
          <w:tcPr>
            <w:tcW w:type="dxa" w:w="4896"/>
          </w:tcPr>
          <w:p>
            <w:pPr>
              <w:spacing w:after="20" w:before="20"/>
            </w:pPr>
            <w:r>
              <w:t>MFA policy and enforcement evidence</w:t>
            </w:r>
          </w:p>
        </w:tc>
      </w:tr>
      <w:tr>
        <w:tc>
          <w:tcPr>
            <w:tcW w:type="dxa" w:w="4896"/>
          </w:tcPr>
          <w:p>
            <w:pPr>
              <w:spacing w:after="20" w:before="20"/>
            </w:pPr>
            <w:r>
              <w:t>6</w:t>
            </w:r>
          </w:p>
        </w:tc>
        <w:tc>
          <w:tcPr>
            <w:tcW w:type="dxa" w:w="4896"/>
          </w:tcPr>
          <w:p>
            <w:pPr>
              <w:spacing w:after="20" w:before="20"/>
            </w:pPr>
            <w:r>
              <w:t>Completed onboarding and verification notes</w:t>
            </w:r>
          </w:p>
        </w:tc>
      </w:tr>
    </w:tbl>
    <w:p>
      <w:r>
        <w:t>Sampling: Apply the approved nonstatistical method, record period/population/selected IDs/exclusions and identify additional risk-based items separately.</w:t>
      </w:r>
    </w:p>
    <w:p>
      <w:r>
        <w:t>Potential exceptions: Missing approvals, identity mismatches, premature activation or missing MFA. Late HR notice is documented separately.</w:t>
      </w:r>
    </w:p>
    <w:p>
      <w:r>
        <w:t>Conclusion: DE — Not Tested; OE — Not Tested. No live evidence has been examined.</w:t>
      </w:r>
    </w:p>
    <w:p>
      <w:pPr>
        <w:pStyle w:val="Heading2"/>
      </w:pPr>
      <w:r>
        <w:t>CT-002 — Employee Offboarding Access Removal</w:t>
      </w:r>
    </w:p>
    <w:p>
      <w:r>
        <w:t>Risk reference: IAM-001  |  DE: Not Tested  |  OE: Not Tested</w:t>
      </w:r>
    </w:p>
    <w:p>
      <w:r>
        <w:t>Objective: Access is disabled at authorized departure or immediately for urgent containment; applicable access is removed and verified.</w:t>
      </w:r>
    </w:p>
    <w:p>
      <w:r>
        <w:t>Design-effectiveness criteria: JML: at least 1 business day HR notice for planned departures; urgent immediate escalation; disable at departure; remove Entra ID, M365, cloud, remote and admin access; high-risk Security verification.</w:t>
      </w:r>
    </w:p>
    <w:tbl>
      <w:tblPr>
        <w:tblStyle w:val="LightShading-Accent1"/>
        <w:tblW w:type="auto" w:w="0"/>
        <w:jc w:val="center"/>
        <w:tblLook w:firstColumn="1" w:firstRow="1" w:lastColumn="0" w:lastRow="0" w:noHBand="0" w:noVBand="1" w:val="04A0"/>
      </w:tblPr>
      <w:tblGrid>
        <w:gridCol w:w="4896"/>
        <w:gridCol w:w="4896"/>
      </w:tblGrid>
      <w:tr>
        <w:tc>
          <w:tcPr>
            <w:tcW w:type="dxa" w:w="4896"/>
          </w:tcPr>
          <w:p>
            <w:pPr>
              <w:spacing w:after="20" w:before="20"/>
            </w:pPr>
            <w:r>
              <w:t>#</w:t>
            </w:r>
          </w:p>
        </w:tc>
        <w:tc>
          <w:tcPr>
            <w:tcW w:type="dxa" w:w="4896"/>
          </w:tcPr>
          <w:p>
            <w:pPr>
              <w:spacing w:after="20" w:before="20"/>
            </w:pPr>
            <w:r>
              <w:t>Operating-effectiveness evidence check</w:t>
            </w:r>
          </w:p>
        </w:tc>
      </w:tr>
      <w:tr>
        <w:tc>
          <w:tcPr>
            <w:tcW w:type="dxa" w:w="4896"/>
          </w:tcPr>
          <w:p>
            <w:pPr>
              <w:spacing w:after="20" w:before="20"/>
            </w:pPr>
            <w:r>
              <w:t>1</w:t>
            </w:r>
          </w:p>
        </w:tc>
        <w:tc>
          <w:tcPr>
            <w:tcW w:type="dxa" w:w="4896"/>
          </w:tcPr>
          <w:p>
            <w:pPr>
              <w:spacing w:after="20" w:before="20"/>
            </w:pPr>
            <w:r>
              <w:t>HR departure record and authorized time</w:t>
            </w:r>
          </w:p>
        </w:tc>
      </w:tr>
      <w:tr>
        <w:tc>
          <w:tcPr>
            <w:tcW w:type="dxa" w:w="4896"/>
          </w:tcPr>
          <w:p>
            <w:pPr>
              <w:spacing w:after="20" w:before="20"/>
            </w:pPr>
            <w:r>
              <w:t>2</w:t>
            </w:r>
          </w:p>
        </w:tc>
        <w:tc>
          <w:tcPr>
            <w:tcW w:type="dxa" w:w="4896"/>
          </w:tcPr>
          <w:p>
            <w:pPr>
              <w:spacing w:after="20" w:before="20"/>
            </w:pPr>
            <w:r>
              <w:t>HR-to-IT notice timestamp</w:t>
            </w:r>
          </w:p>
        </w:tc>
      </w:tr>
      <w:tr>
        <w:tc>
          <w:tcPr>
            <w:tcW w:type="dxa" w:w="4896"/>
          </w:tcPr>
          <w:p>
            <w:pPr>
              <w:spacing w:after="20" w:before="20"/>
            </w:pPr>
            <w:r>
              <w:t>3</w:t>
            </w:r>
          </w:p>
        </w:tc>
        <w:tc>
          <w:tcPr>
            <w:tcW w:type="dxa" w:w="4896"/>
          </w:tcPr>
          <w:p>
            <w:pPr>
              <w:spacing w:after="20" w:before="20"/>
            </w:pPr>
            <w:r>
              <w:t>Account disable timestamps</w:t>
            </w:r>
          </w:p>
        </w:tc>
      </w:tr>
      <w:tr>
        <w:tc>
          <w:tcPr>
            <w:tcW w:type="dxa" w:w="4896"/>
          </w:tcPr>
          <w:p>
            <w:pPr>
              <w:spacing w:after="20" w:before="20"/>
            </w:pPr>
            <w:r>
              <w:t>4</w:t>
            </w:r>
          </w:p>
        </w:tc>
        <w:tc>
          <w:tcPr>
            <w:tcW w:type="dxa" w:w="4896"/>
          </w:tcPr>
          <w:p>
            <w:pPr>
              <w:spacing w:after="20" w:before="20"/>
            </w:pPr>
            <w:r>
              <w:t>Applicable system access inventory and removal records</w:t>
            </w:r>
          </w:p>
        </w:tc>
      </w:tr>
      <w:tr>
        <w:tc>
          <w:tcPr>
            <w:tcW w:type="dxa" w:w="4896"/>
          </w:tcPr>
          <w:p>
            <w:pPr>
              <w:spacing w:after="20" w:before="20"/>
            </w:pPr>
            <w:r>
              <w:t>5</w:t>
            </w:r>
          </w:p>
        </w:tc>
        <w:tc>
          <w:tcPr>
            <w:tcW w:type="dxa" w:w="4896"/>
          </w:tcPr>
          <w:p>
            <w:pPr>
              <w:spacing w:after="20" w:before="20"/>
            </w:pPr>
            <w:r>
              <w:t>Admin, remote and session revocation evidence</w:t>
            </w:r>
          </w:p>
        </w:tc>
      </w:tr>
      <w:tr>
        <w:tc>
          <w:tcPr>
            <w:tcW w:type="dxa" w:w="4896"/>
          </w:tcPr>
          <w:p>
            <w:pPr>
              <w:spacing w:after="20" w:before="20"/>
            </w:pPr>
            <w:r>
              <w:t>6</w:t>
            </w:r>
          </w:p>
        </w:tc>
        <w:tc>
          <w:tcPr>
            <w:tcW w:type="dxa" w:w="4896"/>
          </w:tcPr>
          <w:p>
            <w:pPr>
              <w:spacing w:after="20" w:before="20"/>
            </w:pPr>
            <w:r>
              <w:t>Security verification for high-risk departures</w:t>
            </w:r>
          </w:p>
        </w:tc>
      </w:tr>
      <w:tr>
        <w:tc>
          <w:tcPr>
            <w:tcW w:type="dxa" w:w="4896"/>
          </w:tcPr>
          <w:p>
            <w:pPr>
              <w:spacing w:after="20" w:before="20"/>
            </w:pPr>
            <w:r>
              <w:t>7</w:t>
            </w:r>
          </w:p>
        </w:tc>
        <w:tc>
          <w:tcPr>
            <w:tcW w:type="dxa" w:w="4896"/>
          </w:tcPr>
          <w:p>
            <w:pPr>
              <w:spacing w:after="20" w:before="20"/>
            </w:pPr>
            <w:r>
              <w:t>Offboarding checklist and closure evidence</w:t>
            </w:r>
          </w:p>
        </w:tc>
      </w:tr>
    </w:tbl>
    <w:p>
      <w:r>
        <w:t>Sampling: Apply the approved nonstatistical method, record period/population/selected IDs/exclusions and identify additional risk-based items separately.</w:t>
      </w:r>
    </w:p>
    <w:p>
      <w:r>
        <w:t>Potential exceptions: Late disablement, residual access, absent verification or premature closure; late HR notice separately categorized.</w:t>
      </w:r>
    </w:p>
    <w:p>
      <w:r>
        <w:t>Conclusion: DE — Not Tested; OE — Not Tested. No live evidence has been examined.</w:t>
      </w:r>
    </w:p>
    <w:p>
      <w:pPr>
        <w:pStyle w:val="Heading2"/>
      </w:pPr>
      <w:r>
        <w:t>CT-003 — Role-Change Access Management</w:t>
      </w:r>
    </w:p>
    <w:p>
      <w:r>
        <w:t>Risk reference: IAM-002  |  DE: Not Tested  |  OE: Not Tested</w:t>
      </w:r>
    </w:p>
    <w:p>
      <w:r>
        <w:t>Objective: Authorize new role access and remove unnecessary old access at transfer effective time unless valid time-limited overlap approval applies.</w:t>
      </w:r>
    </w:p>
    <w:p>
      <w:r>
        <w:t>Design-effectiveness criteria: JML and access matrix: HR notice at least 3 business days; role match; Manager/Security approvals as applicable; old permission removal at transfer; overlap exceptions maximum 5 business days.</w:t>
      </w:r>
    </w:p>
    <w:tbl>
      <w:tblPr>
        <w:tblStyle w:val="LightShading-Accent1"/>
        <w:tblW w:type="auto" w:w="0"/>
        <w:jc w:val="center"/>
        <w:tblLook w:firstColumn="1" w:firstRow="1" w:lastColumn="0" w:lastRow="0" w:noHBand="0" w:noVBand="1" w:val="04A0"/>
      </w:tblPr>
      <w:tblGrid>
        <w:gridCol w:w="4896"/>
        <w:gridCol w:w="4896"/>
      </w:tblGrid>
      <w:tr>
        <w:tc>
          <w:tcPr>
            <w:tcW w:type="dxa" w:w="4896"/>
          </w:tcPr>
          <w:p>
            <w:pPr>
              <w:spacing w:after="20" w:before="20"/>
            </w:pPr>
            <w:r>
              <w:t>#</w:t>
            </w:r>
          </w:p>
        </w:tc>
        <w:tc>
          <w:tcPr>
            <w:tcW w:type="dxa" w:w="4896"/>
          </w:tcPr>
          <w:p>
            <w:pPr>
              <w:spacing w:after="20" w:before="20"/>
            </w:pPr>
            <w:r>
              <w:t>Operating-effectiveness evidence check</w:t>
            </w:r>
          </w:p>
        </w:tc>
      </w:tr>
      <w:tr>
        <w:tc>
          <w:tcPr>
            <w:tcW w:type="dxa" w:w="4896"/>
          </w:tcPr>
          <w:p>
            <w:pPr>
              <w:spacing w:after="20" w:before="20"/>
            </w:pPr>
            <w:r>
              <w:t>1</w:t>
            </w:r>
          </w:p>
        </w:tc>
        <w:tc>
          <w:tcPr>
            <w:tcW w:type="dxa" w:w="4896"/>
          </w:tcPr>
          <w:p>
            <w:pPr>
              <w:spacing w:after="20" w:before="20"/>
            </w:pPr>
            <w:r>
              <w:t>HR transfer record and effective time</w:t>
            </w:r>
          </w:p>
        </w:tc>
      </w:tr>
      <w:tr>
        <w:tc>
          <w:tcPr>
            <w:tcW w:type="dxa" w:w="4896"/>
          </w:tcPr>
          <w:p>
            <w:pPr>
              <w:spacing w:after="20" w:before="20"/>
            </w:pPr>
            <w:r>
              <w:t>2</w:t>
            </w:r>
          </w:p>
        </w:tc>
        <w:tc>
          <w:tcPr>
            <w:tcW w:type="dxa" w:w="4896"/>
          </w:tcPr>
          <w:p>
            <w:pPr>
              <w:spacing w:after="20" w:before="20"/>
            </w:pPr>
            <w:r>
              <w:t>HR-to-IT notification</w:t>
            </w:r>
          </w:p>
        </w:tc>
      </w:tr>
      <w:tr>
        <w:tc>
          <w:tcPr>
            <w:tcW w:type="dxa" w:w="4896"/>
          </w:tcPr>
          <w:p>
            <w:pPr>
              <w:spacing w:after="20" w:before="20"/>
            </w:pPr>
            <w:r>
              <w:t>3</w:t>
            </w:r>
          </w:p>
        </w:tc>
        <w:tc>
          <w:tcPr>
            <w:tcW w:type="dxa" w:w="4896"/>
          </w:tcPr>
          <w:p>
            <w:pPr>
              <w:spacing w:after="20" w:before="20"/>
            </w:pPr>
            <w:r>
              <w:t>New permission approvals</w:t>
            </w:r>
          </w:p>
        </w:tc>
      </w:tr>
      <w:tr>
        <w:tc>
          <w:tcPr>
            <w:tcW w:type="dxa" w:w="4896"/>
          </w:tcPr>
          <w:p>
            <w:pPr>
              <w:spacing w:after="20" w:before="20"/>
            </w:pPr>
            <w:r>
              <w:t>4</w:t>
            </w:r>
          </w:p>
        </w:tc>
        <w:tc>
          <w:tcPr>
            <w:tcW w:type="dxa" w:w="4896"/>
          </w:tcPr>
          <w:p>
            <w:pPr>
              <w:spacing w:after="20" w:before="20"/>
            </w:pPr>
            <w:r>
              <w:t>Before/after access listings</w:t>
            </w:r>
          </w:p>
        </w:tc>
      </w:tr>
      <w:tr>
        <w:tc>
          <w:tcPr>
            <w:tcW w:type="dxa" w:w="4896"/>
          </w:tcPr>
          <w:p>
            <w:pPr>
              <w:spacing w:after="20" w:before="20"/>
            </w:pPr>
            <w:r>
              <w:t>5</w:t>
            </w:r>
          </w:p>
        </w:tc>
        <w:tc>
          <w:tcPr>
            <w:tcW w:type="dxa" w:w="4896"/>
          </w:tcPr>
          <w:p>
            <w:pPr>
              <w:spacing w:after="20" w:before="20"/>
            </w:pPr>
            <w:r>
              <w:t>Old permission removal timestamps</w:t>
            </w:r>
          </w:p>
        </w:tc>
      </w:tr>
      <w:tr>
        <w:tc>
          <w:tcPr>
            <w:tcW w:type="dxa" w:w="4896"/>
          </w:tcPr>
          <w:p>
            <w:pPr>
              <w:spacing w:after="20" w:before="20"/>
            </w:pPr>
            <w:r>
              <w:t>6</w:t>
            </w:r>
          </w:p>
        </w:tc>
        <w:tc>
          <w:tcPr>
            <w:tcW w:type="dxa" w:w="4896"/>
          </w:tcPr>
          <w:p>
            <w:pPr>
              <w:spacing w:after="20" w:before="20"/>
            </w:pPr>
            <w:r>
              <w:t>Overlap justification, approvals, expiry and removal</w:t>
            </w:r>
          </w:p>
        </w:tc>
      </w:tr>
      <w:tr>
        <w:tc>
          <w:tcPr>
            <w:tcW w:type="dxa" w:w="4896"/>
          </w:tcPr>
          <w:p>
            <w:pPr>
              <w:spacing w:after="20" w:before="20"/>
            </w:pPr>
            <w:r>
              <w:t>7</w:t>
            </w:r>
          </w:p>
        </w:tc>
        <w:tc>
          <w:tcPr>
            <w:tcW w:type="dxa" w:w="4896"/>
          </w:tcPr>
          <w:p>
            <w:pPr>
              <w:spacing w:after="20" w:before="20"/>
            </w:pPr>
            <w:r>
              <w:t>IT verification and transfer closure</w:t>
            </w:r>
          </w:p>
        </w:tc>
      </w:tr>
    </w:tbl>
    <w:p>
      <w:r>
        <w:t>Sampling: Apply the approved nonstatistical method, record period/population/selected IDs/exclusions and identify additional risk-based items separately.</w:t>
      </w:r>
    </w:p>
    <w:p>
      <w:r>
        <w:t>Potential exceptions: Unapproved new access, unnecessary old access, expired overlap, or missing verification; late notification separately noted.</w:t>
      </w:r>
    </w:p>
    <w:p>
      <w:r>
        <w:t>Conclusion: DE — Not Tested; OE — Not Tested. No live evidence has been examined.</w:t>
      </w:r>
    </w:p>
    <w:p>
      <w:pPr>
        <w:pStyle w:val="Heading2"/>
      </w:pPr>
      <w:r>
        <w:t>CT-004 — Privileged Access Approval Compliance</w:t>
      </w:r>
    </w:p>
    <w:p>
      <w:r>
        <w:t>Risk reference: IAM-003  |  DE: Not Tested  |  OE: Not Tested</w:t>
      </w:r>
    </w:p>
    <w:p>
      <w:r>
        <w:t>Objective: Privileged grants require correct preapproval, appropriate roles, MFA and auditable evidence.</w:t>
      </w:r>
    </w:p>
    <w:p>
      <w:r>
        <w:t>Design-effectiveness criteria: Manager and Security approve standard privileged grants in advance; designated Security incident lead authorizes emergency grants; max 4 hours per emergency approval, fresh approval for extensions, logging and monthly review.</w:t>
      </w:r>
    </w:p>
    <w:tbl>
      <w:tblPr>
        <w:tblStyle w:val="LightShading-Accent1"/>
        <w:tblW w:type="auto" w:w="0"/>
        <w:jc w:val="center"/>
        <w:tblLook w:firstColumn="1" w:firstRow="1" w:lastColumn="0" w:lastRow="0" w:noHBand="0" w:noVBand="1" w:val="04A0"/>
      </w:tblPr>
      <w:tblGrid>
        <w:gridCol w:w="4896"/>
        <w:gridCol w:w="4896"/>
      </w:tblGrid>
      <w:tr>
        <w:tc>
          <w:tcPr>
            <w:tcW w:type="dxa" w:w="4896"/>
          </w:tcPr>
          <w:p>
            <w:pPr>
              <w:spacing w:after="20" w:before="20"/>
            </w:pPr>
            <w:r>
              <w:t>#</w:t>
            </w:r>
          </w:p>
        </w:tc>
        <w:tc>
          <w:tcPr>
            <w:tcW w:type="dxa" w:w="4896"/>
          </w:tcPr>
          <w:p>
            <w:pPr>
              <w:spacing w:after="20" w:before="20"/>
            </w:pPr>
            <w:r>
              <w:t>Operating-effectiveness evidence check</w:t>
            </w:r>
          </w:p>
        </w:tc>
      </w:tr>
      <w:tr>
        <w:tc>
          <w:tcPr>
            <w:tcW w:type="dxa" w:w="4896"/>
          </w:tcPr>
          <w:p>
            <w:pPr>
              <w:spacing w:after="20" w:before="20"/>
            </w:pPr>
            <w:r>
              <w:t>1</w:t>
            </w:r>
          </w:p>
        </w:tc>
        <w:tc>
          <w:tcPr>
            <w:tcW w:type="dxa" w:w="4896"/>
          </w:tcPr>
          <w:p>
            <w:pPr>
              <w:spacing w:after="20" w:before="20"/>
            </w:pPr>
            <w:r>
              <w:t>Privileged grant listing</w:t>
            </w:r>
          </w:p>
        </w:tc>
      </w:tr>
      <w:tr>
        <w:tc>
          <w:tcPr>
            <w:tcW w:type="dxa" w:w="4896"/>
          </w:tcPr>
          <w:p>
            <w:pPr>
              <w:spacing w:after="20" w:before="20"/>
            </w:pPr>
            <w:r>
              <w:t>2</w:t>
            </w:r>
          </w:p>
        </w:tc>
        <w:tc>
          <w:tcPr>
            <w:tcW w:type="dxa" w:w="4896"/>
          </w:tcPr>
          <w:p>
            <w:pPr>
              <w:spacing w:after="20" w:before="20"/>
            </w:pPr>
            <w:r>
              <w:t>Request or emergency authorization</w:t>
            </w:r>
          </w:p>
        </w:tc>
      </w:tr>
      <w:tr>
        <w:tc>
          <w:tcPr>
            <w:tcW w:type="dxa" w:w="4896"/>
          </w:tcPr>
          <w:p>
            <w:pPr>
              <w:spacing w:after="20" w:before="20"/>
            </w:pPr>
            <w:r>
              <w:t>3</w:t>
            </w:r>
          </w:p>
        </w:tc>
        <w:tc>
          <w:tcPr>
            <w:tcW w:type="dxa" w:w="4896"/>
          </w:tcPr>
          <w:p>
            <w:pPr>
              <w:spacing w:after="20" w:before="20"/>
            </w:pPr>
            <w:r>
              <w:t>Timestamped required approvals</w:t>
            </w:r>
          </w:p>
        </w:tc>
      </w:tr>
      <w:tr>
        <w:tc>
          <w:tcPr>
            <w:tcW w:type="dxa" w:w="4896"/>
          </w:tcPr>
          <w:p>
            <w:pPr>
              <w:spacing w:after="20" w:before="20"/>
            </w:pPr>
            <w:r>
              <w:t>4</w:t>
            </w:r>
          </w:p>
        </w:tc>
        <w:tc>
          <w:tcPr>
            <w:tcW w:type="dxa" w:w="4896"/>
          </w:tcPr>
          <w:p>
            <w:pPr>
              <w:spacing w:after="20" w:before="20"/>
            </w:pPr>
            <w:r>
              <w:t>Approval versus provisioning timestamps</w:t>
            </w:r>
          </w:p>
        </w:tc>
      </w:tr>
      <w:tr>
        <w:tc>
          <w:tcPr>
            <w:tcW w:type="dxa" w:w="4896"/>
          </w:tcPr>
          <w:p>
            <w:pPr>
              <w:spacing w:after="20" w:before="20"/>
            </w:pPr>
            <w:r>
              <w:t>5</w:t>
            </w:r>
          </w:p>
        </w:tc>
        <w:tc>
          <w:tcPr>
            <w:tcW w:type="dxa" w:w="4896"/>
          </w:tcPr>
          <w:p>
            <w:pPr>
              <w:spacing w:after="20" w:before="20"/>
            </w:pPr>
            <w:r>
              <w:t>Granted role and account configuration</w:t>
            </w:r>
          </w:p>
        </w:tc>
      </w:tr>
      <w:tr>
        <w:tc>
          <w:tcPr>
            <w:tcW w:type="dxa" w:w="4896"/>
          </w:tcPr>
          <w:p>
            <w:pPr>
              <w:spacing w:after="20" w:before="20"/>
            </w:pPr>
            <w:r>
              <w:t>6</w:t>
            </w:r>
          </w:p>
        </w:tc>
        <w:tc>
          <w:tcPr>
            <w:tcW w:type="dxa" w:w="4896"/>
          </w:tcPr>
          <w:p>
            <w:pPr>
              <w:spacing w:after="20" w:before="20"/>
            </w:pPr>
            <w:r>
              <w:t>MFA and logging evidence</w:t>
            </w:r>
          </w:p>
        </w:tc>
      </w:tr>
      <w:tr>
        <w:tc>
          <w:tcPr>
            <w:tcW w:type="dxa" w:w="4896"/>
          </w:tcPr>
          <w:p>
            <w:pPr>
              <w:spacing w:after="20" w:before="20"/>
            </w:pPr>
            <w:r>
              <w:t>7</w:t>
            </w:r>
          </w:p>
        </w:tc>
        <w:tc>
          <w:tcPr>
            <w:tcW w:type="dxa" w:w="4896"/>
          </w:tcPr>
          <w:p>
            <w:pPr>
              <w:spacing w:after="20" w:before="20"/>
            </w:pPr>
            <w:r>
              <w:t>Emergency expiry, alerts and retrospective review where applicable</w:t>
            </w:r>
          </w:p>
        </w:tc>
      </w:tr>
    </w:tbl>
    <w:p>
      <w:r>
        <w:t>Sampling: Apply the approved nonstatistical method, record period/population/selected IDs/exclusions and identify additional risk-based items separately.</w:t>
      </w:r>
    </w:p>
    <w:p>
      <w:r>
        <w:t>Potential exceptions: Absent or post-provisioning approval, excessive roles, missing MFA/logging, expired emergency access.</w:t>
      </w:r>
    </w:p>
    <w:p>
      <w:r>
        <w:t>Conclusion: DE — Not Tested; OE — Not Tested. No live evidence has been examined.</w:t>
      </w:r>
    </w:p>
    <w:p>
      <w:pPr>
        <w:pStyle w:val="Heading2"/>
      </w:pPr>
      <w:r>
        <w:t>CT-005 — MFA Enforcement</w:t>
      </w:r>
    </w:p>
    <w:p>
      <w:r>
        <w:t>Risk reference: IAM-004  |  DE: Not Tested  |  OE: Not Tested</w:t>
      </w:r>
    </w:p>
    <w:p>
      <w:r>
        <w:t>Objective: Verify MFA enforced for in-scope employee and privileged access before protected application use.</w:t>
      </w:r>
    </w:p>
    <w:p>
      <w:r>
        <w:t>Design-effectiveness criteria: Review mandatory MFA requirements, onboarding checks, admin MFA, documented exceptions and escalation of unauthorized bypass. Registration of an MFA method alone is not enforcement.</w:t>
      </w:r>
    </w:p>
    <w:tbl>
      <w:tblPr>
        <w:tblStyle w:val="LightShading-Accent1"/>
        <w:tblW w:type="auto" w:w="0"/>
        <w:jc w:val="center"/>
        <w:tblLook w:firstColumn="1" w:firstRow="1" w:lastColumn="0" w:lastRow="0" w:noHBand="0" w:noVBand="1" w:val="04A0"/>
      </w:tblPr>
      <w:tblGrid>
        <w:gridCol w:w="4896"/>
        <w:gridCol w:w="4896"/>
      </w:tblGrid>
      <w:tr>
        <w:tc>
          <w:tcPr>
            <w:tcW w:type="dxa" w:w="4896"/>
          </w:tcPr>
          <w:p>
            <w:pPr>
              <w:spacing w:after="20" w:before="20"/>
            </w:pPr>
            <w:r>
              <w:t>#</w:t>
            </w:r>
          </w:p>
        </w:tc>
        <w:tc>
          <w:tcPr>
            <w:tcW w:type="dxa" w:w="4896"/>
          </w:tcPr>
          <w:p>
            <w:pPr>
              <w:spacing w:after="20" w:before="20"/>
            </w:pPr>
            <w:r>
              <w:t>Operating-effectiveness evidence check</w:t>
            </w:r>
          </w:p>
        </w:tc>
      </w:tr>
      <w:tr>
        <w:tc>
          <w:tcPr>
            <w:tcW w:type="dxa" w:w="4896"/>
          </w:tcPr>
          <w:p>
            <w:pPr>
              <w:spacing w:after="20" w:before="20"/>
            </w:pPr>
            <w:r>
              <w:t>1</w:t>
            </w:r>
          </w:p>
        </w:tc>
        <w:tc>
          <w:tcPr>
            <w:tcW w:type="dxa" w:w="4896"/>
          </w:tcPr>
          <w:p>
            <w:pPr>
              <w:spacing w:after="20" w:before="20"/>
            </w:pPr>
            <w:r>
              <w:t>Account and protected application population</w:t>
            </w:r>
          </w:p>
        </w:tc>
      </w:tr>
      <w:tr>
        <w:tc>
          <w:tcPr>
            <w:tcW w:type="dxa" w:w="4896"/>
          </w:tcPr>
          <w:p>
            <w:pPr>
              <w:spacing w:after="20" w:before="20"/>
            </w:pPr>
            <w:r>
              <w:t>2</w:t>
            </w:r>
          </w:p>
        </w:tc>
        <w:tc>
          <w:tcPr>
            <w:tcW w:type="dxa" w:w="4896"/>
          </w:tcPr>
          <w:p>
            <w:pPr>
              <w:spacing w:after="20" w:before="20"/>
            </w:pPr>
            <w:r>
              <w:t>Enforcement policy configuration</w:t>
            </w:r>
          </w:p>
        </w:tc>
      </w:tr>
      <w:tr>
        <w:tc>
          <w:tcPr>
            <w:tcW w:type="dxa" w:w="4896"/>
          </w:tcPr>
          <w:p>
            <w:pPr>
              <w:spacing w:after="20" w:before="20"/>
            </w:pPr>
            <w:r>
              <w:t>3</w:t>
            </w:r>
          </w:p>
        </w:tc>
        <w:tc>
          <w:tcPr>
            <w:tcW w:type="dxa" w:w="4896"/>
          </w:tcPr>
          <w:p>
            <w:pPr>
              <w:spacing w:after="20" w:before="20"/>
            </w:pPr>
            <w:r>
              <w:t>Sign-in or policy-evaluation evidence</w:t>
            </w:r>
          </w:p>
        </w:tc>
      </w:tr>
      <w:tr>
        <w:tc>
          <w:tcPr>
            <w:tcW w:type="dxa" w:w="4896"/>
          </w:tcPr>
          <w:p>
            <w:pPr>
              <w:spacing w:after="20" w:before="20"/>
            </w:pPr>
            <w:r>
              <w:t>4</w:t>
            </w:r>
          </w:p>
        </w:tc>
        <w:tc>
          <w:tcPr>
            <w:tcW w:type="dxa" w:w="4896"/>
          </w:tcPr>
          <w:p>
            <w:pPr>
              <w:spacing w:after="20" w:before="20"/>
            </w:pPr>
            <w:r>
              <w:t>Privileged role and MFA records</w:t>
            </w:r>
          </w:p>
        </w:tc>
      </w:tr>
      <w:tr>
        <w:tc>
          <w:tcPr>
            <w:tcW w:type="dxa" w:w="4896"/>
          </w:tcPr>
          <w:p>
            <w:pPr>
              <w:spacing w:after="20" w:before="20"/>
            </w:pPr>
            <w:r>
              <w:t>5</w:t>
            </w:r>
          </w:p>
        </w:tc>
        <w:tc>
          <w:tcPr>
            <w:tcW w:type="dxa" w:w="4896"/>
          </w:tcPr>
          <w:p>
            <w:pPr>
              <w:spacing w:after="20" w:before="20"/>
            </w:pPr>
            <w:r>
              <w:t>Onboarding MFA verification</w:t>
            </w:r>
          </w:p>
        </w:tc>
      </w:tr>
      <w:tr>
        <w:tc>
          <w:tcPr>
            <w:tcW w:type="dxa" w:w="4896"/>
          </w:tcPr>
          <w:p>
            <w:pPr>
              <w:spacing w:after="20" w:before="20"/>
            </w:pPr>
            <w:r>
              <w:t>6</w:t>
            </w:r>
          </w:p>
        </w:tc>
        <w:tc>
          <w:tcPr>
            <w:tcW w:type="dxa" w:w="4896"/>
          </w:tcPr>
          <w:p>
            <w:pPr>
              <w:spacing w:after="20" w:before="20"/>
            </w:pPr>
            <w:r>
              <w:t>Exception authorization, safeguards and expiry</w:t>
            </w:r>
          </w:p>
        </w:tc>
      </w:tr>
      <w:tr>
        <w:tc>
          <w:tcPr>
            <w:tcW w:type="dxa" w:w="4896"/>
          </w:tcPr>
          <w:p>
            <w:pPr>
              <w:spacing w:after="20" w:before="20"/>
            </w:pPr>
            <w:r>
              <w:t>7</w:t>
            </w:r>
          </w:p>
        </w:tc>
        <w:tc>
          <w:tcPr>
            <w:tcW w:type="dxa" w:w="4896"/>
          </w:tcPr>
          <w:p>
            <w:pPr>
              <w:spacing w:after="20" w:before="20"/>
            </w:pPr>
            <w:r>
              <w:t>Sample-level results and evidence references</w:t>
            </w:r>
          </w:p>
        </w:tc>
      </w:tr>
    </w:tbl>
    <w:p>
      <w:r>
        <w:t>Sampling: Apply the approved nonstatistical method, record period/population/selected IDs/exclusions and identify additional risk-based items separately.</w:t>
      </w:r>
    </w:p>
    <w:p>
      <w:r>
        <w:t>Potential exceptions: Policy exclusions, unenforced MFA, unapproved/expired exceptions or missing enforcement evidence.</w:t>
      </w:r>
    </w:p>
    <w:p>
      <w:r>
        <w:t>Conclusion: DE — Not Tested; OE — Not Tested. No live evidence has been examined.</w:t>
      </w:r>
    </w:p>
    <w:p>
      <w:pPr>
        <w:pStyle w:val="Heading2"/>
      </w:pPr>
      <w:r>
        <w:t>CT-006 — Access Review and Certification</w:t>
      </w:r>
    </w:p>
    <w:p>
      <w:r>
        <w:t>Risk reference: IAM-005  |  DE: Not Tested  |  OE: Not Tested</w:t>
      </w:r>
    </w:p>
    <w:p>
      <w:r>
        <w:t>Objective: Verify timely certification, documented decisions, and verified revocation before review closure.</w:t>
      </w:r>
    </w:p>
    <w:p>
      <w:r>
        <w:t>Design-effectiveness criteria: Quarterly standard reviews within 15 calendar days; monthly privileged within 5 business days; Retain/Revoke/Investigate with resolution; standard revocation 3 business days, privileged 1; seven-point closure.</w:t>
      </w:r>
    </w:p>
    <w:tbl>
      <w:tblPr>
        <w:tblStyle w:val="LightShading-Accent1"/>
        <w:tblW w:type="auto" w:w="0"/>
        <w:jc w:val="center"/>
        <w:tblLook w:firstColumn="1" w:firstRow="1" w:lastColumn="0" w:lastRow="0" w:noHBand="0" w:noVBand="1" w:val="04A0"/>
      </w:tblPr>
      <w:tblGrid>
        <w:gridCol w:w="4896"/>
        <w:gridCol w:w="4896"/>
      </w:tblGrid>
      <w:tr>
        <w:tc>
          <w:tcPr>
            <w:tcW w:type="dxa" w:w="4896"/>
          </w:tcPr>
          <w:p>
            <w:pPr>
              <w:spacing w:after="20" w:before="20"/>
            </w:pPr>
            <w:r>
              <w:t>#</w:t>
            </w:r>
          </w:p>
        </w:tc>
        <w:tc>
          <w:tcPr>
            <w:tcW w:type="dxa" w:w="4896"/>
          </w:tcPr>
          <w:p>
            <w:pPr>
              <w:spacing w:after="20" w:before="20"/>
            </w:pPr>
            <w:r>
              <w:t>Operating-effectiveness evidence check</w:t>
            </w:r>
          </w:p>
        </w:tc>
      </w:tr>
      <w:tr>
        <w:tc>
          <w:tcPr>
            <w:tcW w:type="dxa" w:w="4896"/>
          </w:tcPr>
          <w:p>
            <w:pPr>
              <w:spacing w:after="20" w:before="20"/>
            </w:pPr>
            <w:r>
              <w:t>1</w:t>
            </w:r>
          </w:p>
        </w:tc>
        <w:tc>
          <w:tcPr>
            <w:tcW w:type="dxa" w:w="4896"/>
          </w:tcPr>
          <w:p>
            <w:pPr>
              <w:spacing w:after="20" w:before="20"/>
            </w:pPr>
            <w:r>
              <w:t>Review schedule, launch and due dates</w:t>
            </w:r>
          </w:p>
        </w:tc>
      </w:tr>
      <w:tr>
        <w:tc>
          <w:tcPr>
            <w:tcW w:type="dxa" w:w="4896"/>
          </w:tcPr>
          <w:p>
            <w:pPr>
              <w:spacing w:after="20" w:before="20"/>
            </w:pPr>
            <w:r>
              <w:t>2</w:t>
            </w:r>
          </w:p>
        </w:tc>
        <w:tc>
          <w:tcPr>
            <w:tcW w:type="dxa" w:w="4896"/>
          </w:tcPr>
          <w:p>
            <w:pPr>
              <w:spacing w:after="20" w:before="20"/>
            </w:pPr>
            <w:r>
              <w:t>Access population completeness</w:t>
            </w:r>
          </w:p>
        </w:tc>
      </w:tr>
      <w:tr>
        <w:tc>
          <w:tcPr>
            <w:tcW w:type="dxa" w:w="4896"/>
          </w:tcPr>
          <w:p>
            <w:pPr>
              <w:spacing w:after="20" w:before="20"/>
            </w:pPr>
            <w:r>
              <w:t>3</w:t>
            </w:r>
          </w:p>
        </w:tc>
        <w:tc>
          <w:tcPr>
            <w:tcW w:type="dxa" w:w="4896"/>
          </w:tcPr>
          <w:p>
            <w:pPr>
              <w:spacing w:after="20" w:before="20"/>
            </w:pPr>
            <w:r>
              <w:t>Authorized reviewer assignment</w:t>
            </w:r>
          </w:p>
        </w:tc>
      </w:tr>
      <w:tr>
        <w:tc>
          <w:tcPr>
            <w:tcW w:type="dxa" w:w="4896"/>
          </w:tcPr>
          <w:p>
            <w:pPr>
              <w:spacing w:after="20" w:before="20"/>
            </w:pPr>
            <w:r>
              <w:t>4</w:t>
            </w:r>
          </w:p>
        </w:tc>
        <w:tc>
          <w:tcPr>
            <w:tcW w:type="dxa" w:w="4896"/>
          </w:tcPr>
          <w:p>
            <w:pPr>
              <w:spacing w:after="20" w:before="20"/>
            </w:pPr>
            <w:r>
              <w:t>Certification decision timestamps</w:t>
            </w:r>
          </w:p>
        </w:tc>
      </w:tr>
      <w:tr>
        <w:tc>
          <w:tcPr>
            <w:tcW w:type="dxa" w:w="4896"/>
          </w:tcPr>
          <w:p>
            <w:pPr>
              <w:spacing w:after="20" w:before="20"/>
            </w:pPr>
            <w:r>
              <w:t>5</w:t>
            </w:r>
          </w:p>
        </w:tc>
        <w:tc>
          <w:tcPr>
            <w:tcW w:type="dxa" w:w="4896"/>
          </w:tcPr>
          <w:p>
            <w:pPr>
              <w:spacing w:after="20" w:before="20"/>
            </w:pPr>
            <w:r>
              <w:t>Decisions, justifications and investigation resolution</w:t>
            </w:r>
          </w:p>
        </w:tc>
      </w:tr>
      <w:tr>
        <w:tc>
          <w:tcPr>
            <w:tcW w:type="dxa" w:w="4896"/>
          </w:tcPr>
          <w:p>
            <w:pPr>
              <w:spacing w:after="20" w:before="20"/>
            </w:pPr>
            <w:r>
              <w:t>6</w:t>
            </w:r>
          </w:p>
        </w:tc>
        <w:tc>
          <w:tcPr>
            <w:tcW w:type="dxa" w:w="4896"/>
          </w:tcPr>
          <w:p>
            <w:pPr>
              <w:spacing w:after="20" w:before="20"/>
            </w:pPr>
            <w:r>
              <w:t>Removal logs and verified remediation</w:t>
            </w:r>
          </w:p>
        </w:tc>
      </w:tr>
      <w:tr>
        <w:tc>
          <w:tcPr>
            <w:tcW w:type="dxa" w:w="4896"/>
          </w:tcPr>
          <w:p>
            <w:pPr>
              <w:spacing w:after="20" w:before="20"/>
            </w:pPr>
            <w:r>
              <w:t>7</w:t>
            </w:r>
          </w:p>
        </w:tc>
        <w:tc>
          <w:tcPr>
            <w:tcW w:type="dxa" w:w="4896"/>
          </w:tcPr>
          <w:p>
            <w:pPr>
              <w:spacing w:after="20" w:before="20"/>
            </w:pPr>
            <w:r>
              <w:t>Escalation, exceptions and closure checklist</w:t>
            </w:r>
          </w:p>
        </w:tc>
      </w:tr>
    </w:tbl>
    <w:p>
      <w:r>
        <w:t>Sampling: Apply the approved nonstatistical method, record period/population/selected IDs/exclusions and identify additional risk-based items separately.</w:t>
      </w:r>
    </w:p>
    <w:p>
      <w:r>
        <w:t>Potential exceptions: Late or missing decisions, unauthorized reviewers, unresolved investigations, unverified removal or premature review closure.</w:t>
      </w:r>
    </w:p>
    <w:p>
      <w:r>
        <w:t>Conclusion: DE — Not Tested; OE — Not Tested. No live evidence has been examined.</w:t>
      </w:r>
    </w:p>
    <w:p>
      <w:pPr>
        <w:pStyle w:val="Heading2"/>
      </w:pPr>
      <w:r>
        <w:t>CT-007 — Emergency Privileged Access</w:t>
      </w:r>
    </w:p>
    <w:p>
      <w:r>
        <w:t>Risk reference: IAM-006  |  DE: Not Tested  |  OE: Not Tested</w:t>
      </w:r>
    </w:p>
    <w:p>
      <w:r>
        <w:t>Objective: Emergency elevation is authorized, time-limited, monitored, revoked and reviewed after use.</w:t>
      </w:r>
    </w:p>
    <w:p>
      <w:r>
        <w:t>Design-effectiveness criteria: Security incident lead prior approval; documented purpose/scope; no more than 4 hours per authorization; new approval to extend; logging, Security activation alert, revocation and review within 1 business day.</w:t>
      </w:r>
    </w:p>
    <w:tbl>
      <w:tblPr>
        <w:tblStyle w:val="LightShading-Accent1"/>
        <w:tblW w:type="auto" w:w="0"/>
        <w:jc w:val="center"/>
        <w:tblLook w:firstColumn="1" w:firstRow="1" w:lastColumn="0" w:lastRow="0" w:noHBand="0" w:noVBand="1" w:val="04A0"/>
      </w:tblPr>
      <w:tblGrid>
        <w:gridCol w:w="4896"/>
        <w:gridCol w:w="4896"/>
      </w:tblGrid>
      <w:tr>
        <w:tc>
          <w:tcPr>
            <w:tcW w:type="dxa" w:w="4896"/>
          </w:tcPr>
          <w:p>
            <w:pPr>
              <w:spacing w:after="20" w:before="20"/>
            </w:pPr>
            <w:r>
              <w:t>#</w:t>
            </w:r>
          </w:p>
        </w:tc>
        <w:tc>
          <w:tcPr>
            <w:tcW w:type="dxa" w:w="4896"/>
          </w:tcPr>
          <w:p>
            <w:pPr>
              <w:spacing w:after="20" w:before="20"/>
            </w:pPr>
            <w:r>
              <w:t>Operating-effectiveness evidence check</w:t>
            </w:r>
          </w:p>
        </w:tc>
      </w:tr>
      <w:tr>
        <w:tc>
          <w:tcPr>
            <w:tcW w:type="dxa" w:w="4896"/>
          </w:tcPr>
          <w:p>
            <w:pPr>
              <w:spacing w:after="20" w:before="20"/>
            </w:pPr>
            <w:r>
              <w:t>1</w:t>
            </w:r>
          </w:p>
        </w:tc>
        <w:tc>
          <w:tcPr>
            <w:tcW w:type="dxa" w:w="4896"/>
          </w:tcPr>
          <w:p>
            <w:pPr>
              <w:spacing w:after="20" w:before="20"/>
            </w:pPr>
            <w:r>
              <w:t>Emergency activation population</w:t>
            </w:r>
          </w:p>
        </w:tc>
      </w:tr>
      <w:tr>
        <w:tc>
          <w:tcPr>
            <w:tcW w:type="dxa" w:w="4896"/>
          </w:tcPr>
          <w:p>
            <w:pPr>
              <w:spacing w:after="20" w:before="20"/>
            </w:pPr>
            <w:r>
              <w:t>2</w:t>
            </w:r>
          </w:p>
        </w:tc>
        <w:tc>
          <w:tcPr>
            <w:tcW w:type="dxa" w:w="4896"/>
          </w:tcPr>
          <w:p>
            <w:pPr>
              <w:spacing w:after="20" w:before="20"/>
            </w:pPr>
            <w:r>
              <w:t>Incident lead approval and timestamp</w:t>
            </w:r>
          </w:p>
        </w:tc>
      </w:tr>
      <w:tr>
        <w:tc>
          <w:tcPr>
            <w:tcW w:type="dxa" w:w="4896"/>
          </w:tcPr>
          <w:p>
            <w:pPr>
              <w:spacing w:after="20" w:before="20"/>
            </w:pPr>
            <w:r>
              <w:t>3</w:t>
            </w:r>
          </w:p>
        </w:tc>
        <w:tc>
          <w:tcPr>
            <w:tcW w:type="dxa" w:w="4896"/>
          </w:tcPr>
          <w:p>
            <w:pPr>
              <w:spacing w:after="20" w:before="20"/>
            </w:pPr>
            <w:r>
              <w:t>Emergency ticket, reason and scope</w:t>
            </w:r>
          </w:p>
        </w:tc>
      </w:tr>
      <w:tr>
        <w:tc>
          <w:tcPr>
            <w:tcW w:type="dxa" w:w="4896"/>
          </w:tcPr>
          <w:p>
            <w:pPr>
              <w:spacing w:after="20" w:before="20"/>
            </w:pPr>
            <w:r>
              <w:t>4</w:t>
            </w:r>
          </w:p>
        </w:tc>
        <w:tc>
          <w:tcPr>
            <w:tcW w:type="dxa" w:w="4896"/>
          </w:tcPr>
          <w:p>
            <w:pPr>
              <w:spacing w:after="20" w:before="20"/>
            </w:pPr>
            <w:r>
              <w:t>Activation/expiry and extension timestamps</w:t>
            </w:r>
          </w:p>
        </w:tc>
      </w:tr>
      <w:tr>
        <w:tc>
          <w:tcPr>
            <w:tcW w:type="dxa" w:w="4896"/>
          </w:tcPr>
          <w:p>
            <w:pPr>
              <w:spacing w:after="20" w:before="20"/>
            </w:pPr>
            <w:r>
              <w:t>5</w:t>
            </w:r>
          </w:p>
        </w:tc>
        <w:tc>
          <w:tcPr>
            <w:tcW w:type="dxa" w:w="4896"/>
          </w:tcPr>
          <w:p>
            <w:pPr>
              <w:spacing w:after="20" w:before="20"/>
            </w:pPr>
            <w:r>
              <w:t>Audit logs and Security activation alerts</w:t>
            </w:r>
          </w:p>
        </w:tc>
      </w:tr>
      <w:tr>
        <w:tc>
          <w:tcPr>
            <w:tcW w:type="dxa" w:w="4896"/>
          </w:tcPr>
          <w:p>
            <w:pPr>
              <w:spacing w:after="20" w:before="20"/>
            </w:pPr>
            <w:r>
              <w:t>6</w:t>
            </w:r>
          </w:p>
        </w:tc>
        <w:tc>
          <w:tcPr>
            <w:tcW w:type="dxa" w:w="4896"/>
          </w:tcPr>
          <w:p>
            <w:pPr>
              <w:spacing w:after="20" w:before="20"/>
            </w:pPr>
            <w:r>
              <w:t>Revocation timestamps and verification</w:t>
            </w:r>
          </w:p>
        </w:tc>
      </w:tr>
      <w:tr>
        <w:tc>
          <w:tcPr>
            <w:tcW w:type="dxa" w:w="4896"/>
          </w:tcPr>
          <w:p>
            <w:pPr>
              <w:spacing w:after="20" w:before="20"/>
            </w:pPr>
            <w:r>
              <w:t>7</w:t>
            </w:r>
          </w:p>
        </w:tc>
        <w:tc>
          <w:tcPr>
            <w:tcW w:type="dxa" w:w="4896"/>
          </w:tcPr>
          <w:p>
            <w:pPr>
              <w:spacing w:after="20" w:before="20"/>
            </w:pPr>
            <w:r>
              <w:t>Retrospective Security review within 1 business day</w:t>
            </w:r>
          </w:p>
        </w:tc>
      </w:tr>
    </w:tbl>
    <w:p>
      <w:r>
        <w:t>Sampling: Apply the approved nonstatistical method, record period/population/selected IDs/exclusions and identify additional risk-based items separately.</w:t>
      </w:r>
    </w:p>
    <w:p>
      <w:r>
        <w:t>Potential exceptions: Unapproved access, overlong grants, missing renewal, logging, revocation or timely review.</w:t>
      </w:r>
    </w:p>
    <w:p>
      <w:r>
        <w:t>Conclusion: DE — Not Tested; OE — Not Tested. No live evidence has been examined.</w:t>
      </w:r>
    </w:p>
    <w:p>
      <w:pPr>
        <w:pStyle w:val="Heading1"/>
      </w:pPr>
      <w:r>
        <w:t>4. Test Exceptions and Corrective Actions</w:t>
      </w:r>
    </w:p>
    <w:p>
      <w:r>
        <w:t>A substantiated control deviation is recorded as a testing exception. Missing or inadequate evidence is separately recorded as an evidence deficiency, potentially yielding an Inconclusive conclusion rather than automatically Pass or Fail.</w:t>
      </w:r>
    </w:p>
    <w:tbl>
      <w:tblPr>
        <w:tblStyle w:val="LightShading-Accent1"/>
        <w:tblW w:type="auto" w:w="0"/>
        <w:jc w:val="center"/>
        <w:tblLook w:firstColumn="1" w:firstRow="1" w:lastColumn="0" w:lastRow="0" w:noHBand="0" w:noVBand="1" w:val="04A0"/>
      </w:tblPr>
      <w:tblGrid>
        <w:gridCol w:w="4896"/>
        <w:gridCol w:w="4896"/>
      </w:tblGrid>
      <w:tr>
        <w:tc>
          <w:tcPr>
            <w:tcW w:type="dxa" w:w="4896"/>
          </w:tcPr>
          <w:p>
            <w:pPr>
              <w:spacing w:after="20" w:before="20"/>
            </w:pPr>
            <w:r>
              <w:t>Required exception field</w:t>
            </w:r>
          </w:p>
        </w:tc>
        <w:tc>
          <w:tcPr>
            <w:tcW w:type="dxa" w:w="4896"/>
          </w:tcPr>
          <w:p>
            <w:pPr>
              <w:spacing w:after="20" w:before="20"/>
            </w:pPr>
            <w:r>
              <w:t>Description</w:t>
            </w:r>
          </w:p>
        </w:tc>
      </w:tr>
      <w:tr>
        <w:tc>
          <w:tcPr>
            <w:tcW w:type="dxa" w:w="4896"/>
          </w:tcPr>
          <w:p>
            <w:pPr>
              <w:spacing w:after="20" w:before="20"/>
            </w:pPr>
            <w:r>
              <w:t>Exception ID and control ID</w:t>
            </w:r>
          </w:p>
        </w:tc>
        <w:tc>
          <w:tcPr>
            <w:tcW w:type="dxa" w:w="4896"/>
          </w:tcPr>
          <w:p>
            <w:pPr>
              <w:spacing w:after="20" w:before="20"/>
            </w:pPr>
            <w:r>
              <w:t>Unique traceable reference to CT-001 through CT-007</w:t>
            </w:r>
          </w:p>
        </w:tc>
      </w:tr>
      <w:tr>
        <w:tc>
          <w:tcPr>
            <w:tcW w:type="dxa" w:w="4896"/>
          </w:tcPr>
          <w:p>
            <w:pPr>
              <w:spacing w:after="20" w:before="20"/>
            </w:pPr>
            <w:r>
              <w:t>Description and affected sample</w:t>
            </w:r>
          </w:p>
        </w:tc>
        <w:tc>
          <w:tcPr>
            <w:tcW w:type="dxa" w:w="4896"/>
          </w:tcPr>
          <w:p>
            <w:pPr>
              <w:spacing w:after="20" w:before="20"/>
            </w:pPr>
            <w:r>
              <w:t>Unmet criterion and sample record</w:t>
            </w:r>
          </w:p>
        </w:tc>
      </w:tr>
      <w:tr>
        <w:tc>
          <w:tcPr>
            <w:tcW w:type="dxa" w:w="4896"/>
          </w:tcPr>
          <w:p>
            <w:pPr>
              <w:spacing w:after="20" w:before="20"/>
            </w:pPr>
            <w:r>
              <w:t>Evidence reference</w:t>
            </w:r>
          </w:p>
        </w:tc>
        <w:tc>
          <w:tcPr>
            <w:tcW w:type="dxa" w:w="4896"/>
          </w:tcPr>
          <w:p>
            <w:pPr>
              <w:spacing w:after="20" w:before="20"/>
            </w:pPr>
            <w:r>
              <w:t>Supporting observations and documentation</w:t>
            </w:r>
          </w:p>
        </w:tc>
      </w:tr>
      <w:tr>
        <w:tc>
          <w:tcPr>
            <w:tcW w:type="dxa" w:w="4896"/>
          </w:tcPr>
          <w:p>
            <w:pPr>
              <w:spacing w:after="20" w:before="20"/>
            </w:pPr>
            <w:r>
              <w:t>Risk rating</w:t>
            </w:r>
          </w:p>
        </w:tc>
        <w:tc>
          <w:tcPr>
            <w:tcW w:type="dxa" w:w="4896"/>
          </w:tcPr>
          <w:p>
            <w:pPr>
              <w:spacing w:after="20" w:before="20"/>
            </w:pPr>
            <w:r>
              <w:t>Likelihood, impact and severity</w:t>
            </w:r>
          </w:p>
        </w:tc>
      </w:tr>
      <w:tr>
        <w:tc>
          <w:tcPr>
            <w:tcW w:type="dxa" w:w="4896"/>
          </w:tcPr>
          <w:p>
            <w:pPr>
              <w:spacing w:after="20" w:before="20"/>
            </w:pPr>
            <w:r>
              <w:t>Accountable owner and corrective action</w:t>
            </w:r>
          </w:p>
        </w:tc>
        <w:tc>
          <w:tcPr>
            <w:tcW w:type="dxa" w:w="4896"/>
          </w:tcPr>
          <w:p>
            <w:pPr>
              <w:spacing w:after="20" w:before="20"/>
            </w:pPr>
            <w:r>
              <w:t>Ownership and proposed remediation</w:t>
            </w:r>
          </w:p>
        </w:tc>
      </w:tr>
      <w:tr>
        <w:tc>
          <w:tcPr>
            <w:tcW w:type="dxa" w:w="4896"/>
          </w:tcPr>
          <w:p>
            <w:pPr>
              <w:spacing w:after="20" w:before="20"/>
            </w:pPr>
            <w:r>
              <w:t>Due date and status</w:t>
            </w:r>
          </w:p>
        </w:tc>
        <w:tc>
          <w:tcPr>
            <w:tcW w:type="dxa" w:w="4896"/>
          </w:tcPr>
          <w:p>
            <w:pPr>
              <w:spacing w:after="20" w:before="20"/>
            </w:pPr>
            <w:r>
              <w:t>Target completion and progression</w:t>
            </w:r>
          </w:p>
        </w:tc>
      </w:tr>
      <w:tr>
        <w:tc>
          <w:tcPr>
            <w:tcW w:type="dxa" w:w="4896"/>
          </w:tcPr>
          <w:p>
            <w:pPr>
              <w:spacing w:after="20" w:before="20"/>
            </w:pPr>
            <w:r>
              <w:t>Verification and closure</w:t>
            </w:r>
          </w:p>
        </w:tc>
        <w:tc>
          <w:tcPr>
            <w:tcW w:type="dxa" w:w="4896"/>
          </w:tcPr>
          <w:p>
            <w:pPr>
              <w:spacing w:after="20" w:before="20"/>
            </w:pPr>
            <w:r>
              <w:t>Retest outcome and recorded decision</w:t>
            </w:r>
          </w:p>
        </w:tc>
      </w:tr>
    </w:tbl>
    <w:tbl>
      <w:tblPr>
        <w:tblStyle w:val="LightShading-Accent1"/>
        <w:tblW w:type="auto" w:w="0"/>
        <w:jc w:val="center"/>
        <w:tblLook w:firstColumn="1" w:firstRow="1" w:lastColumn="0" w:lastRow="0" w:noHBand="0" w:noVBand="1" w:val="04A0"/>
      </w:tblPr>
      <w:tblGrid>
        <w:gridCol w:w="4896"/>
        <w:gridCol w:w="4896"/>
      </w:tblGrid>
      <w:tr>
        <w:tc>
          <w:tcPr>
            <w:tcW w:type="dxa" w:w="4896"/>
          </w:tcPr>
          <w:p>
            <w:pPr>
              <w:spacing w:after="20" w:before="20"/>
            </w:pPr>
            <w:r>
              <w:t>Severity</w:t>
            </w:r>
          </w:p>
        </w:tc>
        <w:tc>
          <w:tcPr>
            <w:tcW w:type="dxa" w:w="4896"/>
          </w:tcPr>
          <w:p>
            <w:pPr>
              <w:spacing w:after="20" w:before="20"/>
            </w:pPr>
            <w:r>
              <w:t>Proposed remediation target</w:t>
            </w:r>
          </w:p>
        </w:tc>
      </w:tr>
      <w:tr>
        <w:tc>
          <w:tcPr>
            <w:tcW w:type="dxa" w:w="4896"/>
          </w:tcPr>
          <w:p>
            <w:pPr>
              <w:spacing w:after="20" w:before="20"/>
            </w:pPr>
            <w:r>
              <w:t>Critical</w:t>
            </w:r>
          </w:p>
        </w:tc>
        <w:tc>
          <w:tcPr>
            <w:tcW w:type="dxa" w:w="4896"/>
          </w:tcPr>
          <w:p>
            <w:pPr>
              <w:spacing w:after="20" w:before="20"/>
            </w:pPr>
            <w:r>
              <w:t>Immediate containment and escalation</w:t>
            </w:r>
          </w:p>
        </w:tc>
      </w:tr>
      <w:tr>
        <w:tc>
          <w:tcPr>
            <w:tcW w:type="dxa" w:w="4896"/>
          </w:tcPr>
          <w:p>
            <w:pPr>
              <w:spacing w:after="20" w:before="20"/>
            </w:pPr>
            <w:r>
              <w:t>High</w:t>
            </w:r>
          </w:p>
        </w:tc>
        <w:tc>
          <w:tcPr>
            <w:tcW w:type="dxa" w:w="4896"/>
          </w:tcPr>
          <w:p>
            <w:pPr>
              <w:spacing w:after="20" w:before="20"/>
            </w:pPr>
            <w:r>
              <w:t>7 calendar days</w:t>
            </w:r>
          </w:p>
        </w:tc>
      </w:tr>
      <w:tr>
        <w:tc>
          <w:tcPr>
            <w:tcW w:type="dxa" w:w="4896"/>
          </w:tcPr>
          <w:p>
            <w:pPr>
              <w:spacing w:after="20" w:before="20"/>
            </w:pPr>
            <w:r>
              <w:t>Medium</w:t>
            </w:r>
          </w:p>
        </w:tc>
        <w:tc>
          <w:tcPr>
            <w:tcW w:type="dxa" w:w="4896"/>
          </w:tcPr>
          <w:p>
            <w:pPr>
              <w:spacing w:after="20" w:before="20"/>
            </w:pPr>
            <w:r>
              <w:t>30 calendar days</w:t>
            </w:r>
          </w:p>
        </w:tc>
      </w:tr>
      <w:tr>
        <w:tc>
          <w:tcPr>
            <w:tcW w:type="dxa" w:w="4896"/>
          </w:tcPr>
          <w:p>
            <w:pPr>
              <w:spacing w:after="20" w:before="20"/>
            </w:pPr>
            <w:r>
              <w:t>Low</w:t>
            </w:r>
          </w:p>
        </w:tc>
        <w:tc>
          <w:tcPr>
            <w:tcW w:type="dxa" w:w="4896"/>
          </w:tcPr>
          <w:p>
            <w:pPr>
              <w:spacing w:after="20" w:before="20"/>
            </w:pPr>
            <w:r>
              <w:t>90 calendar days</w:t>
            </w:r>
          </w:p>
        </w:tc>
      </w:tr>
    </w:tbl>
    <w:p>
      <w:r>
        <w:t>Active unauthorized access requires immediate containment regardless of score. Track treatment as Planned, In Progress, Blocked, Pending Verification or Completed. Only verified remediation may be closed. Retesting does not erase original findings; missed deadlines and material exceptions are escalated.</w:t>
      </w:r>
    </w:p>
    <w:p>
      <w:pPr>
        <w:pStyle w:val="Heading1"/>
      </w:pPr>
      <w:r>
        <w:t>5. Testing Roles, Responsibilities, and Quality Assurance</w:t>
      </w:r>
    </w:p>
    <w:tbl>
      <w:tblPr>
        <w:tblStyle w:val="LightShading-Accent1"/>
        <w:tblW w:type="auto" w:w="0"/>
        <w:jc w:val="center"/>
        <w:tblLook w:firstColumn="1" w:firstRow="1" w:lastColumn="0" w:lastRow="0" w:noHBand="0" w:noVBand="1" w:val="04A0"/>
      </w:tblPr>
      <w:tblGrid>
        <w:gridCol w:w="4896"/>
        <w:gridCol w:w="4896"/>
      </w:tblGrid>
      <w:tr>
        <w:tc>
          <w:tcPr>
            <w:tcW w:type="dxa" w:w="4896"/>
          </w:tcPr>
          <w:p>
            <w:pPr>
              <w:spacing w:after="20" w:before="20"/>
            </w:pPr>
            <w:r>
              <w:t>Role</w:t>
            </w:r>
          </w:p>
        </w:tc>
        <w:tc>
          <w:tcPr>
            <w:tcW w:type="dxa" w:w="4896"/>
          </w:tcPr>
          <w:p>
            <w:pPr>
              <w:spacing w:after="20" w:before="20"/>
            </w:pPr>
            <w:r>
              <w:t>Proposed responsibility</w:t>
            </w:r>
          </w:p>
        </w:tc>
      </w:tr>
      <w:tr>
        <w:tc>
          <w:tcPr>
            <w:tcW w:type="dxa" w:w="4896"/>
          </w:tcPr>
          <w:p>
            <w:pPr>
              <w:spacing w:after="20" w:before="20"/>
            </w:pPr>
            <w:r>
              <w:t>IAM Governance Analyst</w:t>
            </w:r>
          </w:p>
        </w:tc>
        <w:tc>
          <w:tcPr>
            <w:tcW w:type="dxa" w:w="4896"/>
          </w:tcPr>
          <w:p>
            <w:pPr>
              <w:spacing w:after="20" w:before="20"/>
            </w:pPr>
            <w:r>
              <w:t>Plan/perform assigned tests, evaluate evidence, record findings and prepare workpapers</w:t>
            </w:r>
          </w:p>
        </w:tc>
      </w:tr>
      <w:tr>
        <w:tc>
          <w:tcPr>
            <w:tcW w:type="dxa" w:w="4896"/>
          </w:tcPr>
          <w:p>
            <w:pPr>
              <w:spacing w:after="20" w:before="20"/>
            </w:pPr>
            <w:r>
              <w:t>IT/IAM Administrator</w:t>
            </w:r>
          </w:p>
        </w:tc>
        <w:tc>
          <w:tcPr>
            <w:tcW w:type="dxa" w:w="4896"/>
          </w:tcPr>
          <w:p>
            <w:pPr>
              <w:spacing w:after="20" w:before="20"/>
            </w:pPr>
            <w:r>
              <w:t>Provide access/configuration and remediation evidence</w:t>
            </w:r>
          </w:p>
        </w:tc>
      </w:tr>
      <w:tr>
        <w:tc>
          <w:tcPr>
            <w:tcW w:type="dxa" w:w="4896"/>
          </w:tcPr>
          <w:p>
            <w:pPr>
              <w:spacing w:after="20" w:before="20"/>
            </w:pPr>
            <w:r>
              <w:t>Security Team</w:t>
            </w:r>
          </w:p>
        </w:tc>
        <w:tc>
          <w:tcPr>
            <w:tcW w:type="dxa" w:w="4896"/>
          </w:tcPr>
          <w:p>
            <w:pPr>
              <w:spacing w:after="20" w:before="20"/>
            </w:pPr>
            <w:r>
              <w:t>Supply privileged/MFA/monitoring evidence and investigate threats</w:t>
            </w:r>
          </w:p>
        </w:tc>
      </w:tr>
      <w:tr>
        <w:tc>
          <w:tcPr>
            <w:tcW w:type="dxa" w:w="4896"/>
          </w:tcPr>
          <w:p>
            <w:pPr>
              <w:spacing w:after="20" w:before="20"/>
            </w:pPr>
            <w:r>
              <w:t>Department Manager and HR</w:t>
            </w:r>
          </w:p>
        </w:tc>
        <w:tc>
          <w:tcPr>
            <w:tcW w:type="dxa" w:w="4896"/>
          </w:tcPr>
          <w:p>
            <w:pPr>
              <w:spacing w:after="20" w:before="20"/>
            </w:pPr>
            <w:r>
              <w:t>Provide authorizations, lifecycle records and business context</w:t>
            </w:r>
          </w:p>
        </w:tc>
      </w:tr>
      <w:tr>
        <w:tc>
          <w:tcPr>
            <w:tcW w:type="dxa" w:w="4896"/>
          </w:tcPr>
          <w:p>
            <w:pPr>
              <w:spacing w:after="20" w:before="20"/>
            </w:pPr>
            <w:r>
              <w:t>IAM Governance Lead</w:t>
            </w:r>
          </w:p>
        </w:tc>
        <w:tc>
          <w:tcPr>
            <w:tcW w:type="dxa" w:w="4896"/>
          </w:tcPr>
          <w:p>
            <w:pPr>
              <w:spacing w:after="20" w:before="20"/>
            </w:pPr>
            <w:r>
              <w:t>Review workpapers, methodology, evidence sufficiency and escalations</w:t>
            </w:r>
          </w:p>
        </w:tc>
      </w:tr>
      <w:tr>
        <w:tc>
          <w:tcPr>
            <w:tcW w:type="dxa" w:w="4896"/>
          </w:tcPr>
          <w:p>
            <w:pPr>
              <w:spacing w:after="20" w:before="20"/>
            </w:pPr>
            <w:r>
              <w:t>Accountable Risk Owner</w:t>
            </w:r>
          </w:p>
        </w:tc>
        <w:tc>
          <w:tcPr>
            <w:tcW w:type="dxa" w:w="4896"/>
          </w:tcPr>
          <w:p>
            <w:pPr>
              <w:spacing w:after="20" w:before="20"/>
            </w:pPr>
            <w:r>
              <w:t>Oversee remediation and assign action owners</w:t>
            </w:r>
          </w:p>
        </w:tc>
      </w:tr>
      <w:tr>
        <w:tc>
          <w:tcPr>
            <w:tcW w:type="dxa" w:w="4896"/>
          </w:tcPr>
          <w:p>
            <w:pPr>
              <w:spacing w:after="20" w:before="20"/>
            </w:pPr>
            <w:r>
              <w:t>Executive Sponsor</w:t>
            </w:r>
          </w:p>
        </w:tc>
        <w:tc>
          <w:tcPr>
            <w:tcW w:type="dxa" w:w="4896"/>
          </w:tcPr>
          <w:p>
            <w:pPr>
              <w:spacing w:after="20" w:before="20"/>
            </w:pPr>
            <w:r>
              <w:t>Receive material unresolved risks</w:t>
            </w:r>
          </w:p>
        </w:tc>
      </w:tr>
    </w:tbl>
    <w:p>
      <w:r>
        <w:t>Separation of duties: the implementer should not independently certify the same control. Disclose test-design involvement and have conclusions reviewed by an appropriately independent person.</w:t>
      </w:r>
    </w:p>
    <w:p>
      <w:pPr>
        <w:pStyle w:val="ListBullet"/>
      </w:pPr>
      <w:r>
        <w:t>QA review: Objective and criteria documented</w:t>
      </w:r>
    </w:p>
    <w:p>
      <w:pPr>
        <w:pStyle w:val="ListBullet"/>
      </w:pPr>
      <w:r>
        <w:t>QA review: Population, period and selection method recorded</w:t>
      </w:r>
    </w:p>
    <w:p>
      <w:pPr>
        <w:pStyle w:val="ListBullet"/>
      </w:pPr>
      <w:r>
        <w:t>QA review: Steps performed or marked incomplete</w:t>
      </w:r>
    </w:p>
    <w:p>
      <w:pPr>
        <w:pStyle w:val="ListBullet"/>
      </w:pPr>
      <w:r>
        <w:t>QA review: Evidence references traceable</w:t>
      </w:r>
    </w:p>
    <w:p>
      <w:pPr>
        <w:pStyle w:val="ListBullet"/>
      </w:pPr>
      <w:r>
        <w:t>QA review: Exceptions and gaps accurately stated</w:t>
      </w:r>
    </w:p>
    <w:p>
      <w:pPr>
        <w:pStyle w:val="ListBullet"/>
      </w:pPr>
      <w:r>
        <w:t>QA review: Conclusion and limitations supportable</w:t>
      </w:r>
    </w:p>
    <w:p>
      <w:r>
        <w:t>Active unauthorized access is escalated immediately to Security. Document approval is distinct from verified implementation or audit results.</w:t>
      </w:r>
    </w:p>
    <w:p>
      <w:pPr>
        <w:pStyle w:val="Heading1"/>
      </w:pPr>
      <w:r>
        <w:t>6. Reporting, Evidence Retention, and Testing Limitations</w:t>
      </w:r>
    </w:p>
    <w:p>
      <w:r>
        <w:t>A completed test report must identify objective, risk, period, population, samples, selection, DE and OE steps performed, evidence, observations, exceptions, conclusion, limitations, corrective actions, tester and independent reviewer.</w:t>
      </w:r>
    </w:p>
    <w:p>
      <w:r>
        <w:t>Workpapers and evidence must be version-managed and access-controlled, with safeguards for confidentiality and integrity. Retain according to an approved schedule and applicable requirements; no specific retention duration is claimed for this fictional organization.</w:t>
      </w:r>
    </w:p>
    <w:p>
      <w:r>
        <w:t>The IAM Governance Lead reviews reports before appropriate IT/Security distribution. Material weaknesses, persistent high risks and overdue actions are escalated to risk owners and the Executive Sponsor as warranted.</w:t>
      </w:r>
    </w:p>
    <w:p>
      <w:r>
        <w:t>Explicitly disclose missing evidence, incomplete populations, selection limitations and constrained coverage. Documented controls do not prove operation; a passing sample is not proof of universal compliance.</w:t>
      </w:r>
    </w:p>
    <w:p>
      <w:r>
        <w:t>Portfolio disclosure: All seven control tests are NOT TESTED. No production access, audit engagement, client relationship, real evidence collection or control-effectiveness assessment is claimed.</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NORTHSTAR HEALTHTECH  •  FICTIONAL EDUCATIONAL SIMULATION  •  PORTFOLIO-REVIEWED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753"/>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3753"/>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75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