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2B4B" w:sz="6" w:space="4"/>
        </w:pBdr>
        <w:tabs>
          <w:tab w:val="right" w:pos="9546"/>
        </w:tabs>
        <w:spacing w:after="60"/>
      </w:pPr>
      <w:r>
        <w:rPr>
          <w:rFonts w:ascii="Calibri" w:cs="Calibri" w:eastAsia="Calibri" w:hAnsi="Calibri"/>
          <w:b/>
          <w:bCs/>
          <w:color w:val="1B2B4B"/>
          <w:spacing w:val="20"/>
          <w:sz w:val="15"/>
          <w:szCs w:val="15"/>
        </w:rPr>
        <w:t xml:space="preserve">UNIVERSITY OF TABRIZ · FACULTY OF CIVIL ENGINEERING</w:t>
      </w:r>
      <w:r>
        <w:rPr>
          <w:rFonts w:ascii="Calibri" w:cs="Calibri" w:eastAsia="Calibri" w:hAnsi="Calibri"/>
          <w:color w:val="596372"/>
          <w:sz w:val="15"/>
          <w:szCs w:val="15"/>
        </w:rPr>
        <w:t xml:space="preserve">	Preliminary PhD Research Discussion Package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A4A5C"/>
          <w:spacing w:val="30"/>
          <w:sz w:val="16"/>
          <w:szCs w:val="16"/>
        </w:rPr>
        <w:t xml:space="preserve">DOCUMENT 01 · PAIRED RESEARCH PROGRAMME SUMMARY</w:t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1B2B4B"/>
          <w:sz w:val="34"/>
          <w:szCs w:val="34"/>
        </w:rPr>
        <w:t xml:space="preserve">Dynamics of Flow-Excited Hydraulic Gates: Loading and Identification</w:t>
      </w:r>
    </w:p>
    <w:p>
      <w:pPr>
        <w:bidi/>
        <w:spacing w:after="80" w:before="0"/>
        <w:jc w:val="left"/>
      </w:pPr>
      <w:r>
        <w:rPr>
          <w:rFonts w:ascii="Vazirmatn" w:cs="Vazirmatn" w:hAnsi="Vazirmatn"/>
          <w:b w:val="false"/>
          <w:color w:val="3A4A5C"/>
          <w:sz w:val="26"/>
          <w:szCs w:val="26"/>
          <w:rtl/>
          <w:lang w:bidi="fa-IR"/>
        </w:rPr>
        <w:t xml:space="preserve">دینامیک دریچه‌های هیدرولیکی تحت تحریک جریان: بارگذاری و شناسایی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6372"/>
          <w:sz w:val="20"/>
          <w:szCs w:val="20"/>
        </w:rPr>
        <w:t xml:space="preserve">A proposed pair of independent but complementary doctoral concepts</w:t>
      </w:r>
    </w:p>
    <w:p>
      <w:pPr>
        <w:pBdr>
          <w:bottom w:val="single" w:color="C9D1DB" w:sz="4" w:space="6"/>
        </w:pBdr>
        <w:spacing w:after="180" w:before="40"/>
      </w:pPr>
      <w:r>
        <w:rPr>
          <w:rFonts w:ascii="Calibri" w:cs="Calibri" w:eastAsia="Calibri" w:hAnsi="Calibri"/>
          <w:color w:val="596372"/>
          <w:sz w:val="19"/>
          <w:szCs w:val="19"/>
        </w:rPr>
        <w:t xml:space="preserve">Candidates: </w:t>
      </w:r>
      <w:r>
        <w:rPr>
          <w:rFonts w:ascii="Calibri" w:cs="Calibri" w:eastAsia="Calibri" w:hAnsi="Calibri"/>
          <w:b/>
          <w:bCs/>
          <w:color w:val="596372"/>
          <w:sz w:val="19"/>
          <w:szCs w:val="19"/>
        </w:rPr>
        <w:t xml:space="preserve">Zina</w:t>
      </w:r>
      <w:r>
        <w:rPr>
          <w:rFonts w:ascii="Calibri" w:cs="Calibri" w:eastAsia="Calibri" w:hAnsi="Calibri"/>
          <w:color w:val="596372"/>
          <w:sz w:val="19"/>
          <w:szCs w:val="19"/>
        </w:rPr>
        <w:t xml:space="preserve"> · </w:t>
      </w:r>
      <w:r>
        <w:rPr>
          <w:rFonts w:ascii="Calibri" w:cs="Calibri" w:eastAsia="Calibri" w:hAnsi="Calibri"/>
          <w:b/>
          <w:bCs/>
          <w:color w:val="596372"/>
          <w:sz w:val="19"/>
          <w:szCs w:val="19"/>
        </w:rPr>
        <w:t xml:space="preserve">Jamal</w:t>
      </w:r>
      <w:r>
        <w:rPr>
          <w:rFonts w:ascii="Calibri" w:cs="Calibri" w:eastAsia="Calibri" w:hAnsi="Calibri"/>
          <w:color w:val="596372"/>
          <w:sz w:val="19"/>
          <w:szCs w:val="19"/>
        </w:rPr>
        <w:t xml:space="preserve">     Proposed supervisor: </w:t>
      </w:r>
      <w:r>
        <w:rPr>
          <w:rFonts w:ascii="Calibri" w:cs="Calibri" w:eastAsia="Calibri" w:hAnsi="Calibri"/>
          <w:b/>
          <w:bCs/>
          <w:color w:val="596372"/>
          <w:sz w:val="19"/>
          <w:szCs w:val="19"/>
        </w:rPr>
        <w:t xml:space="preserve">Prof. Reza Tarinejad</w:t>
      </w:r>
      <w:r>
        <w:rPr>
          <w:rFonts w:ascii="Calibri" w:cs="Calibri" w:eastAsia="Calibri" w:hAnsi="Calibri"/>
          <w:color w:val="596372"/>
          <w:sz w:val="19"/>
          <w:szCs w:val="19"/>
        </w:rPr>
        <w:t xml:space="preserve">     October 2026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6"/>
      </w:tblGrid>
      <w:tr>
        <w:trPr>
          <w:cantSplit/>
        </w:trPr>
        <w:tc>
          <w:tcPr>
            <w:tcW w:type="dxa" w:w="9546"/>
            <w:tcBorders>
              <w:top w:val="none" w:color="FFFFFF" w:sz="0"/>
              <w:left w:val="single" w:color="3A4A5C" w:sz="2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1"/>
                <w:szCs w:val="21"/>
              </w:rPr>
              <w:t xml:space="preserve">Status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Proposed research direction for preliminary discussion, subject to supervisor confirmation. Two points remain open: (1) a short recent-literature confirmation review of both research gaps; (2) confirmation that neither scope overlaps with current students' work.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1.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Why this programme</w:t>
      </w:r>
    </w:p>
    <w:p>
      <w:pPr>
        <w:spacing w:after="9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Prof. Tarinejad's publication record contains two active lines that are not yet connected: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Output-only identification of dam dynamics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most recently transmissibility-based methods [1, 2, 4] and automated SSI [3].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Hydraulic control structures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gate and weir discharge performance [5, 6] and outlet CFD verification [7].</w:t>
      </w:r>
    </w:p>
    <w:p>
      <w:pPr>
        <w:spacing w:after="9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hydraulic work characterises time-averaged performance; the identification work addresses dam bodies under seismic or ambient input. Flow-excited gates sit between the two: they are excited by fluctuating flow, and their dynamic properties change with water level and operation.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2.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Scientific logic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2"/>
        <w:gridCol w:w="420"/>
        <w:gridCol w:w="2902"/>
        <w:gridCol w:w="420"/>
        <w:gridCol w:w="2902"/>
      </w:tblGrid>
      <w:tr>
        <w:trPr>
          <w:cantSplit/>
        </w:trPr>
        <w:tc>
          <w:tcPr>
            <w:tcW w:type="dxa" w:w="2902"/>
            <w:tcBorders>
              <w:top w:val="single" w:color="1B2B4B" w:sz="4"/>
              <w:left w:val="single" w:color="1B2B4B" w:sz="4"/>
              <w:bottom w:val="single" w:color="1B2B4B" w:sz="4"/>
              <w:right w:val="single" w:color="1B2B4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4A5C"/>
                <w:sz w:val="29"/>
                <w:szCs w:val="29"/>
              </w:rPr>
              <w:t xml:space="preserve">→</w:t>
            </w:r>
          </w:p>
        </w:tc>
        <w:tc>
          <w:tcPr>
            <w:tcW w:type="dxa" w:w="2902"/>
            <w:tcBorders>
              <w:top w:val="single" w:color="1B2B4B" w:sz="4"/>
              <w:left w:val="single" w:color="1B2B4B" w:sz="4"/>
              <w:bottom w:val="single" w:color="1B2B4B" w:sz="4"/>
              <w:right w:val="single" w:color="1B2B4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HYDRODYNAMIC LOADING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4A5C"/>
                <w:sz w:val="29"/>
                <w:szCs w:val="29"/>
              </w:rPr>
              <w:t xml:space="preserve">→</w:t>
            </w:r>
          </w:p>
        </w:tc>
        <w:tc>
          <w:tcPr>
            <w:tcW w:type="dxa" w:w="2902"/>
            <w:tcBorders>
              <w:top w:val="single" w:color="1B2B4B" w:sz="4"/>
              <w:left w:val="single" w:color="1B2B4B" w:sz="4"/>
              <w:bottom w:val="single" w:color="1B2B4B" w:sz="4"/>
              <w:right w:val="single" w:color="1B2B4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STRUCTURAL DYNAMIC RESPONSE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EEF1F5" w:sz="4"/>
              <w:left w:val="single" w:color="EEF1F5" w:sz="4"/>
              <w:bottom w:val="single" w:color="EEF1F5" w:sz="4"/>
              <w:right w:val="single" w:color="EEF1F5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Operating state: head, opening, submergence, sill geometry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2902"/>
            <w:tcBorders>
              <w:top w:val="single" w:color="EEF1F5" w:sz="4"/>
              <w:left w:val="single" w:color="EEF1F5" w:sz="4"/>
              <w:bottom w:val="single" w:color="EEF1F5" w:sz="4"/>
              <w:right w:val="single" w:color="EEF1F5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Jamal: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what fluctuating loads does the flow apply, by which mechanism, and how do they scale?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2902"/>
            <w:tcBorders>
              <w:top w:val="single" w:color="EEF1F5" w:sz="4"/>
              <w:left w:val="single" w:color="EEF1F5" w:sz="4"/>
              <w:bottom w:val="single" w:color="EEF1F5" w:sz="4"/>
              <w:right w:val="single" w:color="EEF1F5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Zina: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how can the gate's modal properties be identified when water and operating state change them?</w:t>
            </w:r>
          </w:p>
        </w:tc>
      </w:tr>
      <w:tr>
        <w:trPr>
          <w:cantSplit/>
        </w:trPr>
        <w:tc>
          <w:tcPr>
            <w:tcW w:type="dxa" w:w="2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596372"/>
                <w:sz w:val="17"/>
                <w:szCs w:val="17"/>
              </w:rPr>
              <w:t xml:space="preserve">Common hydraulic context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2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596372"/>
                <w:sz w:val="17"/>
                <w:szCs w:val="17"/>
              </w:rPr>
              <w:t xml:space="preserve">Rigid gate · pressures · LES → regime map, scaling, criterion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2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596372"/>
                <w:sz w:val="17"/>
                <w:szCs w:val="17"/>
              </w:rPr>
              <w:t xml:space="preserve">Flexible gate · accelerations · EMA → parameter-varying identification</w:t>
            </w:r>
          </w:p>
        </w:tc>
      </w:tr>
    </w:tbl>
    <w:p>
      <w:pPr>
        <w:spacing w:after="100" w:before="0"/>
      </w:pPr>
    </w:p>
    <w:p>
      <w:pPr>
        <w:spacing w:after="9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thesis addresses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one link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of the chain: Jamal characterises the excitation, Zina identifies the structure. Neither thesis needs the other's results. Zina uses synthetic loads defined independently, and Jamal uses a rigid gate whose dynamics play no role in his question.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3.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The two doctoral concepts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2"/>
        <w:gridCol w:w="3961"/>
        <w:gridCol w:w="3963"/>
      </w:tblGrid>
      <w:tr>
        <w:trPr>
          <w:cantSplit/>
          <w:tblHeader/>
        </w:trPr>
        <w:tc>
          <w:tcPr>
            <w:tcW w:type="dxa" w:w="16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39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ZINA</w:t>
            </w:r>
          </w:p>
        </w:tc>
        <w:tc>
          <w:tcPr>
            <w:tcW w:type="dxa" w:w="39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JAMAL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Discussion title</w:t>
            </w:r>
          </w:p>
        </w:tc>
        <w:tc>
          <w:tcPr>
            <w:tcW w:type="dxa" w:w="39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Operational Modal Identification of Hydraulic Gates under Varying Flow Conditions</w:t>
            </w:r>
          </w:p>
        </w:tc>
        <w:tc>
          <w:tcPr>
            <w:tcW w:type="dxa" w:w="39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Unsteady Hydrodynamic Loading of Sluice Gates with Bottom Sills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Research gap</w:t>
            </w:r>
          </w:p>
        </w:tc>
        <w:tc>
          <w:tcPr>
            <w:tcW w:type="dxa" w:w="39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Transmissibility OMA assumes the structure is unchanged across loading conditions; in gates, changing the operating state changes the added mass and damping as well</w:t>
            </w:r>
          </w:p>
        </w:tc>
        <w:tc>
          <w:tcPr>
            <w:tcW w:type="dxa" w:w="39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regime-based, dimensionless description of fluctuating loads on sill-equipped gates, and an efficiency–load criterion, appear not to be available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Core question</w:t>
            </w:r>
          </w:p>
        </w:tc>
        <w:tc>
          <w:tcPr>
            <w:tcW w:type="dxa" w:w="39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How can structural poles be separated from operating-state pole shifts and flow-excitation peaks?</w:t>
            </w:r>
          </w:p>
        </w:tc>
        <w:tc>
          <w:tcPr>
            <w:tcW w:type="dxa" w:w="39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How do sill geometry and submergence change load magnitude, frequency and mechanism, and where is the efficiency–load optimum?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Working hypothesis</w:t>
            </w:r>
          </w:p>
        </w:tc>
        <w:tc>
          <w:tcPr>
            <w:tcW w:type="dxa" w:w="39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Modelling poles as smooth functions of a measured hydraulic state θ gives unbiased identification across operating states</w:t>
            </w:r>
          </w:p>
        </w:tc>
        <w:tc>
          <w:tcPr>
            <w:tcW w:type="dxa" w:w="39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sill shifts separation control from the gate lip to the sill crest; frequencies follow regime-specific Strouhal scaling; a favourable trade-off region exists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Expected contribution</w:t>
            </w:r>
          </w:p>
        </w:tc>
        <w:tc>
          <w:tcPr>
            <w:tcW w:type="dxa" w:w="39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Parameter-varying transmissibility identification for water-interacting structures</w:t>
            </w:r>
          </w:p>
        </w:tc>
        <w:tc>
          <w:tcPr>
            <w:tcW w:type="dxa" w:w="39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Regime map, scaling relationship and efficiency–dynamic-load criterion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4.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Scope separation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7"/>
        <w:gridCol w:w="2959"/>
        <w:gridCol w:w="2959"/>
        <w:gridCol w:w="2101"/>
      </w:tblGrid>
      <w:tr>
        <w:trPr>
          <w:cantSplit/>
          <w:tblHeader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Zina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Jamal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Shared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Research gap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Identification of time-varying water-interacting structures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Mechanism and scaling of fluctuating loads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Scientific question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Separating structural poles from operating-state effects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Load regimes, scaling and the trade-off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Parameter-varying pole model λr(θ)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Separation-control shift; regime Strouhal scaling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 specimen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Flexible instrumented gate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Rigid gate with interchangeable sills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Gate family / outer geometry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Sensors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Accelerometers; impact hammer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Pressure transducers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DAQ hardware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Measurements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Accelerations; EMA FRFs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Wall pressures; discharge; depths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Hydraulic-state labels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Numerical modelling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Structural FE with added mass; synthetic loads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LES/DES with VOF (CFD)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Analysis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System identification algorithms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Spectral load analysis; dimensional analysis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 exact poles; EMA ground truth; public dam records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Measured spectra; held-out configurations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Identification method and protocol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Regime map, scaling law, criterion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Journal papers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Z1–Z3 (own data, first author)</w:t>
            </w:r>
          </w:p>
        </w:tc>
        <w:tc>
          <w:tcPr>
            <w:tcW w:type="dxa" w:w="29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J1–J3 (own data, first author)</w:t>
            </w:r>
          </w:p>
        </w:tc>
        <w:tc>
          <w:tcPr>
            <w:tcW w:type="dxa" w:w="21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Optional joint paper only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Independent executability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36"/>
        <w:gridCol w:w="6110"/>
      </w:tblGrid>
      <w:tr>
        <w:trPr>
          <w:cantSplit/>
        </w:trPr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If Zina's work is delayed by a year, can Jamal still finish?</w:t>
            </w:r>
          </w:p>
        </w:tc>
        <w:tc>
          <w:tcPr>
            <w:tcW w:type="dxa" w:w="61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Yes.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His experiments, CFD and load model use his own rigid specimen and pressure data, and need no modal information.</w:t>
            </w:r>
          </w:p>
        </w:tc>
      </w:tr>
      <w:tr>
        <w:trPr>
          <w:cantSplit/>
        </w:trPr>
        <w:tc>
          <w:tcPr>
            <w:tcW w:type="dxa" w:w="34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1F5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If Jamal's work is delayed by a year, can Zina still finish?</w:t>
            </w:r>
          </w:p>
        </w:tc>
        <w:tc>
          <w:tcPr>
            <w:tcW w:type="dxa" w:w="61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Yes.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Year 1 is theory and FE; her laboratory runs need only flume flow and her own specimen; Paper Z3 uses public dam records; her loads are synthetic.</w:t>
            </w:r>
          </w:p>
        </w:tc>
      </w:tr>
    </w:tbl>
    <w:p>
      <w:pPr>
        <w:spacing w:after="100" w:before="0"/>
      </w:pPr>
    </w:p>
    <w:p>
      <w:pPr>
        <w:spacing w:after="9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thesis is designed to remain independently executable, with clear scope separation and independent data ownership.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5.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Shared resources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Flume and water supply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with shared scheduling. Runs may be simultaneous, but each candidate records their own quantities.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General gate family and initial drawings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with the same outer dimensions but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separate specimens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flexible for Zina, rigid with sill inserts for Jamal.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DAQ infrastructure and general laboratory setup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with separate channels and files.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Common baseline hydraulic conditions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(head, opening, submergence, discharge), logged once and used by both only as labels.</w:t>
      </w:r>
    </w:p>
    <w:p>
      <w:pPr>
        <w:spacing w:after="9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measured response, load, model or result is shared in a way that would create dependency. One optional joint paper (for example, a resonance-risk discussion combining load spectra with identified frequencies) could follow later, but it would not form part of either thesis's core contribution.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6.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Minimum laboratory requirements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9"/>
        <w:gridCol w:w="3818"/>
        <w:gridCol w:w="3819"/>
      </w:tblGrid>
      <w:tr>
        <w:trPr>
          <w:cantSplit/>
          <w:tblHeader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Zina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Jamal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Flume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hold still water at 4–6 levels; run 4–6 flow states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tailgate for free/submerged control; adequate discharge range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Gate model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one flexible plate gate (light, measurable modes)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one rigid gate; sill inserts (3 heights × 2 lengths)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Response / load sensors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6–8 accelerometers; impact hammer with force sensor. USEFUL: strain gauges. OPTIONAL: laser vibrometer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6–8 flush pressure transducers with adequate bandwidth. USEFUL: two-component load cell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Hydraulic measurements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USEFUL: head and discharge as θ labels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discharge meter; water-level gauges. USEFUL: high-speed camera. OPTIONAL: ADV/PIV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DAQ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synchronised, ≥8 channels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synchronised, ≥8 channels (shared hardware possible)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Operating-state variation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water level and opening at 4–6 states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ESSENTIAL: opening (3) × flow state (2–3)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Minimum configurations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About 4–6 still-water EMA levels + 4–6 flow states (about 20–30 runs)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 geometries × 3 openings × 2–3 flow states (about 40–60 runs)</w:t>
            </w:r>
          </w:p>
        </w:tc>
      </w:tr>
      <w:tr>
        <w:trPr>
          <w:cantSplit/>
        </w:trPr>
        <w:tc>
          <w:tcPr>
            <w:tcW w:type="dxa" w:w="19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Computation</w:t>
            </w:r>
          </w:p>
        </w:tc>
        <w:tc>
          <w:tcPr>
            <w:tcW w:type="dxa" w:w="38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Workstation (FE, identification)</w:t>
            </w:r>
          </w:p>
        </w:tc>
        <w:tc>
          <w:tcPr>
            <w:tcW w:type="dxa" w:w="3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Workstation or cluster for 6–8 LES/DES cases</w:t>
            </w:r>
          </w:p>
        </w:tc>
      </w:tr>
    </w:tbl>
    <w:p>
      <w:pPr>
        <w:spacing w:after="100" w:before="0"/>
      </w:pPr>
    </w:p>
    <w:p>
      <w:pPr>
        <w:spacing w:after="90" w:line="268"/>
        <w:jc w:val="both"/>
      </w:pPr>
      <w:r>
        <w:rPr>
          <w:rFonts w:ascii="Calibri" w:cs="Calibri" w:eastAsia="Calibri" w:hAnsi="Calibri"/>
          <w:color w:val="596372"/>
          <w:sz w:val="21"/>
          <w:szCs w:val="21"/>
        </w:rPr>
        <w:t xml:space="preserve">The experimental scope is deliberately bounded. Instrumentation requirements will be refined after confirmation of existing laboratory resources.</w:t>
      </w: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7.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Publication architecture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6"/>
        <w:gridCol w:w="4104"/>
        <w:gridCol w:w="4106"/>
      </w:tblGrid>
      <w:tr>
        <w:trPr>
          <w:cantSplit/>
          <w:tblHeader/>
        </w:trPr>
        <w:tc>
          <w:tcPr>
            <w:tcW w:type="dxa" w:w="13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  <w:tc>
          <w:tcPr>
            <w:tcW w:type="dxa" w:w="41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Zina</w:t>
            </w:r>
          </w:p>
        </w:tc>
        <w:tc>
          <w:tcPr>
            <w:tcW w:type="dxa" w:w="41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B2B4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Jamal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Paper 1</w:t>
            </w:r>
          </w:p>
        </w:tc>
        <w:tc>
          <w:tcPr>
            <w:tcW w:type="dxa" w:w="41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Parameter-varying transmissibility formulation and numerical benchmark</w:t>
            </w:r>
          </w:p>
        </w:tc>
        <w:tc>
          <w:tcPr>
            <w:tcW w:type="dxa" w:w="41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Experimental fluctuating loads and regime identification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Paper 2</w:t>
            </w:r>
          </w:p>
        </w:tc>
        <w:tc>
          <w:tcPr>
            <w:tcW w:type="dxa" w:w="41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Laboratory validation with EMA ground truth</w:t>
            </w:r>
          </w:p>
        </w:tc>
        <w:tc>
          <w:tcPr>
            <w:tcW w:type="dxa" w:w="41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Separation-control mechanism and Strouhal scaling (experiment + LES)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Paper 3</w:t>
            </w:r>
          </w:p>
        </w:tc>
        <w:tc>
          <w:tcPr>
            <w:tcW w:type="dxa" w:w="41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Dam application with reservoir-level-dependent records</w:t>
            </w:r>
          </w:p>
        </w:tc>
        <w:tc>
          <w:tcPr>
            <w:tcW w:type="dxa" w:w="41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Efficiency–dynamic-load criterion; prototype-scale interpretation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80" w:before="220"/>
      </w:pPr>
      <w:r>
        <w:rPr>
          <w:rFonts w:ascii="Calibri" w:cs="Calibri" w:eastAsia="Calibri" w:hAnsi="Calibri"/>
          <w:b/>
          <w:bCs/>
          <w:color w:val="3A4A5C"/>
          <w:sz w:val="25"/>
          <w:szCs w:val="25"/>
        </w:rPr>
        <w:t xml:space="preserve">8.  </w:t>
      </w:r>
      <w:r>
        <w:rPr>
          <w:rFonts w:ascii="Calibri" w:cs="Calibri" w:eastAsia="Calibri" w:hAnsi="Calibri"/>
          <w:b/>
          <w:bCs/>
          <w:color w:val="1B2B4B"/>
          <w:sz w:val="25"/>
          <w:szCs w:val="25"/>
        </w:rPr>
        <w:t xml:space="preserve">Open points and alternatives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Recent-literature confirmation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of both gaps through a short structured review. If the plain-sluice framing of Jamal's concept proves already covered, the same question would be studied for labyrinth sliding gates with sills [5].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Scope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confirmation that neither topic overlaps with current students' work (for example, in transmissibility identification or gate hydraulics).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Facilities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flume, pressure transducers, accelerometers and DAQ, available or accessible.</w:t>
      </w:r>
    </w:p>
    <w:p>
      <w:pPr>
        <w:spacing w:after="9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Alternative if laboratory access is not available: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both concepts would become identification-based and require no pressure campaign. Zina would study uncertainty-quantified transmissibility identification from seismic dam records; Jamal would study the gate-identification concept, validated numerically and on an accessible regulator gate. If only Zina's topic overlaps with a current student's work, Zina would move to the seismic-uncertainty concept and Jamal's concept would remain unchanged.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Key supervisor publications referred to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[1]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Damadipour M., Tarinejad R., Aminfar M.H. (2021). Seismic modal identification using a new approach based on weighted transmissibility.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Earthquake Engineering &amp; Structural Dynamics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, 50(7). https://doi.org/10.1002/eqe.3435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[2]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Damadipour M., Tarinejad R., Aminfar M.H. (2022). Structural system identification based on combining weighted transmissibility and wavelet transform.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Structural Control and Health Monitoring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, 29(2), e2868. https://doi.org/10.1002/stc.2868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[3]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Tarinejad R., Hafezi A., Pourgholi M. (2025). Automated modal analysis of an arch dam using a hybrid SSI framework based on error analysis and fuzzy clustering.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Journal of Vibration and Control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.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[4]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Tarinejad R., Amanzad F. (2025). Identification of operational modal parameters using multi-reference weighted Hermitian transmissibility functions.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Journal of Sound and Vibration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, 615, 119212. https://doi.org/10.1016/j.jsv.2025.119212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[5]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Abbaszadeh H., Tarinejad R. (2025). Soft computing and predicting labyrinth gates discharge coefficient.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Water Resources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, 52(4), 701–714. https://doi.org/10.1134/S0097807824604734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[6]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Abbaszadeh H., Tarinejad R., Roushangar K., Daneshfaraz R. (2026). Investigation of the effects of internal structure and material properties on the hydraulic performance of rectangular gabion weirs: experimental and numerical study.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Water Resources Management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, 40, 376. https://doi.org/10.1007/s11269-026-04667-3</w:t>
      </w:r>
    </w:p>
    <w:p>
      <w:pPr>
        <w:spacing w:after="20" w:line="235"/>
        <w:ind w:left="340" w:hanging="340"/>
      </w:pPr>
      <w:r>
        <w:rPr>
          <w:rFonts w:ascii="Calibri" w:cs="Calibri" w:eastAsia="Calibri" w:hAnsi="Calibri"/>
          <w:b/>
          <w:bCs/>
          <w:color w:val="3A4A5C"/>
          <w:sz w:val="17"/>
          <w:szCs w:val="17"/>
        </w:rPr>
        <w:t xml:space="preserve">[7] 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Vaseti M.M., Akhtari A.A., Tarinejad R. (2026). Optimized mesh zoning for dam bottom outlet CFD simulations using Richardson extrapolation and grid convergence analysis. </w:t>
      </w:r>
      <w:r>
        <w:rPr>
          <w:rFonts w:ascii="Calibri" w:cs="Calibri" w:eastAsia="Calibri" w:hAnsi="Calibri"/>
          <w:i/>
          <w:iCs/>
          <w:color w:val="222222"/>
          <w:sz w:val="17"/>
          <w:szCs w:val="17"/>
        </w:rPr>
        <w:t xml:space="preserve">Engineering Reports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, 8(6). https://doi.org/10.1002/eng2.70800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80" w:right="1180" w:bottom="1000" w:left="1180" w:header="520" w:footer="5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46"/>
      </w:tabs>
    </w:pPr>
    <w:r>
      <w:rPr>
        <w:rFonts w:ascii="Calibri" w:cs="Calibri" w:eastAsia="Calibri" w:hAnsi="Calibri"/>
        <w:color w:val="596372"/>
        <w:sz w:val="15"/>
        <w:szCs w:val="15"/>
      </w:rPr>
      <w:t xml:space="preserve">Document 01 · Subject to supervisor confirmation</w:t>
    </w:r>
    <w:r>
      <w:rPr>
        <w:rFonts w:ascii="Calibri" w:cs="Calibri" w:eastAsia="Calibri" w:hAnsi="Calibri"/>
        <w:color w:val="596372"/>
        <w:sz w:val="15"/>
        <w:szCs w:val="15"/>
      </w:rPr>
      <w:t xml:space="preserve">	Page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6372"/>
        <w:sz w:val="15"/>
        <w:szCs w:val="15"/>
      </w:rPr>
      <w:t xml:space="preserve"> of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46"/>
      </w:tabs>
    </w:pPr>
    <w:r>
      <w:rPr>
        <w:rFonts w:ascii="Calibri" w:cs="Calibri" w:eastAsia="Calibri" w:hAnsi="Calibri"/>
        <w:color w:val="596372"/>
        <w:sz w:val="15"/>
        <w:szCs w:val="15"/>
      </w:rPr>
      <w:t xml:space="preserve">Document 01 · Subject to supervisor confirmation</w:t>
    </w:r>
    <w:r>
      <w:rPr>
        <w:rFonts w:ascii="Calibri" w:cs="Calibri" w:eastAsia="Calibri" w:hAnsi="Calibri"/>
        <w:color w:val="596372"/>
        <w:sz w:val="15"/>
        <w:szCs w:val="15"/>
      </w:rPr>
      <w:t xml:space="preserve">	Page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6372"/>
        <w:sz w:val="15"/>
        <w:szCs w:val="15"/>
      </w:rPr>
      <w:t xml:space="preserve"> of </w:t>
    </w:r>
    <w:r>
      <w:rPr>
        <w:rFonts w:ascii="Calibri" w:cs="Calibri" w:eastAsia="Calibri" w:hAnsi="Calibri"/>
        <w:color w:val="5963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B" w:sz="4" w:space="4"/>
      </w:pBdr>
      <w:tabs>
        <w:tab w:val="right" w:pos="9546"/>
      </w:tabs>
    </w:pPr>
    <w:r>
      <w:rPr>
        <w:rFonts w:ascii="Calibri" w:cs="Calibri" w:eastAsia="Calibri" w:hAnsi="Calibri"/>
        <w:color w:val="596372"/>
        <w:sz w:val="15"/>
        <w:szCs w:val="15"/>
      </w:rPr>
      <w:t xml:space="preserve">Preliminary PhD Research Discussion Package · University of Tabriz</w:t>
    </w:r>
    <w:r>
      <w:rPr>
        <w:rFonts w:ascii="Calibri" w:cs="Calibri" w:eastAsia="Calibri" w:hAnsi="Calibri"/>
        <w:color w:val="596372"/>
        <w:sz w:val="15"/>
        <w:szCs w:val="15"/>
      </w:rPr>
      <w:t xml:space="preserve">	Paired research programme summary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50"/>
      </w:pPr>
      <w:rPr>
        <w:color w:val="3A4A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3A4A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color w:val="1B2B4B"/>
      <w:sz w:val="25"/>
      <w:szCs w:val="25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color w:val="3A4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Paired PhD Research Programme — Summary</dc:title>
  <dc:creator>Zina and Jamal</dc:creator>
  <cp:lastModifiedBy>Un-named</cp:lastModifiedBy>
  <cp:revision>1</cp:revision>
  <dcterms:created xsi:type="dcterms:W3CDTF">2026-10-05T18:45:15.243Z</dcterms:created>
  <dcterms:modified xsi:type="dcterms:W3CDTF">2026-10-05T18:45:15.243Z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