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3E7C7A" w:sz="6" w:space="4"/>
        </w:pBdr>
        <w:tabs>
          <w:tab w:val="right" w:pos="9546"/>
        </w:tabs>
        <w:spacing w:after="60"/>
      </w:pPr>
      <w:r>
        <w:rPr>
          <w:rFonts w:ascii="Calibri" w:cs="Calibri" w:eastAsia="Calibri" w:hAnsi="Calibri"/>
          <w:b/>
          <w:bCs/>
          <w:color w:val="1F2A44"/>
          <w:spacing w:val="20"/>
          <w:sz w:val="15"/>
          <w:szCs w:val="15"/>
        </w:rPr>
        <w:t xml:space="preserve">UNIVERSITY OF TABRIZ · FACULTY OF CIVIL ENGINEERING</w:t>
      </w:r>
      <w:r>
        <w:rPr>
          <w:rFonts w:ascii="Calibri" w:cs="Calibri" w:eastAsia="Calibri" w:hAnsi="Calibri"/>
          <w:color w:val="5F6B7A"/>
          <w:sz w:val="15"/>
          <w:szCs w:val="15"/>
        </w:rPr>
        <w:t xml:space="preserve">	Preliminary PhD Research Discussion Package</w:t>
      </w:r>
    </w:p>
    <w:p>
      <w:pPr>
        <w:spacing w:after="60" w:before="160"/>
      </w:pPr>
      <w:r>
        <w:rPr>
          <w:rFonts w:ascii="Calibri" w:cs="Calibri" w:eastAsia="Calibri" w:hAnsi="Calibri"/>
          <w:b/>
          <w:bCs/>
          <w:color w:val="3E7C7A"/>
          <w:spacing w:val="30"/>
          <w:sz w:val="16"/>
          <w:szCs w:val="16"/>
        </w:rPr>
        <w:t xml:space="preserve">DOCUMENT 02 · PRELIMINARY DOCTORAL CONCEPT · ZINA</w:t>
      </w:r>
    </w:p>
    <w:p>
      <w:pPr>
        <w:keepNext/>
        <w:spacing w:after="80" w:before="0"/>
      </w:pPr>
      <w:r>
        <w:rPr>
          <w:rFonts w:ascii="Cambria" w:cs="Cambria" w:eastAsia="Cambria" w:hAnsi="Cambria"/>
          <w:b w:val="false"/>
          <w:bCs w:val="false"/>
          <w:color w:val="1F2A44"/>
          <w:sz w:val="34"/>
          <w:szCs w:val="34"/>
        </w:rPr>
        <w:t xml:space="preserve">Operational Modal Identification of Hydraulic Gates under Varying Flow Conditions</w:t>
      </w:r>
    </w:p>
    <w:p>
      <w:pPr>
        <w:bidi/>
        <w:spacing w:after="80" w:before="0"/>
        <w:jc w:val="left"/>
      </w:pPr>
      <w:r>
        <w:rPr>
          <w:rFonts w:ascii="Vazirmatn" w:cs="Vazirmatn" w:hAnsi="Vazirmatn"/>
          <w:b w:val="false"/>
          <w:color w:val="3E7C7A"/>
          <w:sz w:val="26"/>
          <w:szCs w:val="26"/>
          <w:rtl/>
          <w:lang w:bidi="fa-IR"/>
        </w:rPr>
        <w:t xml:space="preserve">شناسایی مودال عملیاتی دریچه‌های هیدرولیکی در شرایط متغیر جریان</w:t>
      </w:r>
    </w:p>
    <w:p>
      <w:pPr>
        <w:pBdr>
          <w:bottom w:val="single" w:color="C9D3DA" w:sz="4" w:space="6"/>
        </w:pBdr>
        <w:spacing w:after="180" w:before="40"/>
      </w:pPr>
      <w:r>
        <w:rPr>
          <w:rFonts w:ascii="Calibri" w:cs="Calibri" w:eastAsia="Calibri" w:hAnsi="Calibri"/>
          <w:color w:val="5F6B7A"/>
          <w:sz w:val="19"/>
          <w:szCs w:val="19"/>
        </w:rPr>
        <w:t xml:space="preserve">Candidate: </w:t>
      </w:r>
      <w:r>
        <w:rPr>
          <w:rFonts w:ascii="Calibri" w:cs="Calibri" w:eastAsia="Calibri" w:hAnsi="Calibri"/>
          <w:b/>
          <w:bCs/>
          <w:color w:val="5F6B7A"/>
          <w:sz w:val="19"/>
          <w:szCs w:val="19"/>
        </w:rPr>
        <w:t xml:space="preserve">Zina</w:t>
      </w:r>
      <w:r>
        <w:rPr>
          <w:rFonts w:ascii="Calibri" w:cs="Calibri" w:eastAsia="Calibri" w:hAnsi="Calibri"/>
          <w:color w:val="5F6B7A"/>
          <w:sz w:val="19"/>
          <w:szCs w:val="19"/>
        </w:rPr>
        <w:t xml:space="preserve">     Proposed supervisor: </w:t>
      </w:r>
      <w:r>
        <w:rPr>
          <w:rFonts w:ascii="Calibri" w:cs="Calibri" w:eastAsia="Calibri" w:hAnsi="Calibri"/>
          <w:b/>
          <w:bCs/>
          <w:color w:val="5F6B7A"/>
          <w:sz w:val="19"/>
          <w:szCs w:val="19"/>
        </w:rPr>
        <w:t xml:space="preserve">Prof. Reza Tarinejad</w:t>
      </w:r>
      <w:r>
        <w:rPr>
          <w:rFonts w:ascii="Calibri" w:cs="Calibri" w:eastAsia="Calibri" w:hAnsi="Calibri"/>
          <w:color w:val="5F6B7A"/>
          <w:sz w:val="19"/>
          <w:szCs w:val="19"/>
        </w:rPr>
        <w:t xml:space="preserve">     October 2026</w:t>
      </w:r>
    </w:p>
    <w:tbl>
      <w:tblPr>
        <w:tblW w:type="dxa" w:w="9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6"/>
      </w:tblGrid>
      <w:tr>
        <w:trPr>
          <w:cantSplit/>
        </w:trPr>
        <w:tc>
          <w:tcPr>
            <w:tcW w:type="dxa" w:w="9546"/>
            <w:tcBorders>
              <w:top w:val="none" w:color="FFFFFF" w:sz="0"/>
              <w:left w:val="single" w:color="3E7C7A" w:sz="20"/>
              <w:bottom w:val="none" w:color="FFFFFF" w:sz="0"/>
              <w:right w:val="none" w:color="FFFFFF" w:sz="0"/>
            </w:tcBorders>
            <w:shd w:fill="EAF2F1" w:color="auto" w:val="clear"/>
            <w:tcMar>
              <w:top w:type="dxa" w:w="80"/>
              <w:left w:type="dxa" w:w="150"/>
              <w:bottom w:type="dxa" w:w="80"/>
              <w:right w:type="dxa" w:w="150"/>
            </w:tcMar>
          </w:tcPr>
          <w:p>
            <w:pPr>
              <w:spacing w:after="40"/>
            </w:pPr>
            <w:r>
              <w:rPr>
                <w:rFonts w:ascii="Cambria" w:cs="Cambria" w:eastAsia="Cambria" w:hAnsi="Cambria"/>
                <w:b/>
                <w:bCs/>
                <w:color w:val="1F2A44"/>
                <w:sz w:val="21"/>
                <w:szCs w:val="21"/>
              </w:rPr>
              <w:t xml:space="preserve">Status</w:t>
            </w:r>
          </w:p>
          <w:p>
            <w:pPr>
              <w:spacing w:after="0" w:line="260"/>
            </w:pPr>
            <w:r>
              <w:rPr>
                <w:rFonts w:ascii="Calibri" w:cs="Calibri" w:eastAsia="Calibri" w:hAnsi="Calibri"/>
                <w:color w:val="262B33"/>
                <w:sz w:val="20"/>
                <w:szCs w:val="20"/>
              </w:rPr>
              <w:t xml:space="preserve">Preliminary concept prepared for discussion, subject to supervisor confirmation. Two points remain open: (1) a short recent-literature confirmation review of the gap; (2) confirmation that the scope does not overlap with current students' work. This concept is one half of a proposed paired programme and is independent of Jamal's concept.</w:t>
            </w:r>
          </w:p>
        </w:tc>
      </w:tr>
    </w:tbl>
    <w:p>
      <w:pPr>
        <w:spacing w:after="100" w:before="0"/>
      </w:pPr>
    </w:p>
    <w:p>
      <w:pPr>
        <w:pStyle w:val="Heading1"/>
        <w:keepNext/>
        <w:pBdr>
          <w:bottom w:val="single" w:color="3E7C7A" w:sz="4" w:space="2"/>
        </w:pBdr>
        <w:spacing w:after="80" w:before="220"/>
      </w:pPr>
      <w:r>
        <w:rPr>
          <w:rFonts w:ascii="Cambria" w:cs="Cambria" w:eastAsia="Cambria" w:hAnsi="Cambria"/>
          <w:color w:val="1F2A44"/>
          <w:sz w:val="25"/>
          <w:szCs w:val="25"/>
        </w:rPr>
        <w:t xml:space="preserve">The problem in plain terms</w:t>
      </w:r>
    </w:p>
    <w:p>
      <w:pPr>
        <w:spacing w:after="90" w:line="268"/>
        <w:jc w:val="both"/>
      </w:pPr>
      <w:r>
        <w:rPr>
          <w:rFonts w:ascii="Calibri" w:cs="Calibri" w:eastAsia="Calibri" w:hAnsi="Calibri"/>
          <w:color w:val="262B33"/>
          <w:sz w:val="21"/>
          <w:szCs w:val="21"/>
        </w:rPr>
        <w:t xml:space="preserve">Operational modal analysis (OMA) estimates natural frequencies, mode shapes and damping from response alone. For a hydraulic gate these "apparent" properties are not fixed. When water level, submergence or opening changes, the hydrodynamic added mass and damping change the frequencies. At the same time, the exciting flow changes its own frequency content and may contain narrow-band vortex-shedding components.</w:t>
      </w:r>
    </w:p>
    <w:p>
      <w:pPr>
        <w:spacing w:after="90" w:line="268"/>
        <w:jc w:val="both"/>
      </w:pPr>
      <w:r>
        <w:rPr>
          <w:rFonts w:ascii="Calibri" w:cs="Calibri" w:eastAsia="Calibri" w:hAnsi="Calibri"/>
          <w:color w:val="262B33"/>
          <w:sz w:val="21"/>
          <w:szCs w:val="21"/>
        </w:rPr>
        <w:t xml:space="preserve">The scientific problem is therefore: </w:t>
      </w:r>
      <w:r>
        <w:rPr>
          <w:rFonts w:ascii="Calibri" w:cs="Calibri" w:eastAsia="Calibri" w:hAnsi="Calibri"/>
          <w:b/>
          <w:bCs/>
          <w:color w:val="262B33"/>
          <w:sz w:val="21"/>
          <w:szCs w:val="21"/>
        </w:rPr>
        <w:t xml:space="preserve">how can the structural modal properties of a hydraulic gate be identified reliably when the surrounding water and the operating state themselves change the apparent dynamic properties?</w:t>
      </w:r>
      <w:r>
        <w:rPr>
          <w:rFonts w:ascii="Calibri" w:cs="Calibri" w:eastAsia="Calibri" w:hAnsi="Calibri"/>
          <w:color w:val="262B33"/>
          <w:sz w:val="21"/>
          <w:szCs w:val="21"/>
        </w:rPr>
        <w:t xml:space="preserve"> Without an answer, a frequency shift measured on a gate cannot be attributed with confidence to damage, to a different water level, or to a flow-excitation peak.</w:t>
      </w:r>
    </w:p>
    <w:p>
      <w:pPr>
        <w:pStyle w:val="Heading1"/>
        <w:keepNext/>
        <w:pBdr>
          <w:bottom w:val="single" w:color="3E7C7A" w:sz="4" w:space="2"/>
        </w:pBdr>
        <w:spacing w:after="80" w:before="220"/>
      </w:pPr>
      <w:r>
        <w:rPr>
          <w:rFonts w:ascii="Cambria" w:cs="Cambria" w:eastAsia="Cambria" w:hAnsi="Cambria"/>
          <w:color w:val="1F2A44"/>
          <w:sz w:val="25"/>
          <w:szCs w:val="25"/>
        </w:rPr>
        <w:t xml:space="preserve">Research gap</w:t>
      </w:r>
    </w:p>
    <w:p>
      <w:pPr>
        <w:spacing w:after="90" w:line="268"/>
        <w:jc w:val="both"/>
      </w:pPr>
      <w:r>
        <w:rPr>
          <w:rFonts w:ascii="Calibri" w:cs="Calibri" w:eastAsia="Calibri" w:hAnsi="Calibri"/>
          <w:color w:val="262B33"/>
          <w:sz w:val="21"/>
          <w:szCs w:val="21"/>
        </w:rPr>
        <w:t xml:space="preserve">Prof. Tarinejad's recent work develops </w:t>
      </w:r>
      <w:r>
        <w:rPr>
          <w:rFonts w:ascii="Calibri" w:cs="Calibri" w:eastAsia="Calibri" w:hAnsi="Calibri"/>
          <w:b/>
          <w:bCs/>
          <w:color w:val="262B33"/>
          <w:sz w:val="21"/>
          <w:szCs w:val="21"/>
        </w:rPr>
        <w:t xml:space="preserve">transmissibility-based OMA</w:t>
      </w:r>
      <w:r>
        <w:rPr>
          <w:rFonts w:ascii="Calibri" w:cs="Calibri" w:eastAsia="Calibri" w:hAnsi="Calibri"/>
          <w:color w:val="262B33"/>
          <w:sz w:val="21"/>
          <w:szCs w:val="21"/>
        </w:rPr>
        <w:t xml:space="preserve">: weighted transmissibility [1, 2] and multi-reference weighted Hermitian transmissibility [4]. These methods find structural poles where transmissibility functions measured under </w:t>
      </w:r>
      <w:r>
        <w:rPr>
          <w:rFonts w:ascii="Calibri" w:cs="Calibri" w:eastAsia="Calibri" w:hAnsi="Calibri"/>
          <w:b/>
          <w:bCs/>
          <w:color w:val="262B33"/>
          <w:sz w:val="21"/>
          <w:szCs w:val="21"/>
        </w:rPr>
        <w:t xml:space="preserve">different loading conditions</w:t>
      </w:r>
      <w:r>
        <w:rPr>
          <w:rFonts w:ascii="Calibri" w:cs="Calibri" w:eastAsia="Calibri" w:hAnsi="Calibri"/>
          <w:color w:val="262B33"/>
          <w:sz w:val="21"/>
          <w:szCs w:val="21"/>
        </w:rPr>
        <w:t xml:space="preserve"> coincide, which makes them less sensitive to the unknown input spectrum. That is attractive for coloured flow excitation. Recent work also notes that conventional OMA relies on white-noise, stationary-input assumptions [3].</w:t>
      </w:r>
    </w:p>
    <w:p>
      <w:pPr>
        <w:spacing w:after="90" w:line="268"/>
        <w:jc w:val="both"/>
      </w:pPr>
      <w:r>
        <w:rPr>
          <w:rFonts w:ascii="Calibri" w:cs="Calibri" w:eastAsia="Calibri" w:hAnsi="Calibri"/>
          <w:color w:val="262B33"/>
          <w:sz w:val="21"/>
          <w:szCs w:val="21"/>
        </w:rPr>
        <w:t xml:space="preserve">These formulations assume that the </w:t>
      </w:r>
      <w:r>
        <w:rPr>
          <w:rFonts w:ascii="Calibri" w:cs="Calibri" w:eastAsia="Calibri" w:hAnsi="Calibri"/>
          <w:b/>
          <w:bCs/>
          <w:color w:val="262B33"/>
          <w:sz w:val="21"/>
          <w:szCs w:val="21"/>
        </w:rPr>
        <w:t xml:space="preserve">structure is the same</w:t>
      </w:r>
      <w:r>
        <w:rPr>
          <w:rFonts w:ascii="Calibri" w:cs="Calibri" w:eastAsia="Calibri" w:hAnsi="Calibri"/>
          <w:color w:val="262B33"/>
          <w:sz w:val="21"/>
          <w:szCs w:val="21"/>
        </w:rPr>
        <w:t xml:space="preserve"> across the loading conditions used; the multi-reference approach [4] relaxes the requirements on the loading, not on the structure. In a hydraulic gate, the natural way to obtain different loading conditions (changing head, opening or submergence) also changes the structure's effective mass and damping, which violates the assumption at the point where the method relies on it. In a targeted check, no transmissibility-based or operating-state-parameterised OMA of hydraulic gates was found. This appears insufficiently addressed, subject to a structured confirmation review.</w:t>
      </w:r>
    </w:p>
    <w:p>
      <w:pPr>
        <w:pStyle w:val="Heading2"/>
        <w:keepNext/>
        <w:spacing w:after="60" w:before="140"/>
      </w:pPr>
      <w:r>
        <w:rPr>
          <w:rFonts w:ascii="Cambria" w:cs="Cambria" w:eastAsia="Cambria" w:hAnsi="Cambria"/>
          <w:b/>
          <w:bCs/>
          <w:color w:val="3E7C7A"/>
          <w:sz w:val="22"/>
          <w:szCs w:val="22"/>
        </w:rPr>
        <w:t xml:space="preserve">How the proposed approach differs from conventional OMA</w:t>
      </w:r>
    </w:p>
    <w:tbl>
      <w:tblPr>
        <w:tblW w:type="dxa" w:w="9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722"/>
        <w:gridCol w:w="3724"/>
      </w:tblGrid>
      <w:tr>
        <w:trPr>
          <w:cantSplit/>
          <w:tblHeader/>
        </w:trPr>
        <w:tc>
          <w:tcPr>
            <w:tcW w:type="dxa" w:w="2100"/>
            <w:tcBorders>
              <w:top w:val="single" w:color="C9D3DA" w:sz="4"/>
              <w:left w:val="single" w:color="C9D3DA" w:sz="4"/>
              <w:bottom w:val="single" w:color="C9D3DA" w:sz="4"/>
              <w:right w:val="single" w:color="C9D3DA" w:sz="4"/>
            </w:tcBorders>
            <w:shd w:fill="1F2A44"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b/>
                <w:bCs/>
                <w:color w:val="FFFFFF"/>
                <w:sz w:val="18"/>
                <w:szCs w:val="18"/>
              </w:rPr>
              <w:t xml:space="preserve">Aspect</w:t>
            </w:r>
          </w:p>
        </w:tc>
        <w:tc>
          <w:tcPr>
            <w:tcW w:type="dxa" w:w="3722"/>
            <w:tcBorders>
              <w:top w:val="single" w:color="C9D3DA" w:sz="4"/>
              <w:left w:val="single" w:color="C9D3DA" w:sz="4"/>
              <w:bottom w:val="single" w:color="C9D3DA" w:sz="4"/>
              <w:right w:val="single" w:color="C9D3DA" w:sz="4"/>
            </w:tcBorders>
            <w:shd w:fill="1F2A44"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b/>
                <w:bCs/>
                <w:color w:val="FFFFFF"/>
                <w:sz w:val="18"/>
                <w:szCs w:val="18"/>
              </w:rPr>
              <w:t xml:space="preserve">Conventional OMA (incl. current transmissibility methods)</w:t>
            </w:r>
          </w:p>
        </w:tc>
        <w:tc>
          <w:tcPr>
            <w:tcW w:type="dxa" w:w="3724"/>
            <w:tcBorders>
              <w:top w:val="single" w:color="C9D3DA" w:sz="4"/>
              <w:left w:val="single" w:color="C9D3DA" w:sz="4"/>
              <w:bottom w:val="single" w:color="C9D3DA" w:sz="4"/>
              <w:right w:val="single" w:color="C9D3DA" w:sz="4"/>
            </w:tcBorders>
            <w:shd w:fill="1F2A44"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b/>
                <w:bCs/>
                <w:color w:val="FFFFFF"/>
                <w:sz w:val="18"/>
                <w:szCs w:val="18"/>
              </w:rPr>
              <w:t xml:space="preserve">Proposed approach</w:t>
            </w:r>
          </w:p>
        </w:tc>
      </w:tr>
      <w:tr>
        <w:trPr>
          <w:cantSplit/>
        </w:trPr>
        <w:tc>
          <w:tcPr>
            <w:tcW w:type="dxa" w:w="2100"/>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System assumption</w:t>
            </w:r>
          </w:p>
        </w:tc>
        <w:tc>
          <w:tcPr>
            <w:tcW w:type="dxa" w:w="3722"/>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Time-invariant structure</w:t>
            </w:r>
          </w:p>
        </w:tc>
        <w:tc>
          <w:tcPr>
            <w:tcW w:type="dxa" w:w="3724"/>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Modal properties depend on a measured hydraulic state θ (e.g. submergence ratio, head)</w:t>
            </w:r>
          </w:p>
        </w:tc>
      </w:tr>
      <w:tr>
        <w:trPr>
          <w:cantSplit/>
        </w:trPr>
        <w:tc>
          <w:tcPr>
            <w:tcW w:type="dxa" w:w="2100"/>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Input assumption</w:t>
            </w:r>
          </w:p>
        </w:tc>
        <w:tc>
          <w:tcPr>
            <w:tcW w:type="dxa" w:w="3722"/>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White, stationary (SSI/FDD); or several loadings on one unchanged structure (transmissibility)</w:t>
            </w:r>
          </w:p>
        </w:tc>
        <w:tc>
          <w:tcPr>
            <w:tcW w:type="dxa" w:w="3724"/>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Coloured flow excitation that changes with θ, including narrow-band components</w:t>
            </w:r>
          </w:p>
        </w:tc>
      </w:tr>
      <w:tr>
        <w:trPr>
          <w:cantSplit/>
        </w:trPr>
        <w:tc>
          <w:tcPr>
            <w:tcW w:type="dxa" w:w="2100"/>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Pole model</w:t>
            </w:r>
          </w:p>
        </w:tc>
        <w:tc>
          <w:tcPr>
            <w:tcW w:type="dxa" w:w="3722"/>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Fixed poles λr</w:t>
            </w:r>
          </w:p>
        </w:tc>
        <w:tc>
          <w:tcPr>
            <w:tcW w:type="dxa" w:w="3724"/>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Pole trajectories λr(θ) estimated across operating states</w:t>
            </w:r>
          </w:p>
        </w:tc>
      </w:tr>
      <w:tr>
        <w:trPr>
          <w:cantSplit/>
        </w:trPr>
        <w:tc>
          <w:tcPr>
            <w:tcW w:type="dxa" w:w="2100"/>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Spurious peaks</w:t>
            </w:r>
          </w:p>
        </w:tc>
        <w:tc>
          <w:tcPr>
            <w:tcW w:type="dxa" w:w="3722"/>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Removed by stabilisation or clustering</w:t>
            </w:r>
          </w:p>
        </w:tc>
        <w:tc>
          <w:tcPr>
            <w:tcW w:type="dxa" w:w="3724"/>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Separated physically: structural poles follow added mass; excitation peaks follow flow velocity</w:t>
            </w:r>
          </w:p>
        </w:tc>
      </w:tr>
    </w:tbl>
    <w:p>
      <w:pPr>
        <w:spacing w:after="100" w:before="0"/>
      </w:pPr>
    </w:p>
    <w:p>
      <w:pPr>
        <w:pStyle w:val="Heading1"/>
        <w:keepNext/>
        <w:pBdr>
          <w:bottom w:val="single" w:color="3E7C7A" w:sz="4" w:space="2"/>
        </w:pBdr>
        <w:spacing w:after="80" w:before="220"/>
      </w:pPr>
      <w:r>
        <w:rPr>
          <w:rFonts w:ascii="Cambria" w:cs="Cambria" w:eastAsia="Cambria" w:hAnsi="Cambria"/>
          <w:color w:val="1F2A44"/>
          <w:sz w:val="25"/>
          <w:szCs w:val="25"/>
        </w:rPr>
        <w:t xml:space="preserve">Core question and working hypothesis</w:t>
      </w:r>
    </w:p>
    <w:tbl>
      <w:tblPr>
        <w:tblW w:type="dxa" w:w="9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6"/>
      </w:tblGrid>
      <w:tr>
        <w:trPr>
          <w:cantSplit/>
        </w:trPr>
        <w:tc>
          <w:tcPr>
            <w:tcW w:type="dxa" w:w="9546"/>
            <w:tcBorders>
              <w:top w:val="none" w:color="FFFFFF" w:sz="0"/>
              <w:left w:val="single" w:color="3E7C7A" w:sz="20"/>
              <w:bottom w:val="none" w:color="FFFFFF" w:sz="0"/>
              <w:right w:val="none" w:color="FFFFFF" w:sz="0"/>
            </w:tcBorders>
            <w:shd w:fill="EAF2F1" w:color="auto" w:val="clear"/>
            <w:tcMar>
              <w:top w:type="dxa" w:w="80"/>
              <w:left w:type="dxa" w:w="150"/>
              <w:bottom w:type="dxa" w:w="80"/>
              <w:right w:type="dxa" w:w="150"/>
            </w:tcMar>
          </w:tcPr>
          <w:p>
            <w:pPr>
              <w:spacing w:after="40"/>
            </w:pPr>
            <w:r>
              <w:rPr>
                <w:rFonts w:ascii="Cambria" w:cs="Cambria" w:eastAsia="Cambria" w:hAnsi="Cambria"/>
                <w:b/>
                <w:bCs/>
                <w:color w:val="1F2A44"/>
                <w:sz w:val="21"/>
                <w:szCs w:val="21"/>
              </w:rPr>
              <w:t xml:space="preserve">Core scientific question</w:t>
            </w:r>
          </w:p>
          <w:p>
            <w:pPr>
              <w:spacing w:after="0" w:line="260"/>
            </w:pPr>
            <w:r>
              <w:rPr>
                <w:rFonts w:ascii="Calibri" w:cs="Calibri" w:eastAsia="Calibri" w:hAnsi="Calibri"/>
                <w:color w:val="262B33"/>
                <w:sz w:val="20"/>
                <w:szCs w:val="20"/>
              </w:rPr>
              <w:t xml:space="preserve">How can output-only identification separate genuine structural poles from operating-state-induced pole shifts and from flow-excitation peaks in a water-interacting structure?</w:t>
            </w:r>
          </w:p>
        </w:tc>
      </w:tr>
    </w:tbl>
    <w:p>
      <w:pPr>
        <w:spacing w:after="100" w:before="0"/>
      </w:pPr>
    </w:p>
    <w:tbl>
      <w:tblPr>
        <w:tblW w:type="dxa" w:w="9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6"/>
      </w:tblGrid>
      <w:tr>
        <w:trPr>
          <w:cantSplit/>
        </w:trPr>
        <w:tc>
          <w:tcPr>
            <w:tcW w:type="dxa" w:w="9546"/>
            <w:tcBorders>
              <w:top w:val="none" w:color="FFFFFF" w:sz="0"/>
              <w:left w:val="single" w:color="3E7C7A" w:sz="20"/>
              <w:bottom w:val="none" w:color="FFFFFF" w:sz="0"/>
              <w:right w:val="none" w:color="FFFFFF" w:sz="0"/>
            </w:tcBorders>
            <w:shd w:fill="EAF2F1" w:color="auto" w:val="clear"/>
            <w:tcMar>
              <w:top w:type="dxa" w:w="80"/>
              <w:left w:type="dxa" w:w="150"/>
              <w:bottom w:type="dxa" w:w="80"/>
              <w:right w:type="dxa" w:w="150"/>
            </w:tcMar>
          </w:tcPr>
          <w:p>
            <w:pPr>
              <w:spacing w:after="40"/>
            </w:pPr>
            <w:r>
              <w:rPr>
                <w:rFonts w:ascii="Cambria" w:cs="Cambria" w:eastAsia="Cambria" w:hAnsi="Cambria"/>
                <w:b/>
                <w:bCs/>
                <w:color w:val="1F2A44"/>
                <w:sz w:val="21"/>
                <w:szCs w:val="21"/>
              </w:rPr>
              <w:t xml:space="preserve">Working hypothesis (to be tested)</w:t>
            </w:r>
          </w:p>
          <w:p>
            <w:pPr>
              <w:spacing w:after="0" w:line="260"/>
            </w:pPr>
            <w:r>
              <w:rPr>
                <w:rFonts w:ascii="Calibri" w:cs="Calibri" w:eastAsia="Calibri" w:hAnsi="Calibri"/>
                <w:color w:val="262B33"/>
                <w:sz w:val="20"/>
                <w:szCs w:val="20"/>
              </w:rPr>
              <w:t xml:space="preserve">When standard transmissibility OMA or SSI-COV pools data across operating states, it gives biased frequencies and spurious poles at flow-excitation peaks. If the poles are modelled as smooth functions λr(θ) of a measured hydraulic state θ, the identified frequencies and damping should agree with input–output (EMA) ground truth across the operating range. The target accuracy, to be refined, is about 2% for frequency and about 20% for damping. Structural poles and excitation peaks should be distinguishable by how they scale.</w:t>
            </w:r>
          </w:p>
        </w:tc>
      </w:tr>
    </w:tbl>
    <w:p>
      <w:pPr>
        <w:spacing w:after="100" w:before="0"/>
      </w:pPr>
    </w:p>
    <w:p>
      <w:pPr>
        <w:pStyle w:val="Heading1"/>
        <w:keepNext/>
        <w:pBdr>
          <w:bottom w:val="single" w:color="3E7C7A" w:sz="4" w:space="2"/>
        </w:pBdr>
        <w:spacing w:after="80" w:before="220"/>
      </w:pPr>
      <w:r>
        <w:rPr>
          <w:rFonts w:ascii="Cambria" w:cs="Cambria" w:eastAsia="Cambria" w:hAnsi="Cambria"/>
          <w:color w:val="1F2A44"/>
          <w:sz w:val="25"/>
          <w:szCs w:val="25"/>
        </w:rPr>
        <w:t xml:space="preserve">Methodology</w:t>
      </w:r>
    </w:p>
    <w:tbl>
      <w:tblPr>
        <w:tblW w:type="dxa" w:w="9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2"/>
        <w:gridCol w:w="5632"/>
        <w:gridCol w:w="2292"/>
      </w:tblGrid>
      <w:tr>
        <w:trPr>
          <w:cantSplit/>
          <w:tblHeader/>
        </w:trPr>
        <w:tc>
          <w:tcPr>
            <w:tcW w:type="dxa" w:w="1622"/>
            <w:tcBorders>
              <w:top w:val="single" w:color="C9D3DA" w:sz="4"/>
              <w:left w:val="single" w:color="C9D3DA" w:sz="4"/>
              <w:bottom w:val="single" w:color="C9D3DA" w:sz="4"/>
              <w:right w:val="single" w:color="C9D3DA" w:sz="4"/>
            </w:tcBorders>
            <w:shd w:fill="1F2A44"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b/>
                <w:bCs/>
                <w:color w:val="FFFFFF"/>
                <w:sz w:val="18"/>
                <w:szCs w:val="18"/>
              </w:rPr>
              <w:t xml:space="preserve">Work package</w:t>
            </w:r>
          </w:p>
        </w:tc>
        <w:tc>
          <w:tcPr>
            <w:tcW w:type="dxa" w:w="5632"/>
            <w:tcBorders>
              <w:top w:val="single" w:color="C9D3DA" w:sz="4"/>
              <w:left w:val="single" w:color="C9D3DA" w:sz="4"/>
              <w:bottom w:val="single" w:color="C9D3DA" w:sz="4"/>
              <w:right w:val="single" w:color="C9D3DA" w:sz="4"/>
            </w:tcBorders>
            <w:shd w:fill="1F2A44"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b/>
                <w:bCs/>
                <w:color w:val="FFFFFF"/>
                <w:sz w:val="18"/>
                <w:szCs w:val="18"/>
              </w:rPr>
              <w:t xml:space="preserve">Content</w:t>
            </w:r>
          </w:p>
        </w:tc>
        <w:tc>
          <w:tcPr>
            <w:tcW w:type="dxa" w:w="2292"/>
            <w:tcBorders>
              <w:top w:val="single" w:color="C9D3DA" w:sz="4"/>
              <w:left w:val="single" w:color="C9D3DA" w:sz="4"/>
              <w:bottom w:val="single" w:color="C9D3DA" w:sz="4"/>
              <w:right w:val="single" w:color="C9D3DA" w:sz="4"/>
            </w:tcBorders>
            <w:shd w:fill="1F2A44"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b/>
                <w:bCs/>
                <w:color w:val="FFFFFF"/>
                <w:sz w:val="18"/>
                <w:szCs w:val="18"/>
              </w:rPr>
              <w:t xml:space="preserve">Output</w:t>
            </w:r>
          </w:p>
        </w:tc>
      </w:tr>
      <w:tr>
        <w:trPr>
          <w:cantSplit/>
        </w:trPr>
        <w:tc>
          <w:tcPr>
            <w:tcW w:type="dxa" w:w="1622"/>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WP1 Theory</w:t>
            </w:r>
          </w:p>
        </w:tc>
        <w:tc>
          <w:tcPr>
            <w:tcW w:type="dxa" w:w="5632"/>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Extend the weighted/Hermitian transmissibility pole indicator [1, 4] to parameter-varying systems. Derive when transmissibility differences vanish at θ-dependent poles. Compare local (frozen-θ) and global (smooth-in-θ) estimators.</w:t>
            </w:r>
          </w:p>
        </w:tc>
        <w:tc>
          <w:tcPr>
            <w:tcW w:type="dxa" w:w="2292"/>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Formulation; Paper Z1</w:t>
            </w:r>
          </w:p>
        </w:tc>
      </w:tr>
      <w:tr>
        <w:trPr>
          <w:cantSplit/>
        </w:trPr>
        <w:tc>
          <w:tcPr>
            <w:tcW w:type="dxa" w:w="1622"/>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WP2 Numerical benchmark</w:t>
            </w:r>
          </w:p>
        </w:tc>
        <w:tc>
          <w:tcPr>
            <w:tcW w:type="dxa" w:w="5632"/>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FE model of a vertical-lift gate (plate and stiffeners) with submergence-dependent added mass. Driven by synthetic broadband plus narrow-band loads defined independently from the literature. Monte Carlo study of noise, record length and mode spacing.</w:t>
            </w:r>
          </w:p>
        </w:tc>
        <w:tc>
          <w:tcPr>
            <w:tcW w:type="dxa" w:w="2292"/>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Exact-pole benchmark; Paper Z1</w:t>
            </w:r>
          </w:p>
        </w:tc>
      </w:tr>
      <w:tr>
        <w:trPr>
          <w:cantSplit/>
        </w:trPr>
        <w:tc>
          <w:tcPr>
            <w:tcW w:type="dxa" w:w="1622"/>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WP3 Laboratory test-bed</w:t>
            </w:r>
          </w:p>
        </w:tc>
        <w:tc>
          <w:tcPr>
            <w:tcW w:type="dxa" w:w="5632"/>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One small flexible gate specimen in a flume. Still-water EMA (impact hammer) at 4–6 water levels. Operational runs under flow at 4–6 operating states.</w:t>
            </w:r>
          </w:p>
        </w:tc>
        <w:tc>
          <w:tcPr>
            <w:tcW w:type="dxa" w:w="2292"/>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Ground-truth validation; Paper Z2</w:t>
            </w:r>
          </w:p>
        </w:tc>
      </w:tr>
      <w:tr>
        <w:trPr>
          <w:cantSplit/>
        </w:trPr>
        <w:tc>
          <w:tcPr>
            <w:tcW w:type="dxa" w:w="1622"/>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WP4 Generality</w:t>
            </w:r>
          </w:p>
        </w:tc>
        <w:tc>
          <w:tcPr>
            <w:tcW w:type="dxa" w:w="5632"/>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Apply the method to public multi-event strong-motion records of an instrumented dam with different reservoir levels across events (e.g. Pacoima Dam, previously studied in [3]), with θ = reservoir level.</w:t>
            </w:r>
          </w:p>
        </w:tc>
        <w:tc>
          <w:tcPr>
            <w:tcW w:type="dxa" w:w="2292"/>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Field-scale demonstration; Paper Z3</w:t>
            </w:r>
          </w:p>
        </w:tc>
      </w:tr>
    </w:tbl>
    <w:p>
      <w:pPr>
        <w:spacing w:after="100" w:before="0"/>
      </w:pPr>
    </w:p>
    <w:p>
      <w:pPr>
        <w:pStyle w:val="Heading1"/>
        <w:keepNext/>
        <w:pBdr>
          <w:bottom w:val="single" w:color="3E7C7A" w:sz="4" w:space="2"/>
        </w:pBdr>
        <w:spacing w:after="80" w:before="220"/>
      </w:pPr>
      <w:r>
        <w:rPr>
          <w:rFonts w:ascii="Cambria" w:cs="Cambria" w:eastAsia="Cambria" w:hAnsi="Cambria"/>
          <w:color w:val="1F2A44"/>
          <w:sz w:val="25"/>
          <w:szCs w:val="25"/>
        </w:rPr>
        <w:t xml:space="preserve">Validation</w:t>
      </w:r>
    </w:p>
    <w:p>
      <w:pPr>
        <w:pStyle w:val="ListParagraph"/>
        <w:numPr>
          <w:ilvl w:val="0"/>
          <w:numId w:val="2"/>
        </w:numPr>
        <w:spacing w:after="40" w:line="260"/>
      </w:pPr>
      <w:r>
        <w:rPr>
          <w:rFonts w:ascii="Calibri" w:cs="Calibri" w:eastAsia="Calibri" w:hAnsi="Calibri"/>
          <w:b/>
          <w:bCs/>
          <w:color w:val="262B33"/>
          <w:sz w:val="21"/>
          <w:szCs w:val="21"/>
        </w:rPr>
        <w:t xml:space="preserve">Numerical:</w:t>
      </w:r>
      <w:r>
        <w:rPr>
          <w:rFonts w:ascii="Calibri" w:cs="Calibri" w:eastAsia="Calibri" w:hAnsi="Calibri"/>
          <w:color w:val="262B33"/>
          <w:sz w:val="21"/>
          <w:szCs w:val="21"/>
        </w:rPr>
        <w:t xml:space="preserve"> identified poles compared with exact FE poles at each θ, under controlled noise.</w:t>
      </w:r>
    </w:p>
    <w:p>
      <w:pPr>
        <w:pStyle w:val="ListParagraph"/>
        <w:numPr>
          <w:ilvl w:val="0"/>
          <w:numId w:val="2"/>
        </w:numPr>
        <w:spacing w:after="40" w:line="260"/>
      </w:pPr>
      <w:r>
        <w:rPr>
          <w:rFonts w:ascii="Calibri" w:cs="Calibri" w:eastAsia="Calibri" w:hAnsi="Calibri"/>
          <w:b/>
          <w:bCs/>
          <w:color w:val="262B33"/>
          <w:sz w:val="21"/>
          <w:szCs w:val="21"/>
        </w:rPr>
        <w:t xml:space="preserve">Laboratory:</w:t>
      </w:r>
      <w:r>
        <w:rPr>
          <w:rFonts w:ascii="Calibri" w:cs="Calibri" w:eastAsia="Calibri" w:hAnsi="Calibri"/>
          <w:color w:val="262B33"/>
          <w:sz w:val="21"/>
          <w:szCs w:val="21"/>
        </w:rPr>
        <w:t xml:space="preserve"> identified poles compared with EMA ground truth measured on the same specimen at the same water level.</w:t>
      </w:r>
    </w:p>
    <w:p>
      <w:pPr>
        <w:pStyle w:val="ListParagraph"/>
        <w:numPr>
          <w:ilvl w:val="0"/>
          <w:numId w:val="2"/>
        </w:numPr>
        <w:spacing w:after="40" w:line="260"/>
      </w:pPr>
      <w:r>
        <w:rPr>
          <w:rFonts w:ascii="Calibri" w:cs="Calibri" w:eastAsia="Calibri" w:hAnsi="Calibri"/>
          <w:b/>
          <w:bCs/>
          <w:color w:val="262B33"/>
          <w:sz w:val="21"/>
          <w:szCs w:val="21"/>
        </w:rPr>
        <w:t xml:space="preserve">Field-scale:</w:t>
      </w:r>
      <w:r>
        <w:rPr>
          <w:rFonts w:ascii="Calibri" w:cs="Calibri" w:eastAsia="Calibri" w:hAnsi="Calibri"/>
          <w:color w:val="262B33"/>
          <w:sz w:val="21"/>
          <w:szCs w:val="21"/>
        </w:rPr>
        <w:t xml:space="preserve"> identified dam modes compared with published identifications. Benchmarks: standard transmissibility OMA, a multi-reference method [4] and SSI-COV [3].</w:t>
      </w:r>
    </w:p>
    <w:p>
      <w:pPr>
        <w:pStyle w:val="ListParagraph"/>
        <w:numPr>
          <w:ilvl w:val="0"/>
          <w:numId w:val="2"/>
        </w:numPr>
        <w:spacing w:after="100" w:line="260"/>
      </w:pPr>
      <w:r>
        <w:rPr>
          <w:rFonts w:ascii="Calibri" w:cs="Calibri" w:eastAsia="Calibri" w:hAnsi="Calibri"/>
          <w:color w:val="262B33"/>
          <w:sz w:val="21"/>
          <w:szCs w:val="21"/>
        </w:rPr>
        <w:t xml:space="preserve">Validation does </w:t>
      </w:r>
      <w:r>
        <w:rPr>
          <w:rFonts w:ascii="Calibri" w:cs="Calibri" w:eastAsia="Calibri" w:hAnsi="Calibri"/>
          <w:b/>
          <w:bCs/>
          <w:color w:val="262B33"/>
          <w:sz w:val="21"/>
          <w:szCs w:val="21"/>
        </w:rPr>
        <w:t xml:space="preserve">not</w:t>
      </w:r>
      <w:r>
        <w:rPr>
          <w:rFonts w:ascii="Calibri" w:cs="Calibri" w:eastAsia="Calibri" w:hAnsi="Calibri"/>
          <w:color w:val="262B33"/>
          <w:sz w:val="21"/>
          <w:szCs w:val="21"/>
        </w:rPr>
        <w:t xml:space="preserve"> use any result from Jamal's thesis.</w:t>
      </w:r>
    </w:p>
    <w:p>
      <w:pPr>
        <w:pStyle w:val="Heading1"/>
        <w:keepNext/>
        <w:pBdr>
          <w:bottom w:val="single" w:color="3E7C7A" w:sz="4" w:space="2"/>
        </w:pBdr>
        <w:spacing w:after="80" w:before="220"/>
      </w:pPr>
      <w:r>
        <w:rPr>
          <w:rFonts w:ascii="Cambria" w:cs="Cambria" w:eastAsia="Cambria" w:hAnsi="Cambria"/>
          <w:color w:val="1F2A44"/>
          <w:sz w:val="25"/>
          <w:szCs w:val="25"/>
        </w:rPr>
        <w:t xml:space="preserve">Expected contribution and papers</w:t>
      </w:r>
    </w:p>
    <w:p>
      <w:pPr>
        <w:spacing w:after="90" w:line="268"/>
        <w:jc w:val="both"/>
      </w:pPr>
      <w:r>
        <w:rPr>
          <w:rFonts w:ascii="Calibri" w:cs="Calibri" w:eastAsia="Calibri" w:hAnsi="Calibri"/>
          <w:color w:val="262B33"/>
          <w:sz w:val="21"/>
          <w:szCs w:val="21"/>
        </w:rPr>
        <w:t xml:space="preserve">If the hypothesis holds, the thesis would provide an identification method that treats the hydraulic operating state as an explicit parameter of the modal model. This would extend Prof. Tarinejad's transmissibility line from seismic records of dams to flow-excited hydraulic structures, together with a validated test protocol for gates. The novelty is subject to the confirmation review.</w:t>
      </w:r>
    </w:p>
    <w:tbl>
      <w:tblPr>
        <w:tblW w:type="dxa" w:w="9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
        <w:gridCol w:w="5536"/>
        <w:gridCol w:w="3056"/>
      </w:tblGrid>
      <w:tr>
        <w:trPr>
          <w:cantSplit/>
          <w:tblHeader/>
        </w:trPr>
        <w:tc>
          <w:tcPr>
            <w:tcW w:type="dxa" w:w="954"/>
            <w:tcBorders>
              <w:top w:val="single" w:color="C9D3DA" w:sz="4"/>
              <w:left w:val="single" w:color="C9D3DA" w:sz="4"/>
              <w:bottom w:val="single" w:color="C9D3DA" w:sz="4"/>
              <w:right w:val="single" w:color="C9D3DA" w:sz="4"/>
            </w:tcBorders>
            <w:shd w:fill="1F2A44" w:color="auto" w:val="clear"/>
            <w:tcMar>
              <w:top w:type="dxa" w:w="45"/>
              <w:left w:type="dxa" w:w="90"/>
              <w:bottom w:type="dxa" w:w="45"/>
              <w:right w:type="dxa" w:w="90"/>
            </w:tcMar>
            <w:vAlign w:val="center"/>
          </w:tcPr>
          <w:p>
            <w:pPr>
              <w:keepNext/>
              <w:spacing w:after="0" w:before="0" w:line="245"/>
              <w:jc w:val="left"/>
            </w:pPr>
            <w:r>
              <w:rPr>
                <w:rFonts w:ascii="Calibri" w:cs="Calibri" w:eastAsia="Calibri" w:hAnsi="Calibri"/>
                <w:b/>
                <w:bCs/>
                <w:color w:val="FFFFFF"/>
                <w:sz w:val="18"/>
                <w:szCs w:val="18"/>
              </w:rPr>
              <w:t xml:space="preserve">Paper</w:t>
            </w:r>
          </w:p>
        </w:tc>
        <w:tc>
          <w:tcPr>
            <w:tcW w:type="dxa" w:w="5536"/>
            <w:tcBorders>
              <w:top w:val="single" w:color="C9D3DA" w:sz="4"/>
              <w:left w:val="single" w:color="C9D3DA" w:sz="4"/>
              <w:bottom w:val="single" w:color="C9D3DA" w:sz="4"/>
              <w:right w:val="single" w:color="C9D3DA" w:sz="4"/>
            </w:tcBorders>
            <w:shd w:fill="1F2A44" w:color="auto" w:val="clear"/>
            <w:tcMar>
              <w:top w:type="dxa" w:w="45"/>
              <w:left w:type="dxa" w:w="90"/>
              <w:bottom w:type="dxa" w:w="45"/>
              <w:right w:type="dxa" w:w="90"/>
            </w:tcMar>
            <w:vAlign w:val="center"/>
          </w:tcPr>
          <w:p>
            <w:pPr>
              <w:keepNext/>
              <w:spacing w:after="0" w:before="0" w:line="245"/>
              <w:jc w:val="left"/>
            </w:pPr>
            <w:r>
              <w:rPr>
                <w:rFonts w:ascii="Calibri" w:cs="Calibri" w:eastAsia="Calibri" w:hAnsi="Calibri"/>
                <w:b/>
                <w:bCs/>
                <w:color w:val="FFFFFF"/>
                <w:sz w:val="18"/>
                <w:szCs w:val="18"/>
              </w:rPr>
              <w:t xml:space="preserve">Indicative content</w:t>
            </w:r>
          </w:p>
        </w:tc>
        <w:tc>
          <w:tcPr>
            <w:tcW w:type="dxa" w:w="3056"/>
            <w:tcBorders>
              <w:top w:val="single" w:color="C9D3DA" w:sz="4"/>
              <w:left w:val="single" w:color="C9D3DA" w:sz="4"/>
              <w:bottom w:val="single" w:color="C9D3DA" w:sz="4"/>
              <w:right w:val="single" w:color="C9D3DA" w:sz="4"/>
            </w:tcBorders>
            <w:shd w:fill="1F2A44" w:color="auto" w:val="clear"/>
            <w:tcMar>
              <w:top w:type="dxa" w:w="45"/>
              <w:left w:type="dxa" w:w="90"/>
              <w:bottom w:type="dxa" w:w="45"/>
              <w:right w:type="dxa" w:w="90"/>
            </w:tcMar>
            <w:vAlign w:val="center"/>
          </w:tcPr>
          <w:p>
            <w:pPr>
              <w:keepNext/>
              <w:spacing w:after="0" w:before="0" w:line="245"/>
              <w:jc w:val="left"/>
            </w:pPr>
            <w:r>
              <w:rPr>
                <w:rFonts w:ascii="Calibri" w:cs="Calibri" w:eastAsia="Calibri" w:hAnsi="Calibri"/>
                <w:b/>
                <w:bCs/>
                <w:color w:val="FFFFFF"/>
                <w:sz w:val="18"/>
                <w:szCs w:val="18"/>
              </w:rPr>
              <w:t xml:space="preserve">Candidate journals</w:t>
            </w:r>
          </w:p>
        </w:tc>
      </w:tr>
      <w:tr>
        <w:trPr>
          <w:cantSplit/>
        </w:trPr>
        <w:tc>
          <w:tcPr>
            <w:tcW w:type="dxa" w:w="954"/>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spacing w:after="0" w:before="0" w:line="245"/>
              <w:jc w:val="left"/>
            </w:pPr>
            <w:r>
              <w:rPr>
                <w:rFonts w:ascii="Calibri" w:cs="Calibri" w:eastAsia="Calibri" w:hAnsi="Calibri"/>
                <w:color w:val="262B33"/>
                <w:sz w:val="18"/>
                <w:szCs w:val="18"/>
              </w:rPr>
              <w:t xml:space="preserve">Z1</w:t>
            </w:r>
          </w:p>
        </w:tc>
        <w:tc>
          <w:tcPr>
            <w:tcW w:type="dxa" w:w="5536"/>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spacing w:after="0" w:before="0" w:line="245"/>
              <w:jc w:val="left"/>
            </w:pPr>
            <w:r>
              <w:rPr>
                <w:rFonts w:ascii="Calibri" w:cs="Calibri" w:eastAsia="Calibri" w:hAnsi="Calibri"/>
                <w:color w:val="262B33"/>
                <w:sz w:val="18"/>
                <w:szCs w:val="18"/>
              </w:rPr>
              <w:t xml:space="preserve">Parameter-varying transmissibility formulation and numerical benchmark</w:t>
            </w:r>
          </w:p>
        </w:tc>
        <w:tc>
          <w:tcPr>
            <w:tcW w:type="dxa" w:w="3056"/>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spacing w:after="0" w:before="0" w:line="245"/>
              <w:jc w:val="left"/>
            </w:pPr>
            <w:r>
              <w:rPr>
                <w:rFonts w:ascii="Calibri" w:cs="Calibri" w:eastAsia="Calibri" w:hAnsi="Calibri"/>
                <w:color w:val="262B33"/>
                <w:sz w:val="18"/>
                <w:szCs w:val="18"/>
              </w:rPr>
              <w:t xml:space="preserve">Mech. Syst. Signal Process.; J. Sound Vib.</w:t>
            </w:r>
          </w:p>
        </w:tc>
      </w:tr>
      <w:tr>
        <w:trPr>
          <w:cantSplit/>
        </w:trPr>
        <w:tc>
          <w:tcPr>
            <w:tcW w:type="dxa" w:w="954"/>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spacing w:after="0" w:before="0" w:line="245"/>
              <w:jc w:val="left"/>
            </w:pPr>
            <w:r>
              <w:rPr>
                <w:rFonts w:ascii="Calibri" w:cs="Calibri" w:eastAsia="Calibri" w:hAnsi="Calibri"/>
                <w:color w:val="262B33"/>
                <w:sz w:val="18"/>
                <w:szCs w:val="18"/>
              </w:rPr>
              <w:t xml:space="preserve">Z2</w:t>
            </w:r>
          </w:p>
        </w:tc>
        <w:tc>
          <w:tcPr>
            <w:tcW w:type="dxa" w:w="5536"/>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spacing w:after="0" w:before="0" w:line="245"/>
              <w:jc w:val="left"/>
            </w:pPr>
            <w:r>
              <w:rPr>
                <w:rFonts w:ascii="Calibri" w:cs="Calibri" w:eastAsia="Calibri" w:hAnsi="Calibri"/>
                <w:color w:val="262B33"/>
                <w:sz w:val="18"/>
                <w:szCs w:val="18"/>
              </w:rPr>
              <w:t xml:space="preserve">Laboratory validation on a flow-excited gate with EMA ground truth</w:t>
            </w:r>
          </w:p>
        </w:tc>
        <w:tc>
          <w:tcPr>
            <w:tcW w:type="dxa" w:w="3056"/>
            <w:tcBorders>
              <w:top w:val="single" w:color="C9D3DA" w:sz="4"/>
              <w:left w:val="single" w:color="C9D3DA" w:sz="4"/>
              <w:bottom w:val="single" w:color="C9D3DA" w:sz="4"/>
              <w:right w:val="single" w:color="C9D3DA" w:sz="4"/>
            </w:tcBorders>
            <w:shd w:fill="F4F8F8" w:color="auto" w:val="clear"/>
            <w:tcMar>
              <w:top w:type="dxa" w:w="45"/>
              <w:left w:type="dxa" w:w="90"/>
              <w:bottom w:type="dxa" w:w="45"/>
              <w:right w:type="dxa" w:w="90"/>
            </w:tcMar>
            <w:vAlign w:val="center"/>
          </w:tcPr>
          <w:p>
            <w:pPr>
              <w:keepNext/>
              <w:spacing w:after="0" w:before="0" w:line="245"/>
              <w:jc w:val="left"/>
            </w:pPr>
            <w:r>
              <w:rPr>
                <w:rFonts w:ascii="Calibri" w:cs="Calibri" w:eastAsia="Calibri" w:hAnsi="Calibri"/>
                <w:color w:val="262B33"/>
                <w:sz w:val="18"/>
                <w:szCs w:val="18"/>
              </w:rPr>
              <w:t xml:space="preserve">J. Fluids Struct.; Struct. Control Health Monit.</w:t>
            </w:r>
          </w:p>
        </w:tc>
      </w:tr>
      <w:tr>
        <w:trPr>
          <w:cantSplit/>
        </w:trPr>
        <w:tc>
          <w:tcPr>
            <w:tcW w:type="dxa" w:w="954"/>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Z3</w:t>
            </w:r>
          </w:p>
        </w:tc>
        <w:tc>
          <w:tcPr>
            <w:tcW w:type="dxa" w:w="5536"/>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Dam application with reservoir-level-dependent records</w:t>
            </w:r>
          </w:p>
        </w:tc>
        <w:tc>
          <w:tcPr>
            <w:tcW w:type="dxa" w:w="3056"/>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Earthq. Eng. Struct. Dyn.; J. Vib. Control</w:t>
            </w:r>
          </w:p>
        </w:tc>
      </w:tr>
    </w:tbl>
    <w:p>
      <w:pPr>
        <w:spacing w:after="100" w:before="0"/>
      </w:pPr>
    </w:p>
    <w:p>
      <w:pPr>
        <w:pStyle w:val="Heading1"/>
        <w:keepNext/>
        <w:pBdr>
          <w:bottom w:val="single" w:color="3E7C7A" w:sz="4" w:space="2"/>
        </w:pBdr>
        <w:spacing w:after="80" w:before="220"/>
      </w:pPr>
      <w:r>
        <w:rPr>
          <w:rFonts w:ascii="Cambria" w:cs="Cambria" w:eastAsia="Cambria" w:hAnsi="Cambria"/>
          <w:color w:val="1F2A44"/>
          <w:sz w:val="25"/>
          <w:szCs w:val="25"/>
        </w:rPr>
        <w:t xml:space="preserve">Independence and minimum requirements</w:t>
      </w:r>
    </w:p>
    <w:p>
      <w:pPr>
        <w:pStyle w:val="ListParagraph"/>
        <w:numPr>
          <w:ilvl w:val="0"/>
          <w:numId w:val="2"/>
        </w:numPr>
        <w:spacing w:after="40" w:line="260"/>
      </w:pPr>
      <w:r>
        <w:rPr>
          <w:rFonts w:ascii="Calibri" w:cs="Calibri" w:eastAsia="Calibri" w:hAnsi="Calibri"/>
          <w:color w:val="262B33"/>
          <w:sz w:val="21"/>
          <w:szCs w:val="21"/>
        </w:rPr>
        <w:t xml:space="preserve">Uses its </w:t>
      </w:r>
      <w:r>
        <w:rPr>
          <w:rFonts w:ascii="Calibri" w:cs="Calibri" w:eastAsia="Calibri" w:hAnsi="Calibri"/>
          <w:b/>
          <w:bCs/>
          <w:color w:val="262B33"/>
          <w:sz w:val="21"/>
          <w:szCs w:val="21"/>
        </w:rPr>
        <w:t xml:space="preserve">own flexible specimen, accelerometers and EMA</w:t>
      </w:r>
      <w:r>
        <w:rPr>
          <w:rFonts w:ascii="Calibri" w:cs="Calibri" w:eastAsia="Calibri" w:hAnsi="Calibri"/>
          <w:color w:val="262B33"/>
          <w:sz w:val="21"/>
          <w:szCs w:val="21"/>
        </w:rPr>
        <w:t xml:space="preserve">, and </w:t>
      </w:r>
      <w:r>
        <w:rPr>
          <w:rFonts w:ascii="Calibri" w:cs="Calibri" w:eastAsia="Calibri" w:hAnsi="Calibri"/>
          <w:b/>
          <w:bCs/>
          <w:color w:val="262B33"/>
          <w:sz w:val="21"/>
          <w:szCs w:val="21"/>
        </w:rPr>
        <w:t xml:space="preserve">synthetic loads</w:t>
      </w:r>
      <w:r>
        <w:rPr>
          <w:rFonts w:ascii="Calibri" w:cs="Calibri" w:eastAsia="Calibri" w:hAnsi="Calibri"/>
          <w:color w:val="262B33"/>
          <w:sz w:val="21"/>
          <w:szCs w:val="21"/>
        </w:rPr>
        <w:t xml:space="preserve">. It does not need Jamal's pressure or load results.</w:t>
      </w:r>
    </w:p>
    <w:p>
      <w:pPr>
        <w:pStyle w:val="ListParagraph"/>
        <w:numPr>
          <w:ilvl w:val="0"/>
          <w:numId w:val="2"/>
        </w:numPr>
        <w:spacing w:after="40" w:line="260"/>
      </w:pPr>
      <w:r>
        <w:rPr>
          <w:rFonts w:ascii="Calibri" w:cs="Calibri" w:eastAsia="Calibri" w:hAnsi="Calibri"/>
          <w:color w:val="262B33"/>
          <w:sz w:val="21"/>
          <w:szCs w:val="21"/>
        </w:rPr>
        <w:t xml:space="preserve">Year 1 (theory and FE) needs no laboratory, and Paper Z3 uses public records, so the thesis remains executable if Jamal's work is delayed.</w:t>
      </w:r>
    </w:p>
    <w:p>
      <w:pPr>
        <w:pStyle w:val="ListParagraph"/>
        <w:numPr>
          <w:ilvl w:val="0"/>
          <w:numId w:val="2"/>
        </w:numPr>
        <w:spacing w:after="100" w:line="260"/>
      </w:pPr>
      <w:r>
        <w:rPr>
          <w:rFonts w:ascii="Calibri" w:cs="Calibri" w:eastAsia="Calibri" w:hAnsi="Calibri"/>
          <w:b/>
          <w:bCs/>
          <w:color w:val="262B33"/>
          <w:sz w:val="21"/>
          <w:szCs w:val="21"/>
        </w:rPr>
        <w:t xml:space="preserve">Essential:</w:t>
      </w:r>
      <w:r>
        <w:rPr>
          <w:rFonts w:ascii="Calibri" w:cs="Calibri" w:eastAsia="Calibri" w:hAnsi="Calibri"/>
          <w:color w:val="262B33"/>
          <w:sz w:val="21"/>
          <w:szCs w:val="21"/>
        </w:rPr>
        <w:t xml:space="preserve"> flume able to hold still water at several levels and run several flow states; one flexible gate specimen; 6–8 accelerometers; impact hammer with force sensor; synchronised DAQ (≥8 channels). Useful: strain gauges. Optional: laser vibrometer; field test on a regulator gate.</w:t>
      </w:r>
    </w:p>
    <w:p>
      <w:pPr>
        <w:pStyle w:val="Heading1"/>
        <w:keepNext/>
        <w:pBdr>
          <w:bottom w:val="single" w:color="3E7C7A" w:sz="4" w:space="2"/>
        </w:pBdr>
        <w:spacing w:after="80" w:before="220"/>
      </w:pPr>
      <w:r>
        <w:rPr>
          <w:rFonts w:ascii="Cambria" w:cs="Cambria" w:eastAsia="Cambria" w:hAnsi="Cambria"/>
          <w:color w:val="1F2A44"/>
          <w:sz w:val="25"/>
          <w:szCs w:val="25"/>
        </w:rPr>
        <w:t xml:space="preserve">Title options</w:t>
      </w:r>
    </w:p>
    <w:tbl>
      <w:tblPr>
        <w:tblW w:type="dxa" w:w="9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9"/>
        <w:gridCol w:w="7637"/>
      </w:tblGrid>
      <w:tr>
        <w:trPr>
          <w:cantSplit/>
        </w:trPr>
        <w:tc>
          <w:tcPr>
            <w:tcW w:type="dxa" w:w="1909"/>
            <w:tcBorders>
              <w:top w:val="single" w:color="C9D3DA" w:sz="4"/>
              <w:left w:val="single" w:color="C9D3DA" w:sz="4"/>
              <w:bottom w:val="single" w:color="C9D3DA" w:sz="4"/>
              <w:right w:val="single" w:color="C9D3DA" w:sz="4"/>
            </w:tcBorders>
            <w:shd w:fill="EAF2F1"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b/>
                <w:bCs/>
                <w:color w:val="262B33"/>
                <w:sz w:val="18"/>
                <w:szCs w:val="18"/>
              </w:rPr>
              <w:t xml:space="preserve">Discussion</w:t>
            </w:r>
          </w:p>
        </w:tc>
        <w:tc>
          <w:tcPr>
            <w:tcW w:type="dxa" w:w="7637"/>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Operational Modal Identification of Hydraulic Gates under Varying Flow Conditions</w:t>
            </w:r>
          </w:p>
        </w:tc>
      </w:tr>
      <w:tr>
        <w:trPr>
          <w:cantSplit/>
        </w:trPr>
        <w:tc>
          <w:tcPr>
            <w:tcW w:type="dxa" w:w="1909"/>
            <w:tcBorders>
              <w:top w:val="single" w:color="C9D3DA" w:sz="4"/>
              <w:left w:val="single" w:color="C9D3DA" w:sz="4"/>
              <w:bottom w:val="single" w:color="C9D3DA" w:sz="4"/>
              <w:right w:val="single" w:color="C9D3DA" w:sz="4"/>
            </w:tcBorders>
            <w:shd w:fill="EAF2F1"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b/>
                <w:bCs/>
                <w:color w:val="262B33"/>
                <w:sz w:val="18"/>
                <w:szCs w:val="18"/>
              </w:rPr>
              <w:t xml:space="preserve">Formal PhD</w:t>
            </w:r>
          </w:p>
        </w:tc>
        <w:tc>
          <w:tcPr>
            <w:tcW w:type="dxa" w:w="7637"/>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Operating-State-Dependent Operational Modal Analysis of Flow-Excited Hydraulic Gates Using Transmissibility Functions</w:t>
            </w:r>
          </w:p>
        </w:tc>
      </w:tr>
      <w:tr>
        <w:trPr>
          <w:cantSplit/>
        </w:trPr>
        <w:tc>
          <w:tcPr>
            <w:tcW w:type="dxa" w:w="1909"/>
            <w:tcBorders>
              <w:top w:val="single" w:color="C9D3DA" w:sz="4"/>
              <w:left w:val="single" w:color="C9D3DA" w:sz="4"/>
              <w:bottom w:val="single" w:color="C9D3DA" w:sz="4"/>
              <w:right w:val="single" w:color="C9D3DA" w:sz="4"/>
            </w:tcBorders>
            <w:shd w:fill="EAF2F1" w:color="auto" w:val="clear"/>
            <w:tcMar>
              <w:top w:type="dxa" w:w="45"/>
              <w:left w:type="dxa" w:w="90"/>
              <w:bottom w:type="dxa" w:w="45"/>
              <w:right w:type="dxa" w:w="90"/>
            </w:tcMar>
            <w:vAlign w:val="center"/>
          </w:tcPr>
          <w:p>
            <w:pPr>
              <w:keepNext w:val="false"/>
              <w:spacing w:after="0" w:before="0" w:line="245"/>
              <w:jc w:val="left"/>
            </w:pPr>
            <w:r>
              <w:rPr>
                <w:rFonts w:ascii="Calibri" w:cs="Calibri" w:eastAsia="Calibri" w:hAnsi="Calibri"/>
                <w:b/>
                <w:bCs/>
                <w:color w:val="262B33"/>
                <w:sz w:val="18"/>
                <w:szCs w:val="18"/>
              </w:rPr>
              <w:t xml:space="preserve">Publication</w:t>
            </w:r>
          </w:p>
        </w:tc>
        <w:tc>
          <w:tcPr>
            <w:tcW w:type="dxa" w:w="7637"/>
            <w:tcBorders>
              <w:top w:val="single" w:color="C9D3DA" w:sz="4"/>
              <w:left w:val="single" w:color="C9D3DA" w:sz="4"/>
              <w:bottom w:val="single" w:color="C9D3DA" w:sz="4"/>
              <w:right w:val="single" w:color="C9D3DA" w:sz="4"/>
            </w:tcBorders>
            <w:tcMar>
              <w:top w:type="dxa" w:w="45"/>
              <w:left w:type="dxa" w:w="90"/>
              <w:bottom w:type="dxa" w:w="45"/>
              <w:right w:type="dxa" w:w="90"/>
            </w:tcMar>
            <w:vAlign w:val="center"/>
          </w:tcPr>
          <w:p>
            <w:pPr>
              <w:keepNext w:val="false"/>
              <w:spacing w:after="0" w:before="0" w:line="245"/>
              <w:jc w:val="left"/>
            </w:pPr>
            <w:r>
              <w:rPr>
                <w:rFonts w:ascii="Calibri" w:cs="Calibri" w:eastAsia="Calibri" w:hAnsi="Calibri"/>
                <w:color w:val="262B33"/>
                <w:sz w:val="18"/>
                <w:szCs w:val="18"/>
              </w:rPr>
              <w:t xml:space="preserve">Parameter-varying transmissibility-based identification of hydraulic gates with water-level-dependent added mass</w:t>
            </w:r>
          </w:p>
        </w:tc>
      </w:tr>
    </w:tbl>
    <w:p>
      <w:pPr>
        <w:spacing w:after="100" w:before="0"/>
      </w:pPr>
    </w:p>
    <w:p>
      <w:pPr>
        <w:pStyle w:val="Heading2"/>
        <w:keepNext/>
        <w:spacing w:after="60" w:before="140"/>
      </w:pPr>
      <w:r>
        <w:rPr>
          <w:rFonts w:ascii="Cambria" w:cs="Cambria" w:eastAsia="Cambria" w:hAnsi="Cambria"/>
          <w:b/>
          <w:bCs/>
          <w:color w:val="3E7C7A"/>
          <w:sz w:val="22"/>
          <w:szCs w:val="22"/>
        </w:rPr>
        <w:t xml:space="preserve">References (supervisor's publications)</w:t>
      </w:r>
    </w:p>
    <w:p>
      <w:pPr>
        <w:spacing w:after="20" w:line="235"/>
        <w:ind w:left="340" w:hanging="340"/>
      </w:pPr>
      <w:r>
        <w:rPr>
          <w:rFonts w:ascii="Calibri" w:cs="Calibri" w:eastAsia="Calibri" w:hAnsi="Calibri"/>
          <w:b/>
          <w:bCs/>
          <w:color w:val="3E7C7A"/>
          <w:sz w:val="17"/>
          <w:szCs w:val="17"/>
        </w:rPr>
        <w:t xml:space="preserve">[1] </w:t>
      </w:r>
      <w:r>
        <w:rPr>
          <w:rFonts w:ascii="Calibri" w:cs="Calibri" w:eastAsia="Calibri" w:hAnsi="Calibri"/>
          <w:color w:val="262B33"/>
          <w:sz w:val="17"/>
          <w:szCs w:val="17"/>
        </w:rPr>
        <w:t xml:space="preserve">Damadipour M., Tarinejad R., Aminfar M.H. (2021). Seismic modal identification using a new approach based on weighted transmissibility. </w:t>
      </w:r>
      <w:r>
        <w:rPr>
          <w:rFonts w:ascii="Calibri" w:cs="Calibri" w:eastAsia="Calibri" w:hAnsi="Calibri"/>
          <w:i/>
          <w:iCs/>
          <w:color w:val="262B33"/>
          <w:sz w:val="17"/>
          <w:szCs w:val="17"/>
        </w:rPr>
        <w:t xml:space="preserve">Earthquake Engineering &amp; Structural Dynamics</w:t>
      </w:r>
      <w:r>
        <w:rPr>
          <w:rFonts w:ascii="Calibri" w:cs="Calibri" w:eastAsia="Calibri" w:hAnsi="Calibri"/>
          <w:color w:val="262B33"/>
          <w:sz w:val="17"/>
          <w:szCs w:val="17"/>
        </w:rPr>
        <w:t xml:space="preserve">, 50(7). https://doi.org/10.1002/eqe.3435</w:t>
      </w:r>
    </w:p>
    <w:p>
      <w:pPr>
        <w:spacing w:after="20" w:line="235"/>
        <w:ind w:left="340" w:hanging="340"/>
      </w:pPr>
      <w:r>
        <w:rPr>
          <w:rFonts w:ascii="Calibri" w:cs="Calibri" w:eastAsia="Calibri" w:hAnsi="Calibri"/>
          <w:b/>
          <w:bCs/>
          <w:color w:val="3E7C7A"/>
          <w:sz w:val="17"/>
          <w:szCs w:val="17"/>
        </w:rPr>
        <w:t xml:space="preserve">[2] </w:t>
      </w:r>
      <w:r>
        <w:rPr>
          <w:rFonts w:ascii="Calibri" w:cs="Calibri" w:eastAsia="Calibri" w:hAnsi="Calibri"/>
          <w:color w:val="262B33"/>
          <w:sz w:val="17"/>
          <w:szCs w:val="17"/>
        </w:rPr>
        <w:t xml:space="preserve">Damadipour M., Tarinejad R., Aminfar M.H. (2022). Structural system identification based on combining weighted transmissibility and wavelet transform. </w:t>
      </w:r>
      <w:r>
        <w:rPr>
          <w:rFonts w:ascii="Calibri" w:cs="Calibri" w:eastAsia="Calibri" w:hAnsi="Calibri"/>
          <w:i/>
          <w:iCs/>
          <w:color w:val="262B33"/>
          <w:sz w:val="17"/>
          <w:szCs w:val="17"/>
        </w:rPr>
        <w:t xml:space="preserve">Structural Control and Health Monitoring</w:t>
      </w:r>
      <w:r>
        <w:rPr>
          <w:rFonts w:ascii="Calibri" w:cs="Calibri" w:eastAsia="Calibri" w:hAnsi="Calibri"/>
          <w:color w:val="262B33"/>
          <w:sz w:val="17"/>
          <w:szCs w:val="17"/>
        </w:rPr>
        <w:t xml:space="preserve">, 29(2), e2868. https://doi.org/10.1002/stc.2868</w:t>
      </w:r>
    </w:p>
    <w:p>
      <w:pPr>
        <w:spacing w:after="20" w:line="235"/>
        <w:ind w:left="340" w:hanging="340"/>
      </w:pPr>
      <w:r>
        <w:rPr>
          <w:rFonts w:ascii="Calibri" w:cs="Calibri" w:eastAsia="Calibri" w:hAnsi="Calibri"/>
          <w:b/>
          <w:bCs/>
          <w:color w:val="3E7C7A"/>
          <w:sz w:val="17"/>
          <w:szCs w:val="17"/>
        </w:rPr>
        <w:t xml:space="preserve">[3] </w:t>
      </w:r>
      <w:r>
        <w:rPr>
          <w:rFonts w:ascii="Calibri" w:cs="Calibri" w:eastAsia="Calibri" w:hAnsi="Calibri"/>
          <w:color w:val="262B33"/>
          <w:sz w:val="17"/>
          <w:szCs w:val="17"/>
        </w:rPr>
        <w:t xml:space="preserve">Tarinejad R., Hafezi A., Pourgholi M. (2025). Automated modal analysis of an arch dam using a hybrid SSI framework based on error analysis and fuzzy clustering. </w:t>
      </w:r>
      <w:r>
        <w:rPr>
          <w:rFonts w:ascii="Calibri" w:cs="Calibri" w:eastAsia="Calibri" w:hAnsi="Calibri"/>
          <w:i/>
          <w:iCs/>
          <w:color w:val="262B33"/>
          <w:sz w:val="17"/>
          <w:szCs w:val="17"/>
        </w:rPr>
        <w:t xml:space="preserve">Journal of Vibration and Control</w:t>
      </w:r>
      <w:r>
        <w:rPr>
          <w:rFonts w:ascii="Calibri" w:cs="Calibri" w:eastAsia="Calibri" w:hAnsi="Calibri"/>
          <w:color w:val="262B33"/>
          <w:sz w:val="17"/>
          <w:szCs w:val="17"/>
        </w:rPr>
        <w:t xml:space="preserve">.</w:t>
      </w:r>
    </w:p>
    <w:p>
      <w:pPr>
        <w:spacing w:after="20" w:line="235"/>
        <w:ind w:left="340" w:hanging="340"/>
      </w:pPr>
      <w:r>
        <w:rPr>
          <w:rFonts w:ascii="Calibri" w:cs="Calibri" w:eastAsia="Calibri" w:hAnsi="Calibri"/>
          <w:b/>
          <w:bCs/>
          <w:color w:val="3E7C7A"/>
          <w:sz w:val="17"/>
          <w:szCs w:val="17"/>
        </w:rPr>
        <w:t xml:space="preserve">[4] </w:t>
      </w:r>
      <w:r>
        <w:rPr>
          <w:rFonts w:ascii="Calibri" w:cs="Calibri" w:eastAsia="Calibri" w:hAnsi="Calibri"/>
          <w:color w:val="262B33"/>
          <w:sz w:val="17"/>
          <w:szCs w:val="17"/>
        </w:rPr>
        <w:t xml:space="preserve">Tarinejad R., Amanzad F. (2025). Identification of operational modal parameters using multi-reference weighted Hermitian transmissibility functions. </w:t>
      </w:r>
      <w:r>
        <w:rPr>
          <w:rFonts w:ascii="Calibri" w:cs="Calibri" w:eastAsia="Calibri" w:hAnsi="Calibri"/>
          <w:i/>
          <w:iCs/>
          <w:color w:val="262B33"/>
          <w:sz w:val="17"/>
          <w:szCs w:val="17"/>
        </w:rPr>
        <w:t xml:space="preserve">Journal of Sound and Vibration</w:t>
      </w:r>
      <w:r>
        <w:rPr>
          <w:rFonts w:ascii="Calibri" w:cs="Calibri" w:eastAsia="Calibri" w:hAnsi="Calibri"/>
          <w:color w:val="262B33"/>
          <w:sz w:val="17"/>
          <w:szCs w:val="17"/>
        </w:rPr>
        <w:t xml:space="preserve">, 615, 119212. https://doi.org/10.1016/j.jsv.2025.119212</w:t>
      </w:r>
    </w:p>
    <w:sectPr>
      <w:headerReference w:type="default" r:id="rId7"/>
      <w:headerReference w:type="first" r:id="rId8"/>
      <w:footerReference w:type="default" r:id="rId9"/>
      <w:footerReference w:type="first" r:id="rId10"/>
      <w:pgSz w:w="11906" w:h="16838" w:orient="portrait"/>
      <w:pgMar w:top="1080" w:right="1180" w:bottom="1000" w:left="1180" w:header="52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46"/>
      </w:tabs>
    </w:pPr>
    <w:r>
      <w:rPr>
        <w:rFonts w:ascii="Calibri" w:cs="Calibri" w:eastAsia="Calibri" w:hAnsi="Calibri"/>
        <w:color w:val="5F6B7A"/>
        <w:sz w:val="15"/>
        <w:szCs w:val="15"/>
      </w:rPr>
      <w:t xml:space="preserve">Document 02 · Subject to supervisor confirmation</w:t>
    </w:r>
    <w:r>
      <w:rPr>
        <w:rFonts w:ascii="Calibri" w:cs="Calibri" w:eastAsia="Calibri" w:hAnsi="Calibri"/>
        <w:color w:val="5F6B7A"/>
        <w:sz w:val="15"/>
        <w:szCs w:val="15"/>
      </w:rPr>
      <w:t xml:space="preserve">	Page </w:t>
    </w:r>
    <w:r>
      <w:rPr>
        <w:rFonts w:ascii="Calibri" w:cs="Calibri" w:eastAsia="Calibri" w:hAnsi="Calibri"/>
        <w:color w:val="5F6B7A"/>
        <w:sz w:val="15"/>
        <w:szCs w:val="15"/>
      </w:rPr>
      <w:fldChar w:fldCharType="begin"/>
      <w:instrText xml:space="preserve">PAGE</w:instrText>
      <w:fldChar w:fldCharType="separate"/>
      <w:fldChar w:fldCharType="end"/>
    </w:r>
    <w:r>
      <w:rPr>
        <w:rFonts w:ascii="Calibri" w:cs="Calibri" w:eastAsia="Calibri" w:hAnsi="Calibri"/>
        <w:color w:val="5F6B7A"/>
        <w:sz w:val="15"/>
        <w:szCs w:val="15"/>
      </w:rPr>
      <w:t xml:space="preserve"> of </w:t>
    </w:r>
    <w:r>
      <w:rPr>
        <w:rFonts w:ascii="Calibri" w:cs="Calibri" w:eastAsia="Calibri" w:hAnsi="Calibri"/>
        <w:color w:val="5F6B7A"/>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46"/>
      </w:tabs>
    </w:pPr>
    <w:r>
      <w:rPr>
        <w:rFonts w:ascii="Calibri" w:cs="Calibri" w:eastAsia="Calibri" w:hAnsi="Calibri"/>
        <w:color w:val="5F6B7A"/>
        <w:sz w:val="15"/>
        <w:szCs w:val="15"/>
      </w:rPr>
      <w:t xml:space="preserve">Document 02 · Subject to supervisor confirmation</w:t>
    </w:r>
    <w:r>
      <w:rPr>
        <w:rFonts w:ascii="Calibri" w:cs="Calibri" w:eastAsia="Calibri" w:hAnsi="Calibri"/>
        <w:color w:val="5F6B7A"/>
        <w:sz w:val="15"/>
        <w:szCs w:val="15"/>
      </w:rPr>
      <w:t xml:space="preserve">	Page </w:t>
    </w:r>
    <w:r>
      <w:rPr>
        <w:rFonts w:ascii="Calibri" w:cs="Calibri" w:eastAsia="Calibri" w:hAnsi="Calibri"/>
        <w:color w:val="5F6B7A"/>
        <w:sz w:val="15"/>
        <w:szCs w:val="15"/>
      </w:rPr>
      <w:fldChar w:fldCharType="begin"/>
      <w:instrText xml:space="preserve">PAGE</w:instrText>
      <w:fldChar w:fldCharType="separate"/>
      <w:fldChar w:fldCharType="end"/>
    </w:r>
    <w:r>
      <w:rPr>
        <w:rFonts w:ascii="Calibri" w:cs="Calibri" w:eastAsia="Calibri" w:hAnsi="Calibri"/>
        <w:color w:val="5F6B7A"/>
        <w:sz w:val="15"/>
        <w:szCs w:val="15"/>
      </w:rPr>
      <w:t xml:space="preserve"> of </w:t>
    </w:r>
    <w:r>
      <w:rPr>
        <w:rFonts w:ascii="Calibri" w:cs="Calibri" w:eastAsia="Calibri" w:hAnsi="Calibri"/>
        <w:color w:val="5F6B7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A" w:sz="4" w:space="4"/>
      </w:pBdr>
      <w:tabs>
        <w:tab w:val="right" w:pos="9546"/>
      </w:tabs>
    </w:pPr>
    <w:r>
      <w:rPr>
        <w:rFonts w:ascii="Calibri" w:cs="Calibri" w:eastAsia="Calibri" w:hAnsi="Calibri"/>
        <w:color w:val="5F6B7A"/>
        <w:sz w:val="15"/>
        <w:szCs w:val="15"/>
      </w:rPr>
      <w:t xml:space="preserve">Preliminary PhD Research Discussion Package · University of Tabriz</w:t>
    </w:r>
    <w:r>
      <w:rPr>
        <w:rFonts w:ascii="Calibri" w:cs="Calibri" w:eastAsia="Calibri" w:hAnsi="Calibri"/>
        <w:color w:val="5F6B7A"/>
        <w:sz w:val="15"/>
        <w:szCs w:val="15"/>
      </w:rPr>
      <w:t xml:space="preserve">	Zina · Preliminary doctoral concept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50"/>
      </w:pPr>
      <w:rPr>
        <w:color w:val="3E7C7A"/>
      </w:rPr>
    </w:lvl>
  </w:abstractNum>
  <w:abstractNum w:abstractNumId="3" w15:restartNumberingAfterBreak="0">
    <w:multiLevelType w:val="hybridMultilevel"/>
    <w:lvl w:ilvl="0" w15:tentative="1">
      <w:start w:val="1"/>
      <w:numFmt w:val="decimal"/>
      <w:lvlText w:val="%1."/>
      <w:lvlJc w:val="left"/>
      <w:pPr>
        <w:ind w:left="400" w:hanging="290"/>
      </w:pPr>
      <w:rPr>
        <w:b/>
        <w:bCs/>
        <w:color w:val="3E7C7A"/>
      </w:rPr>
    </w:lvl>
  </w:abstractNum>
  <w:abstractNum w:abstractNumId="4" w15:restartNumberingAfterBreak="0">
    <w:multiLevelType w:val="hybridMultilevel"/>
    <w:lvl w:ilvl="0" w15:tentative="1">
      <w:start w:val="1"/>
      <w:numFmt w:val="decimal"/>
      <w:lvlText w:val="%1."/>
      <w:lvlJc w:val="left"/>
      <w:pPr>
        <w:ind w:left="400" w:hanging="290"/>
      </w:pPr>
      <w:rPr>
        <w:b/>
        <w:bCs/>
        <w:color w:val="3E7C7A"/>
      </w:rPr>
    </w:lvl>
  </w:abstractNum>
  <w:abstractNum w:abstractNumId="5" w15:restartNumberingAfterBreak="0">
    <w:multiLevelType w:val="hybridMultilevel"/>
    <w:lvl w:ilvl="0" w15:tentative="1">
      <w:start w:val="1"/>
      <w:numFmt w:val="decimal"/>
      <w:lvlText w:val="%1."/>
      <w:lvlJc w:val="left"/>
      <w:pPr>
        <w:ind w:left="400" w:hanging="290"/>
      </w:pPr>
      <w:rPr>
        <w:b/>
        <w:bCs/>
        <w:color w:val="3E7C7A"/>
      </w:rPr>
    </w:lvl>
  </w:abstractNum>
  <w:abstractNum w:abstractNumId="6" w15:restartNumberingAfterBreak="0">
    <w:multiLevelType w:val="hybridMultilevel"/>
    <w:lvl w:ilvl="0" w15:tentative="1">
      <w:start w:val="1"/>
      <w:numFmt w:val="decimal"/>
      <w:lvlText w:val="%1."/>
      <w:lvlJc w:val="left"/>
      <w:pPr>
        <w:ind w:left="400" w:hanging="290"/>
      </w:pPr>
      <w:rPr>
        <w:b/>
        <w:bCs/>
        <w:color w:val="3E7C7A"/>
      </w:rPr>
    </w:lvl>
  </w:abstractNum>
  <w:abstractNum w:abstractNumId="7" w15:restartNumberingAfterBreak="0">
    <w:multiLevelType w:val="hybridMultilevel"/>
    <w:lvl w:ilvl="0" w15:tentative="1">
      <w:start w:val="1"/>
      <w:numFmt w:val="decimal"/>
      <w:lvlText w:val="%1."/>
      <w:lvlJc w:val="left"/>
      <w:pPr>
        <w:ind w:left="400" w:hanging="290"/>
      </w:pPr>
      <w:rPr>
        <w:b/>
        <w:bCs/>
        <w:color w:val="3E7C7A"/>
      </w:rPr>
    </w:lvl>
  </w:abstractNum>
  <w:abstractNum w:abstractNumId="8" w15:restartNumberingAfterBreak="0">
    <w:multiLevelType w:val="hybridMultilevel"/>
    <w:lvl w:ilvl="0" w15:tentative="1">
      <w:start w:val="1"/>
      <w:numFmt w:val="decimal"/>
      <w:lvlText w:val="%1."/>
      <w:lvlJc w:val="left"/>
      <w:pPr>
        <w:ind w:left="400" w:hanging="290"/>
      </w:pPr>
      <w:rPr>
        <w:b/>
        <w:bCs/>
        <w:color w:val="3E7C7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B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color w:val="1F2A44"/>
      <w:sz w:val="25"/>
      <w:szCs w:val="25"/>
    </w:rPr>
  </w:style>
  <w:style w:type="paragraph" w:styleId="Heading2">
    <w:name w:val="Heading 2"/>
    <w:basedOn w:val="Normal"/>
    <w:next w:val="Normal"/>
    <w:qFormat/>
    <w:pPr>
      <w:outlineLvl w:val="1"/>
    </w:pPr>
    <w:rPr>
      <w:rFonts w:ascii="Cambria" w:cs="Cambria" w:eastAsia="Cambria" w:hAnsi="Cambria"/>
      <w:color w:val="3E7C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Zina — Preliminary Doctoral Concept</dc:title>
  <dc:creator>Zina and Jamal</dc:creator>
  <cp:lastModifiedBy>Un-named</cp:lastModifiedBy>
  <cp:revision>1</cp:revision>
  <dcterms:created xsi:type="dcterms:W3CDTF">2026-10-05T18:45:18.769Z</dcterms:created>
  <dcterms:modified xsi:type="dcterms:W3CDTF">2026-10-05T18:45:18.769Z</dcterms:modified>
</cp:coreProperties>
</file>

<file path=docProps/custom.xml><?xml version="1.0" encoding="utf-8"?>
<Properties xmlns="http://schemas.openxmlformats.org/officeDocument/2006/custom-properties" xmlns:vt="http://schemas.openxmlformats.org/officeDocument/2006/docPropsVTypes"/>
</file>