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C7A4A" w:sz="6" w:space="4"/>
        </w:pBdr>
        <w:tabs>
          <w:tab w:val="right" w:pos="9746"/>
        </w:tabs>
        <w:spacing w:after="60"/>
      </w:pPr>
      <w:r>
        <w:rPr>
          <w:rFonts w:ascii="Arial" w:cs="Arial" w:eastAsia="Arial" w:hAnsi="Arial"/>
          <w:b/>
          <w:bCs/>
          <w:color w:val="6B1E2C"/>
          <w:spacing w:val="20"/>
          <w:sz w:val="15"/>
          <w:szCs w:val="15"/>
        </w:rPr>
        <w:t xml:space="preserve">UNIVERSITY OF TABRIZ · FACULTY OF CIVIL ENGINEERING</w:t>
      </w:r>
      <w:r>
        <w:rPr>
          <w:rFonts w:ascii="Arial" w:cs="Arial" w:eastAsia="Arial" w:hAnsi="Arial"/>
          <w:color w:val="5A5A5A"/>
          <w:sz w:val="15"/>
          <w:szCs w:val="15"/>
        </w:rPr>
        <w:t xml:space="preserve">	Preliminary PhD Research Discussion Package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9C7A4A"/>
          <w:spacing w:val="30"/>
          <w:sz w:val="16"/>
          <w:szCs w:val="16"/>
        </w:rPr>
        <w:t xml:space="preserve">DOCUMENT 03 · PRELIMINARY DOCTORAL CONCEPT · JAMAL</w:t>
      </w:r>
    </w:p>
    <w:p>
      <w:pPr>
        <w:keepNext/>
        <w:pBdr>
          <w:left w:val="single" w:color="6B1E2C" w:sz="30" w:space="10"/>
        </w:pBdr>
        <w:spacing w:after="80" w:before="0"/>
      </w:pPr>
      <w:r>
        <w:rPr>
          <w:rFonts w:ascii="Arial" w:cs="Arial" w:eastAsia="Arial" w:hAnsi="Arial"/>
          <w:b/>
          <w:bCs/>
          <w:color w:val="6B1E2C"/>
          <w:sz w:val="34"/>
          <w:szCs w:val="34"/>
        </w:rPr>
        <w:t xml:space="preserve">Unsteady Hydrodynamic Loading of Sluice Gates with Bottom Sills</w:t>
      </w:r>
    </w:p>
    <w:p>
      <w:pPr>
        <w:bidi/>
        <w:spacing w:after="80" w:before="0"/>
        <w:jc w:val="left"/>
      </w:pPr>
      <w:r>
        <w:rPr>
          <w:rFonts w:ascii="Vazirmatn" w:cs="Vazirmatn" w:hAnsi="Vazirmatn"/>
          <w:b w:val="false"/>
          <w:color w:val="9C7A4A"/>
          <w:sz w:val="26"/>
          <w:szCs w:val="26"/>
          <w:rtl/>
          <w:lang w:bidi="fa-IR"/>
        </w:rPr>
        <w:t xml:space="preserve">بارگذاری هیدرودینامیکی ناپایدار دریچه‌های کشویی دارای آستانه</w:t>
      </w:r>
    </w:p>
    <w:p>
      <w:pPr>
        <w:pBdr>
          <w:bottom w:val="single" w:color="C8BDAE" w:sz="4" w:space="6"/>
        </w:pBdr>
        <w:spacing w:after="180" w:before="40"/>
      </w:pPr>
      <w:r>
        <w:rPr>
          <w:rFonts w:ascii="Arial" w:cs="Arial" w:eastAsia="Arial" w:hAnsi="Arial"/>
          <w:color w:val="5A5A5A"/>
          <w:sz w:val="17"/>
          <w:szCs w:val="17"/>
        </w:rPr>
        <w:t xml:space="preserve">Candidate: </w:t>
      </w:r>
      <w:r>
        <w:rPr>
          <w:rFonts w:ascii="Arial" w:cs="Arial" w:eastAsia="Arial" w:hAnsi="Arial"/>
          <w:b/>
          <w:bCs/>
          <w:color w:val="5A5A5A"/>
          <w:sz w:val="17"/>
          <w:szCs w:val="17"/>
        </w:rPr>
        <w:t xml:space="preserve">Jamal</w:t>
      </w:r>
      <w:r>
        <w:rPr>
          <w:rFonts w:ascii="Arial" w:cs="Arial" w:eastAsia="Arial" w:hAnsi="Arial"/>
          <w:color w:val="5A5A5A"/>
          <w:sz w:val="17"/>
          <w:szCs w:val="17"/>
        </w:rPr>
        <w:t xml:space="preserve">     Proposed supervisor: </w:t>
      </w:r>
      <w:r>
        <w:rPr>
          <w:rFonts w:ascii="Arial" w:cs="Arial" w:eastAsia="Arial" w:hAnsi="Arial"/>
          <w:b/>
          <w:bCs/>
          <w:color w:val="5A5A5A"/>
          <w:sz w:val="17"/>
          <w:szCs w:val="17"/>
        </w:rPr>
        <w:t xml:space="preserve">Prof. Reza Tarinejad</w:t>
      </w:r>
      <w:r>
        <w:rPr>
          <w:rFonts w:ascii="Arial" w:cs="Arial" w:eastAsia="Arial" w:hAnsi="Arial"/>
          <w:color w:val="5A5A5A"/>
          <w:sz w:val="17"/>
          <w:szCs w:val="17"/>
        </w:rPr>
        <w:t xml:space="preserve">     October 2026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single" w:color="9C7A4A" w:sz="20"/>
              <w:bottom w:val="none" w:color="FFFFFF" w:sz="0"/>
              <w:right w:val="none" w:color="FFFFFF" w:sz="0"/>
            </w:tcBorders>
            <w:shd w:fill="F5EFE6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1E2C"/>
                <w:sz w:val="19"/>
                <w:szCs w:val="19"/>
              </w:rPr>
              <w:t xml:space="preserve">Status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Preliminary concept prepared for discussion, subject to supervisor confirmation. Two points remain open: (1) a short recent-literature confirmation review of the gap; (2) confirmation that the scope does not overlap with current students' work. This concept is one half of a proposed paired programme and is independent of Zina's concept.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60" w:before="140"/>
      </w:pPr>
      <w:r>
        <w:rPr>
          <w:rFonts w:ascii="Arial" w:cs="Arial" w:eastAsia="Arial" w:hAnsi="Arial"/>
          <w:b/>
          <w:bCs/>
          <w:color w:val="6B1E2C"/>
          <w:sz w:val="20"/>
          <w:szCs w:val="20"/>
        </w:rPr>
        <w:t xml:space="preserve">Title options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4"/>
        <w:gridCol w:w="7992"/>
      </w:tblGrid>
      <w:tr>
        <w:trPr>
          <w:cantSplit/>
        </w:trPr>
        <w:tc>
          <w:tcPr>
            <w:tcW w:type="dxa" w:w="1754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F5EF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b/>
                <w:bCs/>
                <w:color w:val="2E2E2E"/>
                <w:sz w:val="16"/>
                <w:szCs w:val="16"/>
              </w:rPr>
              <w:t xml:space="preserve">Discussion</w:t>
            </w:r>
          </w:p>
        </w:tc>
        <w:tc>
          <w:tcPr>
            <w:tcW w:type="dxa" w:w="7992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Unsteady Hydrodynamic Loading of Sluice Gates with Bottom Sills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F5EF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b/>
                <w:bCs/>
                <w:color w:val="2E2E2E"/>
                <w:sz w:val="16"/>
                <w:szCs w:val="16"/>
              </w:rPr>
              <w:t xml:space="preserve">Formal PhD</w:t>
            </w:r>
          </w:p>
        </w:tc>
        <w:tc>
          <w:tcPr>
            <w:tcW w:type="dxa" w:w="7992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Hydrodynamic Load Regimes of Sluice Gates with Bottom Sills: Mechanisms, Scaling and the Discharge-Efficiency versus Dynamic-Load Trade-off</w:t>
            </w:r>
          </w:p>
        </w:tc>
      </w:tr>
      <w:tr>
        <w:trPr>
          <w:cantSplit/>
        </w:trPr>
        <w:tc>
          <w:tcPr>
            <w:tcW w:type="dxa" w:w="1754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F5EF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b/>
                <w:bCs/>
                <w:color w:val="2E2E2E"/>
                <w:sz w:val="16"/>
                <w:szCs w:val="16"/>
              </w:rPr>
              <w:t xml:space="preserve">Publication</w:t>
            </w:r>
          </w:p>
        </w:tc>
        <w:tc>
          <w:tcPr>
            <w:tcW w:type="dxa" w:w="7992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Regime-based scaling of fluctuating hydrodynamic loads on sill-equipped sluice gates</w:t>
            </w:r>
          </w:p>
        </w:tc>
      </w:tr>
    </w:tbl>
    <w:p>
      <w:pPr>
        <w:spacing w:after="100" w:before="0"/>
      </w:pPr>
    </w:p>
    <w:p>
      <w:pPr>
        <w:pStyle w:val="Heading1"/>
        <w:keepNext/>
        <w:pBdr>
          <w:left w:val="single" w:color="6B1E2C" w:sz="30" w:space="8"/>
        </w:pBdr>
        <w:shd w:fill="F5EFE6" w:color="auto" w:val="clear"/>
        <w:spacing w:after="80" w:before="200"/>
      </w:pPr>
      <w:r>
        <w:rPr>
          <w:rFonts w:ascii="Arial" w:cs="Arial" w:eastAsia="Arial" w:hAnsi="Arial"/>
          <w:b/>
          <w:bCs/>
          <w:color w:val="9C7A4A"/>
          <w:sz w:val="21"/>
          <w:szCs w:val="21"/>
        </w:rPr>
        <w:t xml:space="preserve">01  </w:t>
      </w:r>
      <w:r>
        <w:rPr>
          <w:rFonts w:ascii="Arial" w:cs="Arial" w:eastAsia="Arial" w:hAnsi="Arial"/>
          <w:b/>
          <w:bCs/>
          <w:color w:val="6B1E2C"/>
          <w:sz w:val="20"/>
          <w:szCs w:val="20"/>
        </w:rPr>
        <w:t xml:space="preserve">PROBLEM</w:t>
      </w:r>
    </w:p>
    <w:p>
      <w:pPr>
        <w:spacing w:after="90" w:line="268"/>
        <w:jc w:val="both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Adding a bottom sill under a gate is a known way to increase discharge capacity. In the supervisor's group, sills on </w:t>
      </w: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labyrinth sliding gates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increased the discharge coefficient by about 9.9–20.8%, depending on sill width [1]. The group's related work [1–3] characterises </w:t>
      </w: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time-averaged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performance. A sill also changes </w:t>
      </w: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where the flow separates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(gate lip, sill crest, or both), and therefore the </w:t>
      </w: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fluctuating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loads that drive gate vibration and fatigue. These loads appear not to have been quantified for sill-equipped gates, so an efficiency gain could carry an unmeasured dynamic cost.</w:t>
      </w:r>
    </w:p>
    <w:p>
      <w:pPr>
        <w:pStyle w:val="Heading1"/>
        <w:keepNext/>
        <w:pBdr>
          <w:left w:val="single" w:color="6B1E2C" w:sz="30" w:space="8"/>
        </w:pBdr>
        <w:shd w:fill="F5EFE6" w:color="auto" w:val="clear"/>
        <w:spacing w:after="80" w:before="200"/>
      </w:pPr>
      <w:r>
        <w:rPr>
          <w:rFonts w:ascii="Arial" w:cs="Arial" w:eastAsia="Arial" w:hAnsi="Arial"/>
          <w:b/>
          <w:bCs/>
          <w:color w:val="9C7A4A"/>
          <w:sz w:val="21"/>
          <w:szCs w:val="21"/>
        </w:rPr>
        <w:t xml:space="preserve">02  </w:t>
      </w:r>
      <w:r>
        <w:rPr>
          <w:rFonts w:ascii="Arial" w:cs="Arial" w:eastAsia="Arial" w:hAnsi="Arial"/>
          <w:b/>
          <w:bCs/>
          <w:color w:val="6B1E2C"/>
          <w:sz w:val="20"/>
          <w:szCs w:val="20"/>
        </w:rPr>
        <w:t xml:space="preserve">RESEARCH GAP</w:t>
      </w:r>
    </w:p>
    <w:p>
      <w:pPr>
        <w:spacing w:after="90" w:line="268"/>
        <w:jc w:val="both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The general physics of gate flow is </w:t>
      </w: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not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the gap: vortices, shear-layer oscillation below submerged gates and the effect of sills on </w:t>
      </w: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mean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pressure have been studied, as a targeted check confirmed. The narrower gap, which appears insufficiently addressed, concerns: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a </w:t>
      </w: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regime-based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description of which hydraulic conditions produce strong fluctuating loads on sill-equipped gates;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a </w:t>
      </w: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dimensionless relationship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linking sill geometry, opening and submergence to load magnitude and frequency content;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a </w:t>
      </w: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criterion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identifying operating regions that keep the discharge gain without raising dynamic excitation.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Fallback if the plain-sluice version is already covered: the same question for the group's labyrinth sliding gates with sills [1], for which no dynamic-load data were found.</w:t>
      </w:r>
    </w:p>
    <w:p>
      <w:pPr>
        <w:pStyle w:val="Heading1"/>
        <w:keepNext/>
        <w:pBdr>
          <w:left w:val="single" w:color="6B1E2C" w:sz="30" w:space="8"/>
        </w:pBdr>
        <w:shd w:fill="F5EFE6" w:color="auto" w:val="clear"/>
        <w:spacing w:after="80" w:before="200"/>
      </w:pPr>
      <w:r>
        <w:rPr>
          <w:rFonts w:ascii="Arial" w:cs="Arial" w:eastAsia="Arial" w:hAnsi="Arial"/>
          <w:b/>
          <w:bCs/>
          <w:color w:val="9C7A4A"/>
          <w:sz w:val="21"/>
          <w:szCs w:val="21"/>
        </w:rPr>
        <w:t xml:space="preserve">03  </w:t>
      </w:r>
      <w:r>
        <w:rPr>
          <w:rFonts w:ascii="Arial" w:cs="Arial" w:eastAsia="Arial" w:hAnsi="Arial"/>
          <w:b/>
          <w:bCs/>
          <w:color w:val="6B1E2C"/>
          <w:sz w:val="20"/>
          <w:szCs w:val="20"/>
        </w:rPr>
        <w:t xml:space="preserve">THE SCIENTIFIC CHAIN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23"/>
        <w:gridCol w:w="6823"/>
      </w:tblGrid>
      <w:tr>
        <w:trPr>
          <w:cantSplit/>
        </w:trPr>
        <w:tc>
          <w:tcPr>
            <w:tcW w:type="dxa" w:w="2923"/>
            <w:tcBorders>
              <w:top w:val="single" w:color="6B1E2C" w:sz="4"/>
              <w:left w:val="single" w:color="6B1E2C" w:sz="4"/>
              <w:bottom w:val="single" w:color="6B1E2C" w:sz="4"/>
              <w:right w:val="single" w:color="6B1E2C" w:sz="4"/>
            </w:tcBorders>
            <w:shd w:fill="6B1E2C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PHYSICAL MECHANISM</w:t>
            </w:r>
          </w:p>
        </w:tc>
        <w:tc>
          <w:tcPr>
            <w:tcW w:type="dxa" w:w="6823"/>
            <w:tcBorders>
              <w:top w:val="single" w:color="F5EFE6" w:sz="4"/>
              <w:left w:val="single" w:color="F5EFE6" w:sz="4"/>
              <w:bottom w:val="single" w:color="F5EFE6" w:sz="4"/>
              <w:right w:val="single" w:color="F5EFE6" w:sz="4"/>
            </w:tcBorders>
            <w:shd w:fill="F5EF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Which separation and shear-layer process dominates in each regime?</w:t>
            </w:r>
          </w:p>
        </w:tc>
      </w:tr>
      <w:tr>
        <w:trPr>
          <w:cantSplit/>
        </w:trPr>
        <w:tc>
          <w:tcPr>
            <w:tcW w:type="dxa" w:w="29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center"/>
            </w:pPr>
            <w:r>
              <w:rPr>
                <w:rFonts w:ascii="Arial" w:cs="Arial" w:eastAsia="Arial" w:hAnsi="Arial"/>
                <w:color w:val="9C7A4A"/>
                <w:sz w:val="13"/>
                <w:szCs w:val="13"/>
              </w:rPr>
              <w:t xml:space="preserve">▼</w:t>
            </w:r>
          </w:p>
        </w:tc>
        <w:tc>
          <w:tcPr>
            <w:tcW w:type="dxa" w:w="68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</w:p>
        </w:tc>
      </w:tr>
      <w:tr>
        <w:trPr>
          <w:cantSplit/>
        </w:trPr>
        <w:tc>
          <w:tcPr>
            <w:tcW w:type="dxa" w:w="2923"/>
            <w:tcBorders>
              <w:top w:val="single" w:color="6B1E2C" w:sz="4"/>
              <w:left w:val="single" w:color="6B1E2C" w:sz="4"/>
              <w:bottom w:val="single" w:color="6B1E2C" w:sz="4"/>
              <w:right w:val="single" w:color="6B1E2C" w:sz="4"/>
            </w:tcBorders>
            <w:shd w:fill="6B1E2C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LOAD CHARACTERISATION</w:t>
            </w:r>
          </w:p>
        </w:tc>
        <w:tc>
          <w:tcPr>
            <w:tcW w:type="dxa" w:w="6823"/>
            <w:tcBorders>
              <w:top w:val="single" w:color="F5EFE6" w:sz="4"/>
              <w:left w:val="single" w:color="F5EFE6" w:sz="4"/>
              <w:bottom w:val="single" w:color="F5EFE6" w:sz="4"/>
              <w:right w:val="single" w:color="F5EFE6" w:sz="4"/>
            </w:tcBorders>
            <w:shd w:fill="F5EF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RMS magnitude, frequency content, narrow-band versus broadband loading</w:t>
            </w:r>
          </w:p>
        </w:tc>
      </w:tr>
      <w:tr>
        <w:trPr>
          <w:cantSplit/>
        </w:trPr>
        <w:tc>
          <w:tcPr>
            <w:tcW w:type="dxa" w:w="29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center"/>
            </w:pPr>
            <w:r>
              <w:rPr>
                <w:rFonts w:ascii="Arial" w:cs="Arial" w:eastAsia="Arial" w:hAnsi="Arial"/>
                <w:color w:val="9C7A4A"/>
                <w:sz w:val="13"/>
                <w:szCs w:val="13"/>
              </w:rPr>
              <w:t xml:space="preserve">▼</w:t>
            </w:r>
          </w:p>
        </w:tc>
        <w:tc>
          <w:tcPr>
            <w:tcW w:type="dxa" w:w="68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</w:p>
        </w:tc>
      </w:tr>
      <w:tr>
        <w:trPr>
          <w:cantSplit/>
        </w:trPr>
        <w:tc>
          <w:tcPr>
            <w:tcW w:type="dxa" w:w="2923"/>
            <w:tcBorders>
              <w:top w:val="single" w:color="6B1E2C" w:sz="4"/>
              <w:left w:val="single" w:color="6B1E2C" w:sz="4"/>
              <w:bottom w:val="single" w:color="6B1E2C" w:sz="4"/>
              <w:right w:val="single" w:color="6B1E2C" w:sz="4"/>
            </w:tcBorders>
            <w:shd w:fill="6B1E2C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DIMENSIONLESS RELATION</w:t>
            </w:r>
          </w:p>
        </w:tc>
        <w:tc>
          <w:tcPr>
            <w:tcW w:type="dxa" w:w="6823"/>
            <w:tcBorders>
              <w:top w:val="single" w:color="F5EFE6" w:sz="4"/>
              <w:left w:val="single" w:color="F5EFE6" w:sz="4"/>
              <w:bottom w:val="single" w:color="F5EFE6" w:sz="4"/>
              <w:right w:val="single" w:color="F5EFE6" w:sz="4"/>
            </w:tcBorders>
            <w:shd w:fill="F5EF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Which groups, and which length scale, collapse the data?</w:t>
            </w:r>
          </w:p>
        </w:tc>
      </w:tr>
      <w:tr>
        <w:trPr>
          <w:cantSplit/>
        </w:trPr>
        <w:tc>
          <w:tcPr>
            <w:tcW w:type="dxa" w:w="29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center"/>
            </w:pPr>
            <w:r>
              <w:rPr>
                <w:rFonts w:ascii="Arial" w:cs="Arial" w:eastAsia="Arial" w:hAnsi="Arial"/>
                <w:color w:val="9C7A4A"/>
                <w:sz w:val="13"/>
                <w:szCs w:val="13"/>
              </w:rPr>
              <w:t xml:space="preserve">▼</w:t>
            </w:r>
          </w:p>
        </w:tc>
        <w:tc>
          <w:tcPr>
            <w:tcW w:type="dxa" w:w="68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0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</w:p>
        </w:tc>
      </w:tr>
      <w:tr>
        <w:trPr>
          <w:cantSplit/>
        </w:trPr>
        <w:tc>
          <w:tcPr>
            <w:tcW w:type="dxa" w:w="2923"/>
            <w:tcBorders>
              <w:top w:val="single" w:color="6B1E2C" w:sz="4"/>
              <w:left w:val="single" w:color="6B1E2C" w:sz="4"/>
              <w:bottom w:val="single" w:color="6B1E2C" w:sz="4"/>
              <w:right w:val="single" w:color="6B1E2C" w:sz="4"/>
            </w:tcBorders>
            <w:shd w:fill="6B1E2C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ENGINEERING CRITERION</w:t>
            </w:r>
          </w:p>
        </w:tc>
        <w:tc>
          <w:tcPr>
            <w:tcW w:type="dxa" w:w="6823"/>
            <w:tcBorders>
              <w:top w:val="single" w:color="F5EFE6" w:sz="4"/>
              <w:left w:val="single" w:color="F5EFE6" w:sz="4"/>
              <w:bottom w:val="single" w:color="F5EFE6" w:sz="4"/>
              <w:right w:val="single" w:color="F5EFE6" w:sz="4"/>
            </w:tcBorders>
            <w:shd w:fill="F5EFE6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Operating regions with high discharge efficiency and low dynamic load</w:t>
            </w:r>
          </w:p>
        </w:tc>
      </w:tr>
    </w:tbl>
    <w:p>
      <w:pPr>
        <w:spacing w:after="100" w:before="0"/>
      </w:pPr>
    </w:p>
    <w:p>
      <w:pPr>
        <w:spacing w:after="90" w:line="268"/>
        <w:jc w:val="both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Measurements and simulations are </w:t>
      </w: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means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to discover the mechanism and the scaling; this is not a measurement campaign. The deliverable is the relationship and criterion, tested on held-out configurations.</w:t>
      </w:r>
    </w:p>
    <w:p>
      <w:pPr>
        <w:pStyle w:val="Heading1"/>
        <w:keepNext/>
        <w:pBdr>
          <w:left w:val="single" w:color="6B1E2C" w:sz="30" w:space="8"/>
        </w:pBdr>
        <w:shd w:fill="F5EFE6" w:color="auto" w:val="clear"/>
        <w:spacing w:after="80" w:before="200"/>
      </w:pPr>
      <w:r>
        <w:rPr>
          <w:rFonts w:ascii="Arial" w:cs="Arial" w:eastAsia="Arial" w:hAnsi="Arial"/>
          <w:b/>
          <w:bCs/>
          <w:color w:val="9C7A4A"/>
          <w:sz w:val="21"/>
          <w:szCs w:val="21"/>
        </w:rPr>
        <w:t xml:space="preserve">04  </w:t>
      </w:r>
      <w:r>
        <w:rPr>
          <w:rFonts w:ascii="Arial" w:cs="Arial" w:eastAsia="Arial" w:hAnsi="Arial"/>
          <w:b/>
          <w:bCs/>
          <w:color w:val="6B1E2C"/>
          <w:sz w:val="20"/>
          <w:szCs w:val="20"/>
        </w:rPr>
        <w:t xml:space="preserve">HYDRAULIC REGIMES TO BE ESTABLISHED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44"/>
        <w:gridCol w:w="3898"/>
        <w:gridCol w:w="3704"/>
      </w:tblGrid>
      <w:tr>
        <w:trPr>
          <w:cantSplit/>
          <w:tblHeader/>
        </w:trPr>
        <w:tc>
          <w:tcPr>
            <w:tcW w:type="dxa" w:w="2144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3B3B3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Candidate regime (working hypothesis)</w:t>
            </w:r>
          </w:p>
        </w:tc>
        <w:tc>
          <w:tcPr>
            <w:tcW w:type="dxa" w:w="3898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3B3B3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dominant mechanism</w:t>
            </w:r>
          </w:p>
        </w:tc>
        <w:tc>
          <w:tcPr>
            <w:tcW w:type="dxa" w:w="3704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3B3B3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must be discovered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R1 Free flow, no or low sill</w:t>
            </w:r>
          </w:p>
        </w:tc>
        <w:tc>
          <w:tcPr>
            <w:tcW w:type="dxa" w:w="3898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Separation at the gate lip; shear layer of the contracted jet</w:t>
            </w:r>
          </w:p>
        </w:tc>
        <w:tc>
          <w:tcPr>
            <w:tcW w:type="dxa" w:w="3704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Baseline fluctuating-load level and spectral shape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F8F4EE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R2 Free flow, effective sill</w:t>
            </w:r>
          </w:p>
        </w:tc>
        <w:tc>
          <w:tcPr>
            <w:tcW w:type="dxa" w:w="3898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F8F4EE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A second separation point at the sill crest; possible reattachment on the sill depending on its length</w:t>
            </w:r>
          </w:p>
        </w:tc>
        <w:tc>
          <w:tcPr>
            <w:tcW w:type="dxa" w:w="3704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F8F4EE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The sill height and length at which control of separation shifts from lip to sill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R3 Submerged flow</w:t>
            </w:r>
          </w:p>
        </w:tc>
        <w:tc>
          <w:tcPr>
            <w:tcW w:type="dxa" w:w="3898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Recirculating roller over the jet; shear-layer feedback that may produce narrow-band oscillation</w:t>
            </w:r>
          </w:p>
        </w:tc>
        <w:tc>
          <w:tcPr>
            <w:tcW w:type="dxa" w:w="3704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Whether submergence turns broadband loading into narrow-band loading, and at what submergence</w:t>
            </w:r>
          </w:p>
        </w:tc>
      </w:tr>
      <w:tr>
        <w:trPr>
          <w:cantSplit/>
        </w:trPr>
        <w:tc>
          <w:tcPr>
            <w:tcW w:type="dxa" w:w="2144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F8F4EE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R4 Transition free ↔ submerged</w:t>
            </w:r>
          </w:p>
        </w:tc>
        <w:tc>
          <w:tcPr>
            <w:tcW w:type="dxa" w:w="3898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F8F4EE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Unstable switching between R1/R2 and R3</w:t>
            </w:r>
          </w:p>
        </w:tc>
        <w:tc>
          <w:tcPr>
            <w:tcW w:type="dxa" w:w="3704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F8F4EE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Regime boundaries and whether the transition produces load peaks</w:t>
            </w:r>
          </w:p>
        </w:tc>
      </w:tr>
    </w:tbl>
    <w:p>
      <w:pPr>
        <w:spacing w:after="100" w:before="0"/>
      </w:pPr>
    </w:p>
    <w:p>
      <w:pPr>
        <w:pStyle w:val="Heading1"/>
        <w:keepNext/>
        <w:pBdr>
          <w:left w:val="single" w:color="6B1E2C" w:sz="30" w:space="8"/>
        </w:pBdr>
        <w:shd w:fill="F5EFE6" w:color="auto" w:val="clear"/>
        <w:spacing w:after="80" w:before="200"/>
      </w:pPr>
      <w:r>
        <w:rPr>
          <w:rFonts w:ascii="Arial" w:cs="Arial" w:eastAsia="Arial" w:hAnsi="Arial"/>
          <w:b/>
          <w:bCs/>
          <w:color w:val="9C7A4A"/>
          <w:sz w:val="21"/>
          <w:szCs w:val="21"/>
        </w:rPr>
        <w:t xml:space="preserve">05  </w:t>
      </w:r>
      <w:r>
        <w:rPr>
          <w:rFonts w:ascii="Arial" w:cs="Arial" w:eastAsia="Arial" w:hAnsi="Arial"/>
          <w:b/>
          <w:bCs/>
          <w:color w:val="6B1E2C"/>
          <w:sz w:val="20"/>
          <w:szCs w:val="20"/>
        </w:rPr>
        <w:t xml:space="preserve">DIMENSIONLESS FRAMEWORK (CANDIDATES, NOT FINAL)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23"/>
        <w:gridCol w:w="6823"/>
      </w:tblGrid>
      <w:tr>
        <w:trPr>
          <w:cantSplit/>
          <w:tblHeader/>
        </w:trPr>
        <w:tc>
          <w:tcPr>
            <w:tcW w:type="dxa" w:w="2923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3B3B3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Group</w:t>
            </w:r>
          </w:p>
        </w:tc>
        <w:tc>
          <w:tcPr>
            <w:tcW w:type="dxa" w:w="6823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3B3B3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a/H1 (relative opening)</w:t>
            </w:r>
          </w:p>
        </w:tc>
        <w:tc>
          <w:tcPr>
            <w:tcW w:type="dxa" w:w="6823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Basic control variable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F8F4EE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s/a, Ls/a, xs/a</w:t>
            </w:r>
          </w:p>
        </w:tc>
        <w:tc>
          <w:tcPr>
            <w:tcW w:type="dxa" w:w="6823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F8F4EE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Relative sill height, length and position: geometry controlling separation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Submergence ratio (tailwater / opening)</w:t>
            </w:r>
          </w:p>
        </w:tc>
        <w:tc>
          <w:tcPr>
            <w:tcW w:type="dxa" w:w="6823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Free versus submerged regime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F8F4EE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Fr (at the contracted section)</w:t>
            </w:r>
          </w:p>
        </w:tc>
        <w:tc>
          <w:tcPr>
            <w:tcW w:type="dxa" w:w="6823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F8F4EE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Inertial scaling of the jet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St = f·ℓ/V</w:t>
            </w:r>
          </w:p>
        </w:tc>
        <w:tc>
          <w:tcPr>
            <w:tcW w:type="dxa" w:w="6823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Frequency scaling. The length scale ℓ is to be determined: contracted jet thickness, lip–sill gap, or sill length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F8F4EE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C′p, C′F (rms pressure and force coefficients)</w:t>
            </w:r>
          </w:p>
        </w:tc>
        <w:tc>
          <w:tcPr>
            <w:tcW w:type="dxa" w:w="6823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F8F4EE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Load magnitude normalised by jet dynamic pressure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Spectral concentration index</w:t>
            </w:r>
          </w:p>
        </w:tc>
        <w:tc>
          <w:tcPr>
            <w:tcW w:type="dxa" w:w="6823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Share of load energy in a narrow band (more critical for resonance)</w:t>
            </w:r>
          </w:p>
        </w:tc>
      </w:tr>
      <w:tr>
        <w:trPr>
          <w:cantSplit/>
        </w:trPr>
        <w:tc>
          <w:tcPr>
            <w:tcW w:type="dxa" w:w="2923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F8F4EE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Cd; Re</w:t>
            </w:r>
          </w:p>
        </w:tc>
        <w:tc>
          <w:tcPr>
            <w:tcW w:type="dxa" w:w="6823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F8F4EE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Hydraulic efficiency, paired with C′F for the trade-off; Re monitored to bound scale effects</w:t>
            </w:r>
          </w:p>
        </w:tc>
      </w:tr>
    </w:tbl>
    <w:p>
      <w:pPr>
        <w:spacing w:after="100" w:before="0"/>
      </w:pPr>
    </w:p>
    <w:p>
      <w:pPr>
        <w:pStyle w:val="Heading1"/>
        <w:keepNext/>
        <w:pBdr>
          <w:left w:val="single" w:color="6B1E2C" w:sz="30" w:space="8"/>
        </w:pBdr>
        <w:shd w:fill="F5EFE6" w:color="auto" w:val="clear"/>
        <w:spacing w:after="80" w:before="200"/>
      </w:pPr>
      <w:r>
        <w:rPr>
          <w:rFonts w:ascii="Arial" w:cs="Arial" w:eastAsia="Arial" w:hAnsi="Arial"/>
          <w:b/>
          <w:bCs/>
          <w:color w:val="9C7A4A"/>
          <w:sz w:val="21"/>
          <w:szCs w:val="21"/>
        </w:rPr>
        <w:t xml:space="preserve">06  </w:t>
      </w:r>
      <w:r>
        <w:rPr>
          <w:rFonts w:ascii="Arial" w:cs="Arial" w:eastAsia="Arial" w:hAnsi="Arial"/>
          <w:b/>
          <w:bCs/>
          <w:color w:val="6B1E2C"/>
          <w:sz w:val="20"/>
          <w:szCs w:val="20"/>
        </w:rPr>
        <w:t xml:space="preserve">WORKING HYPOTHESES (TO BE TESTED)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Mechanism.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Above a threshold relative sill height, control of separation moves from the gate lip to the sill crest. That shift changes both the level and the spectral shape of the fluctuating load.</w:t>
      </w:r>
    </w:p>
    <w:p>
      <w:pPr>
        <w:pStyle w:val="ListParagraph"/>
        <w:numPr>
          <w:ilvl w:val="0"/>
          <w:numId w:val="3"/>
        </w:numPr>
        <w:spacing w:after="40" w:line="260"/>
      </w:pP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Scaling.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Within each regime, the dominant load frequency collapses on a Strouhal number with a regime-specific length scale. Identifying that length scale is a primary outcome.</w:t>
      </w:r>
    </w:p>
    <w:p>
      <w:pPr>
        <w:pStyle w:val="ListParagraph"/>
        <w:numPr>
          <w:ilvl w:val="0"/>
          <w:numId w:val="3"/>
        </w:numPr>
        <w:spacing w:after="100" w:line="260"/>
      </w:pP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Trade-off.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 There is a range of sill geometry and operating conditions in which most of the discharge gain is kept while C′F and the spectral concentration stay at or below the no-sill reference.</w:t>
      </w:r>
    </w:p>
    <w:p>
      <w:pPr>
        <w:pStyle w:val="Heading1"/>
        <w:keepNext/>
        <w:pBdr>
          <w:left w:val="single" w:color="6B1E2C" w:sz="30" w:space="8"/>
        </w:pBdr>
        <w:shd w:fill="F5EFE6" w:color="auto" w:val="clear"/>
        <w:spacing w:after="80" w:before="200"/>
      </w:pPr>
      <w:r>
        <w:rPr>
          <w:rFonts w:ascii="Arial" w:cs="Arial" w:eastAsia="Arial" w:hAnsi="Arial"/>
          <w:b/>
          <w:bCs/>
          <w:color w:val="9C7A4A"/>
          <w:sz w:val="21"/>
          <w:szCs w:val="21"/>
        </w:rPr>
        <w:t xml:space="preserve">07  </w:t>
      </w:r>
      <w:r>
        <w:rPr>
          <w:rFonts w:ascii="Arial" w:cs="Arial" w:eastAsia="Arial" w:hAnsi="Arial"/>
          <w:b/>
          <w:bCs/>
          <w:color w:val="6B1E2C"/>
          <w:sz w:val="20"/>
          <w:szCs w:val="20"/>
        </w:rPr>
        <w:t xml:space="preserve">PREDICTIVE MODELLING DIRECTION</w:t>
      </w:r>
    </w:p>
    <w:p>
      <w:pPr>
        <w:spacing w:after="90" w:line="268"/>
        <w:jc w:val="both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No final equation is proposed in advance. The thesis must discover: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the regime boundaries in the (s/a, submergence, a/H1) space;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the length scale that collapses the dominant frequencies in each regime;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the functional dependence of C′F and of spectral concentration on the sill groups, within each regime;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whether one efficiency–load criterion holds across configurations, tested on held-out geometries.</w:t>
      </w:r>
    </w:p>
    <w:p>
      <w:pPr>
        <w:spacing w:after="90" w:line="268"/>
        <w:jc w:val="both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The proposed model form is </w:t>
      </w:r>
      <w:r>
        <w:rPr>
          <w:rFonts w:ascii="Arial" w:cs="Arial" w:eastAsia="Arial" w:hAnsi="Arial"/>
          <w:b/>
          <w:bCs/>
          <w:color w:val="2E2E2E"/>
          <w:sz w:val="19"/>
          <w:szCs w:val="19"/>
        </w:rPr>
        <w:t xml:space="preserve">semi-empirical and regime-conditioned</w:t>
      </w:r>
      <w:r>
        <w:rPr>
          <w:rFonts w:ascii="Arial" w:cs="Arial" w:eastAsia="Arial" w:hAnsi="Arial"/>
          <w:color w:val="2E2E2E"/>
          <w:sz w:val="19"/>
          <w:szCs w:val="19"/>
        </w:rPr>
        <w:t xml:space="preserve">, with the structure set by the mechanism and coefficients fitted to data. Black-box machine learning is not the contribution. CFD explains mechanisms; it does not replace experiments.</w:t>
      </w:r>
    </w:p>
    <w:p>
      <w:pPr>
        <w:pStyle w:val="Heading1"/>
        <w:keepNext/>
        <w:pBdr>
          <w:left w:val="single" w:color="6B1E2C" w:sz="30" w:space="8"/>
        </w:pBdr>
        <w:shd w:fill="F5EFE6" w:color="auto" w:val="clear"/>
        <w:spacing w:after="80" w:before="200"/>
      </w:pPr>
      <w:r>
        <w:rPr>
          <w:rFonts w:ascii="Arial" w:cs="Arial" w:eastAsia="Arial" w:hAnsi="Arial"/>
          <w:b/>
          <w:bCs/>
          <w:color w:val="9C7A4A"/>
          <w:sz w:val="21"/>
          <w:szCs w:val="21"/>
        </w:rPr>
        <w:t xml:space="preserve">08  </w:t>
      </w:r>
      <w:r>
        <w:rPr>
          <w:rFonts w:ascii="Arial" w:cs="Arial" w:eastAsia="Arial" w:hAnsi="Arial"/>
          <w:b/>
          <w:bCs/>
          <w:color w:val="6B1E2C"/>
          <w:sz w:val="20"/>
          <w:szCs w:val="20"/>
        </w:rPr>
        <w:t xml:space="preserve">METHODOLOGY AND BOUNDED SCOPE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6"/>
        <w:gridCol w:w="5750"/>
        <w:gridCol w:w="2340"/>
      </w:tblGrid>
      <w:tr>
        <w:trPr>
          <w:cantSplit/>
          <w:tblHeader/>
        </w:trPr>
        <w:tc>
          <w:tcPr>
            <w:tcW w:type="dxa" w:w="1656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3B3B3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Work package</w:t>
            </w:r>
          </w:p>
        </w:tc>
        <w:tc>
          <w:tcPr>
            <w:tcW w:type="dxa" w:w="5750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3B3B3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</w:t>
            </w:r>
          </w:p>
        </w:tc>
        <w:tc>
          <w:tcPr>
            <w:tcW w:type="dxa" w:w="2340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3B3B3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WP1 Framework</w:t>
            </w:r>
          </w:p>
        </w:tc>
        <w:tc>
          <w:tcPr>
            <w:tcW w:type="dxa" w:w="5750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Dimensional analysis, regime hypotheses, reduced test matrix</w:t>
            </w:r>
          </w:p>
        </w:tc>
        <w:tc>
          <w:tcPr>
            <w:tcW w:type="dxa" w:w="2340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Test plan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F8F4EE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WP2 Experiments</w:t>
            </w:r>
          </w:p>
        </w:tc>
        <w:tc>
          <w:tcPr>
            <w:tcW w:type="dxa" w:w="5750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F8F4EE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One </w:t>
            </w:r>
            <w:r>
              <w:rPr>
                <w:rFonts w:ascii="Arial" w:cs="Arial" w:eastAsia="Arial" w:hAnsi="Arial"/>
                <w:b/>
                <w:bCs/>
                <w:color w:val="2E2E2E"/>
                <w:sz w:val="16"/>
                <w:szCs w:val="16"/>
              </w:rPr>
              <w:t xml:space="preserve">rigid</w:t>
            </w: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 gate with 6–8 flush pressure transducers on the lip, skin plate and sill. Configurations: no sill plus 3 sill heights × 2 lengths (7 geometries) × 3 openings × 2–3 flow states (free, submerged), about 40–60 runs, a subset repeated</w:t>
            </w:r>
          </w:p>
        </w:tc>
        <w:tc>
          <w:tcPr>
            <w:tcW w:type="dxa" w:w="2340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F8F4EE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Load data; Paper J1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WP3 CFD</w:t>
            </w:r>
          </w:p>
        </w:tc>
        <w:tc>
          <w:tcPr>
            <w:tcW w:type="dxa" w:w="5750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LES or DES with VOF at about 6–8 selected cases. Mesh verified with the Richardson/GCI procedure used in [3]. Validated against measured spectra</w:t>
            </w:r>
          </w:p>
        </w:tc>
        <w:tc>
          <w:tcPr>
            <w:tcW w:type="dxa" w:w="2340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Mechanism evidence; Paper J2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F8F4EE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WP4 Model and criterion</w:t>
            </w:r>
          </w:p>
        </w:tc>
        <w:tc>
          <w:tcPr>
            <w:tcW w:type="dxa" w:w="5750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F8F4EE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Regime map, scaling relationship and efficiency–load criterion, checked on held-out configurations. Prototype-scale interpretation with a scale-effect discussion</w:t>
            </w:r>
          </w:p>
        </w:tc>
        <w:tc>
          <w:tcPr>
            <w:tcW w:type="dxa" w:w="2340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F8F4EE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Criterion; Paper J3</w:t>
            </w:r>
          </w:p>
        </w:tc>
      </w:tr>
    </w:tbl>
    <w:p>
      <w:pPr>
        <w:spacing w:after="100" w:before="0"/>
      </w:pPr>
    </w:p>
    <w:p>
      <w:pPr>
        <w:pStyle w:val="Heading1"/>
        <w:keepNext/>
        <w:pBdr>
          <w:left w:val="single" w:color="6B1E2C" w:sz="30" w:space="8"/>
        </w:pBdr>
        <w:shd w:fill="F5EFE6" w:color="auto" w:val="clear"/>
        <w:spacing w:after="80" w:before="200"/>
      </w:pPr>
      <w:r>
        <w:rPr>
          <w:rFonts w:ascii="Arial" w:cs="Arial" w:eastAsia="Arial" w:hAnsi="Arial"/>
          <w:b/>
          <w:bCs/>
          <w:color w:val="9C7A4A"/>
          <w:sz w:val="21"/>
          <w:szCs w:val="21"/>
        </w:rPr>
        <w:t xml:space="preserve">09  </w:t>
      </w:r>
      <w:r>
        <w:rPr>
          <w:rFonts w:ascii="Arial" w:cs="Arial" w:eastAsia="Arial" w:hAnsi="Arial"/>
          <w:b/>
          <w:bCs/>
          <w:color w:val="6B1E2C"/>
          <w:sz w:val="20"/>
          <w:szCs w:val="20"/>
        </w:rPr>
        <w:t xml:space="preserve">VALIDATION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Measured pressure spectra are the primary reference; CFD is accepted only where it reproduces them. The no-sill baseline is checked against classical underflow-gate data (compiled in the confirmation review).</w:t>
      </w:r>
    </w:p>
    <w:p>
      <w:pPr>
        <w:pStyle w:val="ListParagraph"/>
        <w:numPr>
          <w:ilvl w:val="0"/>
          <w:numId w:val="2"/>
        </w:numPr>
        <w:spacing w:after="100" w:line="260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Predictive check: the relationship and criterion are derived on part of the matrix and tested on held-out configurations.</w:t>
      </w:r>
    </w:p>
    <w:p>
      <w:pPr>
        <w:pStyle w:val="Heading1"/>
        <w:keepNext/>
        <w:pBdr>
          <w:left w:val="single" w:color="6B1E2C" w:sz="30" w:space="8"/>
        </w:pBdr>
        <w:shd w:fill="F5EFE6" w:color="auto" w:val="clear"/>
        <w:spacing w:after="80" w:before="200"/>
      </w:pPr>
      <w:r>
        <w:rPr>
          <w:rFonts w:ascii="Arial" w:cs="Arial" w:eastAsia="Arial" w:hAnsi="Arial"/>
          <w:b/>
          <w:bCs/>
          <w:color w:val="9C7A4A"/>
          <w:sz w:val="21"/>
          <w:szCs w:val="21"/>
        </w:rPr>
        <w:t xml:space="preserve">10  </w:t>
      </w:r>
      <w:r>
        <w:rPr>
          <w:rFonts w:ascii="Arial" w:cs="Arial" w:eastAsia="Arial" w:hAnsi="Arial"/>
          <w:b/>
          <w:bCs/>
          <w:color w:val="6B1E2C"/>
          <w:sz w:val="20"/>
          <w:szCs w:val="20"/>
        </w:rPr>
        <w:t xml:space="preserve">EXPECTED CONTRIBUTION AND PAPERS</w:t>
      </w:r>
    </w:p>
    <w:p>
      <w:pPr>
        <w:spacing w:after="90" w:line="268"/>
        <w:jc w:val="both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If the hypotheses hold: a regime-based, dimensionless description of fluctuating loads on sill-equipped gates and a criterion linking the group's discharge-efficiency results to dynamic safety (novelty subject to the confirmation review).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74"/>
        <w:gridCol w:w="5652"/>
        <w:gridCol w:w="3120"/>
      </w:tblGrid>
      <w:tr>
        <w:trPr>
          <w:cantSplit/>
          <w:tblHeader/>
        </w:trPr>
        <w:tc>
          <w:tcPr>
            <w:tcW w:type="dxa" w:w="974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3B3B3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before="0" w:line="24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Paper</w:t>
            </w:r>
          </w:p>
        </w:tc>
        <w:tc>
          <w:tcPr>
            <w:tcW w:type="dxa" w:w="5652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3B3B3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before="0" w:line="24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Indicative content</w:t>
            </w:r>
          </w:p>
        </w:tc>
        <w:tc>
          <w:tcPr>
            <w:tcW w:type="dxa" w:w="3120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3B3B3B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before="0" w:line="24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Candidate journals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J1</w:t>
            </w:r>
          </w:p>
        </w:tc>
        <w:tc>
          <w:tcPr>
            <w:tcW w:type="dxa" w:w="5652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Experimental fluctuating pressures and forces; regime identification</w:t>
            </w:r>
          </w:p>
        </w:tc>
        <w:tc>
          <w:tcPr>
            <w:tcW w:type="dxa" w:w="3120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J. Hydraulic Research; J. Hydraulic Eng.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F8F4EE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J2</w:t>
            </w:r>
          </w:p>
        </w:tc>
        <w:tc>
          <w:tcPr>
            <w:tcW w:type="dxa" w:w="5652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F8F4EE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Mechanism of separation control and Strouhal scaling (experiment + LES)</w:t>
            </w:r>
          </w:p>
        </w:tc>
        <w:tc>
          <w:tcPr>
            <w:tcW w:type="dxa" w:w="3120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shd w:fill="F8F4EE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J. Fluids Struct.; Physics of Fluids</w:t>
            </w:r>
          </w:p>
        </w:tc>
      </w:tr>
      <w:tr>
        <w:trPr>
          <w:cantSplit/>
        </w:trPr>
        <w:tc>
          <w:tcPr>
            <w:tcW w:type="dxa" w:w="974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J3</w:t>
            </w:r>
          </w:p>
        </w:tc>
        <w:tc>
          <w:tcPr>
            <w:tcW w:type="dxa" w:w="5652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Efficiency–dynamic-load criterion with prototype-scale interpretation</w:t>
            </w:r>
          </w:p>
        </w:tc>
        <w:tc>
          <w:tcPr>
            <w:tcW w:type="dxa" w:w="3120"/>
            <w:tcBorders>
              <w:top w:val="single" w:color="C8BDAE" w:sz="4"/>
              <w:left w:val="single" w:color="C8BDAE" w:sz="4"/>
              <w:bottom w:val="single" w:color="C8BDAE" w:sz="4"/>
              <w:right w:val="single" w:color="C8BDAE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keepNext w:val="false"/>
              <w:spacing w:after="0" w:before="0" w:line="245"/>
              <w:jc w:val="left"/>
            </w:pPr>
            <w:r>
              <w:rPr>
                <w:rFonts w:ascii="Arial" w:cs="Arial" w:eastAsia="Arial" w:hAnsi="Arial"/>
                <w:color w:val="2E2E2E"/>
                <w:sz w:val="16"/>
                <w:szCs w:val="16"/>
              </w:rPr>
              <w:t xml:space="preserve">Water Resources Management; J. Irrig. Drain. Eng.</w:t>
            </w:r>
          </w:p>
        </w:tc>
      </w:tr>
    </w:tbl>
    <w:p>
      <w:pPr>
        <w:spacing w:after="100" w:before="0"/>
      </w:pPr>
    </w:p>
    <w:p>
      <w:pPr>
        <w:pStyle w:val="Heading1"/>
        <w:keepNext/>
        <w:pBdr>
          <w:left w:val="single" w:color="6B1E2C" w:sz="30" w:space="8"/>
        </w:pBdr>
        <w:shd w:fill="F5EFE6" w:color="auto" w:val="clear"/>
        <w:spacing w:after="80" w:before="200"/>
      </w:pPr>
      <w:r>
        <w:rPr>
          <w:rFonts w:ascii="Arial" w:cs="Arial" w:eastAsia="Arial" w:hAnsi="Arial"/>
          <w:b/>
          <w:bCs/>
          <w:color w:val="9C7A4A"/>
          <w:sz w:val="21"/>
          <w:szCs w:val="21"/>
        </w:rPr>
        <w:t xml:space="preserve">11  </w:t>
      </w:r>
      <w:r>
        <w:rPr>
          <w:rFonts w:ascii="Arial" w:cs="Arial" w:eastAsia="Arial" w:hAnsi="Arial"/>
          <w:b/>
          <w:bCs/>
          <w:color w:val="6B1E2C"/>
          <w:sz w:val="20"/>
          <w:szCs w:val="20"/>
        </w:rPr>
        <w:t xml:space="preserve">INDEPENDENCE</w:t>
      </w:r>
    </w:p>
    <w:p>
      <w:pPr>
        <w:spacing w:after="90" w:line="268"/>
        <w:jc w:val="both"/>
      </w:pPr>
      <w:r>
        <w:rPr>
          <w:rFonts w:ascii="Arial" w:cs="Arial" w:eastAsia="Arial" w:hAnsi="Arial"/>
          <w:color w:val="2E2E2E"/>
          <w:sz w:val="19"/>
          <w:szCs w:val="19"/>
        </w:rPr>
        <w:t xml:space="preserve">Rigid gate and pressure sensors only; no modal identification; nothing is needed from Zina's thesis. Laboratory requirements are listed in Document 01, §6.</w:t>
      </w:r>
    </w:p>
    <w:p>
      <w:pPr>
        <w:pStyle w:val="Heading2"/>
        <w:keepNext/>
        <w:spacing w:after="60" w:before="140"/>
      </w:pPr>
      <w:r>
        <w:rPr>
          <w:rFonts w:ascii="Arial" w:cs="Arial" w:eastAsia="Arial" w:hAnsi="Arial"/>
          <w:b/>
          <w:bCs/>
          <w:color w:val="6B1E2C"/>
          <w:sz w:val="20"/>
          <w:szCs w:val="20"/>
        </w:rPr>
        <w:t xml:space="preserve">References (supervisor's publications)</w:t>
      </w:r>
    </w:p>
    <w:p>
      <w:pPr>
        <w:spacing w:after="20" w:line="235"/>
        <w:ind w:left="340" w:hanging="340"/>
      </w:pPr>
      <w:r>
        <w:rPr>
          <w:rFonts w:ascii="Arial" w:cs="Arial" w:eastAsia="Arial" w:hAnsi="Arial"/>
          <w:b/>
          <w:bCs/>
          <w:color w:val="9C7A4A"/>
          <w:sz w:val="15"/>
          <w:szCs w:val="15"/>
        </w:rPr>
        <w:t xml:space="preserve">[1] </w:t>
      </w:r>
      <w:r>
        <w:rPr>
          <w:rFonts w:ascii="Arial" w:cs="Arial" w:eastAsia="Arial" w:hAnsi="Arial"/>
          <w:color w:val="2E2E2E"/>
          <w:sz w:val="15"/>
          <w:szCs w:val="15"/>
        </w:rPr>
        <w:t xml:space="preserve">Abbaszadeh H., Tarinejad R. (2025). Soft computing and predicting labyrinth gates discharge coefficient. </w:t>
      </w:r>
      <w:r>
        <w:rPr>
          <w:rFonts w:ascii="Arial" w:cs="Arial" w:eastAsia="Arial" w:hAnsi="Arial"/>
          <w:i/>
          <w:iCs/>
          <w:color w:val="2E2E2E"/>
          <w:sz w:val="15"/>
          <w:szCs w:val="15"/>
        </w:rPr>
        <w:t xml:space="preserve">Water Resources</w:t>
      </w:r>
      <w:r>
        <w:rPr>
          <w:rFonts w:ascii="Arial" w:cs="Arial" w:eastAsia="Arial" w:hAnsi="Arial"/>
          <w:color w:val="2E2E2E"/>
          <w:sz w:val="15"/>
          <w:szCs w:val="15"/>
        </w:rPr>
        <w:t xml:space="preserve">, 52(4), 701–714. https://doi.org/10.1134/S0097807824604734</w:t>
      </w:r>
    </w:p>
    <w:p>
      <w:pPr>
        <w:spacing w:after="20" w:line="235"/>
        <w:ind w:left="340" w:hanging="340"/>
      </w:pPr>
      <w:r>
        <w:rPr>
          <w:rFonts w:ascii="Arial" w:cs="Arial" w:eastAsia="Arial" w:hAnsi="Arial"/>
          <w:b/>
          <w:bCs/>
          <w:color w:val="9C7A4A"/>
          <w:sz w:val="15"/>
          <w:szCs w:val="15"/>
        </w:rPr>
        <w:t xml:space="preserve">[2] </w:t>
      </w:r>
      <w:r>
        <w:rPr>
          <w:rFonts w:ascii="Arial" w:cs="Arial" w:eastAsia="Arial" w:hAnsi="Arial"/>
          <w:color w:val="2E2E2E"/>
          <w:sz w:val="15"/>
          <w:szCs w:val="15"/>
        </w:rPr>
        <w:t xml:space="preserve">Abbaszadeh H., Tarinejad R., Roushangar K., Daneshfaraz R. (2026). Investigation of the effects of internal structure and material properties on the hydraulic performance of rectangular gabion weirs: experimental and numerical study. </w:t>
      </w:r>
      <w:r>
        <w:rPr>
          <w:rFonts w:ascii="Arial" w:cs="Arial" w:eastAsia="Arial" w:hAnsi="Arial"/>
          <w:i/>
          <w:iCs/>
          <w:color w:val="2E2E2E"/>
          <w:sz w:val="15"/>
          <w:szCs w:val="15"/>
        </w:rPr>
        <w:t xml:space="preserve">Water Resources Management</w:t>
      </w:r>
      <w:r>
        <w:rPr>
          <w:rFonts w:ascii="Arial" w:cs="Arial" w:eastAsia="Arial" w:hAnsi="Arial"/>
          <w:color w:val="2E2E2E"/>
          <w:sz w:val="15"/>
          <w:szCs w:val="15"/>
        </w:rPr>
        <w:t xml:space="preserve">, 40, 376. https://doi.org/10.1007/s11269-026-04667-3</w:t>
      </w:r>
    </w:p>
    <w:p>
      <w:pPr>
        <w:spacing w:after="20" w:line="235"/>
        <w:ind w:left="340" w:hanging="340"/>
      </w:pPr>
      <w:r>
        <w:rPr>
          <w:rFonts w:ascii="Arial" w:cs="Arial" w:eastAsia="Arial" w:hAnsi="Arial"/>
          <w:b/>
          <w:bCs/>
          <w:color w:val="9C7A4A"/>
          <w:sz w:val="15"/>
          <w:szCs w:val="15"/>
        </w:rPr>
        <w:t xml:space="preserve">[3] </w:t>
      </w:r>
      <w:r>
        <w:rPr>
          <w:rFonts w:ascii="Arial" w:cs="Arial" w:eastAsia="Arial" w:hAnsi="Arial"/>
          <w:color w:val="2E2E2E"/>
          <w:sz w:val="15"/>
          <w:szCs w:val="15"/>
        </w:rPr>
        <w:t xml:space="preserve">Vaseti M.M., Akhtari A.A., Tarinejad R. (2026). Optimized mesh zoning for dam bottom outlet CFD simulations using Richardson extrapolation and grid convergence analysis. </w:t>
      </w:r>
      <w:r>
        <w:rPr>
          <w:rFonts w:ascii="Arial" w:cs="Arial" w:eastAsia="Arial" w:hAnsi="Arial"/>
          <w:i/>
          <w:iCs/>
          <w:color w:val="2E2E2E"/>
          <w:sz w:val="15"/>
          <w:szCs w:val="15"/>
        </w:rPr>
        <w:t xml:space="preserve">Engineering Reports</w:t>
      </w:r>
      <w:r>
        <w:rPr>
          <w:rFonts w:ascii="Arial" w:cs="Arial" w:eastAsia="Arial" w:hAnsi="Arial"/>
          <w:color w:val="2E2E2E"/>
          <w:sz w:val="15"/>
          <w:szCs w:val="15"/>
        </w:rPr>
        <w:t xml:space="preserve">, 8(6). https://doi.org/10.1002/eng2.70800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000" w:right="1080" w:bottom="960" w:left="1080" w:header="520" w:footer="5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rFonts w:ascii="Arial" w:cs="Arial" w:eastAsia="Arial" w:hAnsi="Arial"/>
        <w:color w:val="5A5A5A"/>
        <w:sz w:val="15"/>
        <w:szCs w:val="15"/>
      </w:rPr>
      <w:t xml:space="preserve">Document 03 · Subject to supervisor confirmation</w:t>
    </w:r>
    <w:r>
      <w:rPr>
        <w:rFonts w:ascii="Arial" w:cs="Arial" w:eastAsia="Arial" w:hAnsi="Arial"/>
        <w:color w:val="5A5A5A"/>
        <w:sz w:val="15"/>
        <w:szCs w:val="15"/>
      </w:rPr>
      <w:t xml:space="preserve">	Page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5"/>
        <w:szCs w:val="15"/>
      </w:rPr>
      <w:t xml:space="preserve"> of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rFonts w:ascii="Arial" w:cs="Arial" w:eastAsia="Arial" w:hAnsi="Arial"/>
        <w:color w:val="5A5A5A"/>
        <w:sz w:val="15"/>
        <w:szCs w:val="15"/>
      </w:rPr>
      <w:t xml:space="preserve">Document 03 · Subject to supervisor confirmation</w:t>
    </w:r>
    <w:r>
      <w:rPr>
        <w:rFonts w:ascii="Arial" w:cs="Arial" w:eastAsia="Arial" w:hAnsi="Arial"/>
        <w:color w:val="5A5A5A"/>
        <w:sz w:val="15"/>
        <w:szCs w:val="15"/>
      </w:rPr>
      <w:t xml:space="preserve">	Page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5"/>
        <w:szCs w:val="15"/>
      </w:rPr>
      <w:t xml:space="preserve"> of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BDAE" w:sz="4" w:space="4"/>
      </w:pBdr>
      <w:tabs>
        <w:tab w:val="right" w:pos="9746"/>
      </w:tabs>
    </w:pPr>
    <w:r>
      <w:rPr>
        <w:rFonts w:ascii="Arial" w:cs="Arial" w:eastAsia="Arial" w:hAnsi="Arial"/>
        <w:color w:val="5A5A5A"/>
        <w:sz w:val="15"/>
        <w:szCs w:val="15"/>
      </w:rPr>
      <w:t xml:space="preserve">Preliminary PhD Research Discussion Package · University of Tabriz</w:t>
    </w:r>
    <w:r>
      <w:rPr>
        <w:rFonts w:ascii="Arial" w:cs="Arial" w:eastAsia="Arial" w:hAnsi="Arial"/>
        <w:color w:val="5A5A5A"/>
        <w:sz w:val="15"/>
        <w:szCs w:val="15"/>
      </w:rPr>
      <w:t xml:space="preserve">	Jamal · Preliminary doctoral concept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80" w:hanging="250"/>
      </w:pPr>
      <w:rPr>
        <w:color w:val="9C7A4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90"/>
      </w:pPr>
      <w:rPr>
        <w:b/>
        <w:bCs/>
        <w:color w:val="9C7A4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90"/>
      </w:pPr>
      <w:rPr>
        <w:b/>
        <w:bCs/>
        <w:color w:val="9C7A4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90"/>
      </w:pPr>
      <w:rPr>
        <w:b/>
        <w:bCs/>
        <w:color w:val="9C7A4A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90"/>
      </w:pPr>
      <w:rPr>
        <w:b/>
        <w:bCs/>
        <w:color w:val="9C7A4A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90"/>
      </w:pPr>
      <w:rPr>
        <w:b/>
        <w:bCs/>
        <w:color w:val="9C7A4A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90"/>
      </w:pPr>
      <w:rPr>
        <w:b/>
        <w:bCs/>
        <w:color w:val="9C7A4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2E2E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color w:val="6B1E2C"/>
      <w:sz w:val="25"/>
      <w:szCs w:val="25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color w:val="9C7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Jamal — Preliminary Doctoral Concept</dc:title>
  <dc:creator>Zina and Jamal</dc:creator>
  <cp:lastModifiedBy>Un-named</cp:lastModifiedBy>
  <cp:revision>1</cp:revision>
  <dcterms:created xsi:type="dcterms:W3CDTF">2026-10-05T18:45:20.245Z</dcterms:created>
  <dcterms:modified xsi:type="dcterms:W3CDTF">2026-10-05T18:45:20.245Z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