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2B4B" w:sz="6" w:space="4"/>
        </w:pBdr>
        <w:tabs>
          <w:tab w:val="right" w:pos="9546"/>
        </w:tabs>
        <w:spacing w:after="60"/>
      </w:pPr>
      <w:r>
        <w:rPr>
          <w:rFonts w:ascii="Calibri" w:cs="Calibri" w:eastAsia="Calibri" w:hAnsi="Calibri"/>
          <w:b/>
          <w:bCs/>
          <w:color w:val="1B2B4B"/>
          <w:spacing w:val="20"/>
          <w:sz w:val="15"/>
          <w:szCs w:val="15"/>
        </w:rPr>
        <w:t xml:space="preserve">UNIVERSITY OF TABRIZ · FACULTY OF CIVIL ENGINEERING</w:t>
      </w:r>
      <w:r>
        <w:rPr>
          <w:rFonts w:ascii="Calibri" w:cs="Calibri" w:eastAsia="Calibri" w:hAnsi="Calibri"/>
          <w:color w:val="596372"/>
          <w:sz w:val="15"/>
          <w:szCs w:val="15"/>
        </w:rPr>
        <w:t xml:space="preserve">	Preliminary PhD Research Discussion Package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A4A5C"/>
          <w:spacing w:val="30"/>
          <w:sz w:val="16"/>
          <w:szCs w:val="16"/>
        </w:rPr>
        <w:t xml:space="preserve">FOR THE MEETING · SUPERVISOR DISCUSSION SHEET</w:t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1B2B4B"/>
          <w:sz w:val="30"/>
          <w:szCs w:val="30"/>
        </w:rPr>
        <w:t xml:space="preserve">Paired PhD Programme — Points for Discussion</w:t>
      </w:r>
    </w:p>
    <w:p>
      <w:pPr>
        <w:pBdr>
          <w:bottom w:val="single" w:color="C9D1DB" w:sz="4" w:space="6"/>
        </w:pBdr>
        <w:spacing w:after="180" w:before="40"/>
      </w:pPr>
      <w:r>
        <w:rPr>
          <w:rFonts w:ascii="Calibri" w:cs="Calibri" w:eastAsia="Calibri" w:hAnsi="Calibri"/>
          <w:color w:val="596372"/>
          <w:sz w:val="19"/>
          <w:szCs w:val="19"/>
        </w:rPr>
        <w:t xml:space="preserve">Candidates: </w:t>
      </w:r>
      <w:r>
        <w:rPr>
          <w:rFonts w:ascii="Calibri" w:cs="Calibri" w:eastAsia="Calibri" w:hAnsi="Calibri"/>
          <w:b/>
          <w:bCs/>
          <w:color w:val="596372"/>
          <w:sz w:val="19"/>
          <w:szCs w:val="19"/>
        </w:rPr>
        <w:t xml:space="preserve">Zina</w:t>
      </w:r>
      <w:r>
        <w:rPr>
          <w:rFonts w:ascii="Calibri" w:cs="Calibri" w:eastAsia="Calibri" w:hAnsi="Calibri"/>
          <w:color w:val="596372"/>
          <w:sz w:val="19"/>
          <w:szCs w:val="19"/>
        </w:rPr>
        <w:t xml:space="preserve"> · </w:t>
      </w:r>
      <w:r>
        <w:rPr>
          <w:rFonts w:ascii="Calibri" w:cs="Calibri" w:eastAsia="Calibri" w:hAnsi="Calibri"/>
          <w:b/>
          <w:bCs/>
          <w:color w:val="596372"/>
          <w:sz w:val="19"/>
          <w:szCs w:val="19"/>
        </w:rPr>
        <w:t xml:space="preserve">Jamal</w:t>
      </w:r>
      <w:r>
        <w:rPr>
          <w:rFonts w:ascii="Calibri" w:cs="Calibri" w:eastAsia="Calibri" w:hAnsi="Calibri"/>
          <w:color w:val="596372"/>
          <w:sz w:val="19"/>
          <w:szCs w:val="19"/>
        </w:rPr>
        <w:t xml:space="preserve">     Proposed supervisor: </w:t>
      </w:r>
      <w:r>
        <w:rPr>
          <w:rFonts w:ascii="Calibri" w:cs="Calibri" w:eastAsia="Calibri" w:hAnsi="Calibri"/>
          <w:b/>
          <w:bCs/>
          <w:color w:val="596372"/>
          <w:sz w:val="19"/>
          <w:szCs w:val="19"/>
        </w:rPr>
        <w:t xml:space="preserve">Prof. Reza Tarinejad</w:t>
      </w:r>
      <w:r>
        <w:rPr>
          <w:rFonts w:ascii="Calibri" w:cs="Calibri" w:eastAsia="Calibri" w:hAnsi="Calibri"/>
          <w:color w:val="596372"/>
          <w:sz w:val="19"/>
          <w:szCs w:val="19"/>
        </w:rPr>
        <w:t xml:space="preserve">     October 2026</w:t>
      </w: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1.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Proposed direction (subject to supervisor confirmation)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8"/>
        <w:gridCol w:w="7828"/>
      </w:tblGrid>
      <w:tr>
        <w:trPr>
          <w:cantSplit/>
        </w:trPr>
        <w:tc>
          <w:tcPr>
            <w:tcW w:type="dxa" w:w="17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Programme</w:t>
            </w:r>
          </w:p>
        </w:tc>
        <w:tc>
          <w:tcPr>
            <w:tcW w:type="dxa" w:w="78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Dynamics of Flow-Excited Hydraulic Gates: Loading and Identification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Zina</w:t>
            </w:r>
          </w:p>
        </w:tc>
        <w:tc>
          <w:tcPr>
            <w:tcW w:type="dxa" w:w="78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Operational Modal Identification of Hydraulic Gates under Varying Flow Conditions.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Identifying a gate's structural modes when water level and operation change its apparent dynamic properties (parameter-varying transmissibility OMA).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Jamal</w:t>
            </w:r>
          </w:p>
        </w:tc>
        <w:tc>
          <w:tcPr>
            <w:tcW w:type="dxa" w:w="78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Unsteady Hydrodynamic Loading of Sluice Gates with Bottom Sills.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Regimes, mechanisms and dimensionless scaling of fluctuating gate loads, and an efficiency–dynamic-load criterion.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Basis</w:t>
            </w:r>
          </w:p>
        </w:tc>
        <w:tc>
          <w:tcPr>
            <w:tcW w:type="dxa" w:w="78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Connects Prof. Tarinejad's transmissibility-based identification research with the group's recent gate and weir hydraulics. Selected as the preferred paired direction after comparison with alternative architectures.</w:t>
            </w:r>
          </w:p>
        </w:tc>
      </w:tr>
    </w:tbl>
    <w:p>
      <w:pPr>
        <w:spacing w:after="100" w:before="0"/>
      </w:pP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2.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Five questions for Prof. Tarinejad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Could you advise whether Zina's proposed scope overlaps with the work of Farhad Amanzad or another current student?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Could you advise whether Jamal's proposed scope overlaps with the hydraulic-gate work of another current student?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Is a suitable hydraulic flume available or accessible, with tailwater control and the ability to hold still water at several levels?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Are the required pressure transducers, accelerometers, impact hammer and data-acquisition system available?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Would you prefer this integrated gate programme, or would you prefer one thesis to remain closer to the dam and seismic identification line?</w:t>
      </w: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3.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To confirm before registration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18"/>
        <w:gridCol w:w="3628"/>
      </w:tblGrid>
      <w:tr>
        <w:trPr>
          <w:cantSplit/>
          <w:tblHeader/>
        </w:trPr>
        <w:tc>
          <w:tcPr>
            <w:tcW w:type="dxa" w:w="59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6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Related question</w:t>
            </w:r>
          </w:p>
        </w:tc>
      </w:tr>
      <w:tr>
        <w:trPr>
          <w:cantSplit/>
        </w:trPr>
        <w:tc>
          <w:tcPr>
            <w:tcW w:type="dxa" w:w="59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Short recent-literature confirmation review of both gaps</w:t>
            </w:r>
          </w:p>
        </w:tc>
        <w:tc>
          <w:tcPr>
            <w:tcW w:type="dxa" w:w="36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Prepared by the candidates</w:t>
            </w:r>
          </w:p>
        </w:tc>
      </w:tr>
      <w:tr>
        <w:trPr>
          <w:cantSplit/>
        </w:trPr>
        <w:tc>
          <w:tcPr>
            <w:tcW w:type="dxa" w:w="59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 overlap with current students' topics</w:t>
            </w:r>
          </w:p>
        </w:tc>
        <w:tc>
          <w:tcPr>
            <w:tcW w:type="dxa" w:w="36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Questions 1 and 2</w:t>
            </w:r>
          </w:p>
        </w:tc>
      </w:tr>
      <w:tr>
        <w:trPr>
          <w:cantSplit/>
        </w:trPr>
        <w:tc>
          <w:tcPr>
            <w:tcW w:type="dxa" w:w="59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Flume and instrumentation available or accessible</w:t>
            </w:r>
          </w:p>
        </w:tc>
        <w:tc>
          <w:tcPr>
            <w:tcW w:type="dxa" w:w="362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Questions 3 and 4</w:t>
            </w:r>
          </w:p>
        </w:tc>
      </w:tr>
    </w:tbl>
    <w:p>
      <w:pPr>
        <w:spacing w:after="100" w:before="0"/>
      </w:pPr>
    </w:p>
    <w:p>
      <w:pPr>
        <w:spacing w:after="90" w:line="268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Already reflected in the concepts: a bounded experimental scope (Zina about 20–30 runs; Jamal about 40–60 runs and 6–8 LES cases); Jamal's contribution framed at mechanism, scaling and criterion level; and clear scope separation with independent data ownership.</w:t>
      </w: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4.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Scope separation (summary)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9"/>
        <w:gridCol w:w="3818"/>
        <w:gridCol w:w="3819"/>
      </w:tblGrid>
      <w:tr>
        <w:trPr>
          <w:cantSplit/>
          <w:tblHeader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Zina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Jamal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Specimen / sensors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Flexible gate; accelerometers; impact hammer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Rigid gate with sill inserts; pressure transducers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Modelling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Structural FE with added mass; synthetic loads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LES/DES (CFD); dimensional analysis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FE poles; EMA ground truth; public dam records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Measured spectra; held-out configurations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Shared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Flume, water supply, DAQ hardware, outline drawings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Common hydraulic-state labels (head, opening, submergence)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Independence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Remains executable if Jamal's work is delayed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Remains executable if Zina's work is delayed</w:t>
            </w:r>
          </w:p>
        </w:tc>
      </w:tr>
    </w:tbl>
    <w:p>
      <w:pPr>
        <w:spacing w:after="100" w:before="0"/>
      </w:pP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5.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If the conditions are not met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Laboratory not available: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both concepts become identification-based (Zina: uncertainty-quantified identification from seismic dam records; Jamal: gate identification, validated numerically and on an accessible regulator gate).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Zina's topic overlaps a current student's work: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Zina moves to the seismic-uncertainty concept; Jamal's concept is unchanged.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Jamal's topic overlaps a current student's work: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the same question is studied for labyrinth sliding gates with sills; otherwise the laboratory-independent alternative above applies.</w:t>
      </w: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6.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Supervisor response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1"/>
        <w:gridCol w:w="7255"/>
      </w:tblGrid>
      <w:tr>
        <w:trPr>
          <w:cantSplit/>
        </w:trPr>
        <w:tc>
          <w:tcPr>
            <w:tcW w:type="dxa" w:w="229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Paired direction</w:t>
            </w:r>
          </w:p>
        </w:tc>
        <w:tc>
          <w:tcPr>
            <w:tcW w:type="dxa" w:w="72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Agree in principle        ☐ Agree with changes        ☐ Prefer alternative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Zina concept</w:t>
            </w:r>
          </w:p>
        </w:tc>
        <w:tc>
          <w:tcPr>
            <w:tcW w:type="dxa" w:w="72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Proceed to proposal        ☐ Modify        ☐ Replace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Jamal concept</w:t>
            </w:r>
          </w:p>
        </w:tc>
        <w:tc>
          <w:tcPr>
            <w:tcW w:type="dxa" w:w="72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Proceed to proposal        ☐ Modify        ☐ Replace</w:t>
            </w:r>
          </w:p>
        </w:tc>
      </w:tr>
      <w:tr>
        <w:trPr>
          <w:cantSplit/>
          <w:trHeight w:val="6400" w:hRule="atLeast"/>
        </w:trPr>
        <w:tc>
          <w:tcPr>
            <w:tcW w:type="dxa" w:w="229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Notes and suggested changes</w:t>
            </w:r>
          </w:p>
        </w:tc>
        <w:tc>
          <w:tcPr>
            <w:tcW w:type="dxa" w:w="72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</w:p>
        </w:tc>
      </w:tr>
    </w:tbl>
    <w:p>
      <w:pPr>
        <w:spacing w:after="100" w:before="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80" w:right="1180" w:bottom="1000" w:left="1180" w:header="520" w:footer="5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46"/>
      </w:tabs>
    </w:pPr>
    <w:r>
      <w:rPr>
        <w:rFonts w:ascii="Calibri" w:cs="Calibri" w:eastAsia="Calibri" w:hAnsi="Calibri"/>
        <w:color w:val="596372"/>
        <w:sz w:val="15"/>
        <w:szCs w:val="15"/>
      </w:rPr>
      <w:t xml:space="preserve">Meeting sheet · Subject to supervisor confirmation</w:t>
    </w:r>
    <w:r>
      <w:rPr>
        <w:rFonts w:ascii="Calibri" w:cs="Calibri" w:eastAsia="Calibri" w:hAnsi="Calibri"/>
        <w:color w:val="596372"/>
        <w:sz w:val="15"/>
        <w:szCs w:val="15"/>
      </w:rPr>
      <w:t xml:space="preserve">	Page </w:t>
    </w:r>
    <w:r>
      <w:rPr>
        <w:rFonts w:ascii="Calibri" w:cs="Calibri" w:eastAsia="Calibri" w:hAnsi="Calibri"/>
        <w:color w:val="5963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6372"/>
        <w:sz w:val="15"/>
        <w:szCs w:val="15"/>
      </w:rPr>
      <w:t xml:space="preserve"> of </w:t>
    </w:r>
    <w:r>
      <w:rPr>
        <w:rFonts w:ascii="Calibri" w:cs="Calibri" w:eastAsia="Calibri" w:hAnsi="Calibri"/>
        <w:color w:val="5963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46"/>
      </w:tabs>
    </w:pPr>
    <w:r>
      <w:rPr>
        <w:rFonts w:ascii="Calibri" w:cs="Calibri" w:eastAsia="Calibri" w:hAnsi="Calibri"/>
        <w:color w:val="596372"/>
        <w:sz w:val="15"/>
        <w:szCs w:val="15"/>
      </w:rPr>
      <w:t xml:space="preserve">Meeting sheet · Subject to supervisor confirmation</w:t>
    </w:r>
    <w:r>
      <w:rPr>
        <w:rFonts w:ascii="Calibri" w:cs="Calibri" w:eastAsia="Calibri" w:hAnsi="Calibri"/>
        <w:color w:val="596372"/>
        <w:sz w:val="15"/>
        <w:szCs w:val="15"/>
      </w:rPr>
      <w:t xml:space="preserve">	Page </w:t>
    </w:r>
    <w:r>
      <w:rPr>
        <w:rFonts w:ascii="Calibri" w:cs="Calibri" w:eastAsia="Calibri" w:hAnsi="Calibri"/>
        <w:color w:val="5963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6372"/>
        <w:sz w:val="15"/>
        <w:szCs w:val="15"/>
      </w:rPr>
      <w:t xml:space="preserve"> of </w:t>
    </w:r>
    <w:r>
      <w:rPr>
        <w:rFonts w:ascii="Calibri" w:cs="Calibri" w:eastAsia="Calibri" w:hAnsi="Calibri"/>
        <w:color w:val="5963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B" w:sz="4" w:space="4"/>
      </w:pBdr>
      <w:tabs>
        <w:tab w:val="right" w:pos="9546"/>
      </w:tabs>
    </w:pPr>
    <w:r>
      <w:rPr>
        <w:rFonts w:ascii="Calibri" w:cs="Calibri" w:eastAsia="Calibri" w:hAnsi="Calibri"/>
        <w:color w:val="596372"/>
        <w:sz w:val="15"/>
        <w:szCs w:val="15"/>
      </w:rPr>
      <w:t xml:space="preserve">Preliminary PhD Research Discussion Package · University of Tabriz</w:t>
    </w:r>
    <w:r>
      <w:rPr>
        <w:rFonts w:ascii="Calibri" w:cs="Calibri" w:eastAsia="Calibri" w:hAnsi="Calibri"/>
        <w:color w:val="596372"/>
        <w:sz w:val="15"/>
        <w:szCs w:val="15"/>
      </w:rPr>
      <w:t xml:space="preserve">	Supervisor discussion sheet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50"/>
      </w:pPr>
      <w:rPr>
        <w:color w:val="3A4A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3A4A5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3A4A5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3A4A5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3A4A5C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3A4A5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3A4A5C"/>
      </w:r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color w:val="1B2B4B"/>
      <w:sz w:val="25"/>
      <w:szCs w:val="25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color w:val="3A4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 Discussion Sheet</dc:title>
  <dc:creator>Zina and Jamal</dc:creator>
  <cp:lastModifiedBy>Un-named</cp:lastModifiedBy>
  <cp:revision>1</cp:revision>
  <dcterms:created xsi:type="dcterms:W3CDTF">2026-10-05T18:45:17.115Z</dcterms:created>
  <dcterms:modified xsi:type="dcterms:W3CDTF">2026-10-05T18:45:17.115Z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