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6B1E2C" w:sz="36" w:space="10"/>
        </w:pBdr>
        <w:spacing w:after="60" w:before="0"/>
      </w:pPr>
      <w:r>
        <w:rPr>
          <w:rFonts w:ascii="Arial" w:cs="Arial" w:eastAsia="Arial" w:hAnsi="Arial"/>
          <w:b/>
          <w:bCs/>
          <w:color w:val="9C7A4A"/>
          <w:spacing w:val="40"/>
          <w:sz w:val="17"/>
          <w:szCs w:val="17"/>
        </w:rPr>
        <w:t xml:space="preserve">PRELIMINARY DOCTORAL CONCEPT · PROPOSED RESEARCH DIRECTION</w:t>
      </w:r>
    </w:p>
    <w:p>
      <w:pPr>
        <w:pBdr>
          <w:left w:val="single" w:color="6B1E2C" w:sz="36" w:space="10"/>
        </w:pBdr>
        <w:spacing w:after="120" w:before="0"/>
      </w:pPr>
      <w:r>
        <w:rPr>
          <w:rFonts w:ascii="Arial" w:cs="Arial" w:eastAsia="Arial" w:hAnsi="Arial"/>
          <w:b/>
          <w:bCs/>
          <w:color w:val="6B1E2C"/>
          <w:sz w:val="34"/>
          <w:szCs w:val="34"/>
        </w:rPr>
        <w:t xml:space="preserve">Unsteady Hydrodynamic Loading of Sluice Gates with Bottom Sills</w:t>
      </w:r>
    </w:p>
    <w:p>
      <w:pPr>
        <w:bidi/>
        <w:spacing w:after="120"/>
        <w:jc w:val="right"/>
      </w:pPr>
      <w:r>
        <w:rPr>
          <w:rFonts w:ascii="Tahoma" w:cs="Tahoma" w:hAnsi="Tahoma"/>
          <w:b/>
          <w:bCs/>
          <w:color w:val="9C7A4A"/>
          <w:sz w:val="26"/>
          <w:szCs w:val="26"/>
          <w:rtl/>
        </w:rPr>
        <w:t xml:space="preserve">بارگذاری هیدرودینامیکی ناپایدار دریچه‌های کشویی دارای آستانه</w:t>
      </w:r>
    </w:p>
    <w:p>
      <w:pPr>
        <w:pBdr>
          <w:bottom w:val="single" w:color="9C7A4A" w:sz="8" w:space="6"/>
        </w:pBdr>
        <w:spacing w:after="20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Candidate: </w:t>
      </w:r>
      <w:r>
        <w:rPr>
          <w:rFonts w:ascii="Arial" w:cs="Arial" w:eastAsia="Arial" w:hAnsi="Arial"/>
          <w:b/>
          <w:bCs/>
          <w:color w:val="5A5A5A"/>
          <w:sz w:val="18"/>
          <w:szCs w:val="18"/>
        </w:rPr>
        <w:t xml:space="preserve">Jamal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· Proposed supervisor: </w:t>
      </w:r>
      <w:r>
        <w:rPr>
          <w:rFonts w:ascii="Arial" w:cs="Arial" w:eastAsia="Arial" w:hAnsi="Arial"/>
          <w:b/>
          <w:bCs/>
          <w:color w:val="5A5A5A"/>
          <w:sz w:val="18"/>
          <w:szCs w:val="18"/>
        </w:rPr>
        <w:t xml:space="preserve">Prof. Reza Tarinejad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· Faculty of Civil Engineering, University of Tabriz · October 2026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06"/>
      </w:tblGrid>
      <w:tr>
        <w:tc>
          <w:tcPr>
            <w:tcW w:type="dxa" w:w="9806"/>
            <w:tcBorders>
              <w:top w:val="none" w:color="FFFFFF" w:sz="0"/>
              <w:left w:val="single" w:color="9C7A4A" w:sz="24"/>
              <w:bottom w:val="none" w:color="FFFFFF" w:sz="0"/>
              <w:right w:val="none" w:color="FFFFFF" w:sz="0"/>
            </w:tcBorders>
            <w:shd w:fill="F4EE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1E2C"/>
                <w:sz w:val="20"/>
                <w:szCs w:val="20"/>
              </w:rPr>
              <w:t xml:space="preserve">Status of this concept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Preliminary concept for discussion, not an approved topic. Unresolved: (1) a short recent-literature confirmation review of the gap; (2) confirmation that no current student already owns this scope. One half of a proposed paired programme; Zina's concept is independent of it.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6B1E2C"/>
          <w:sz w:val="21"/>
          <w:szCs w:val="21"/>
        </w:rPr>
        <w:t xml:space="preserve">Title options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3"/>
        <w:gridCol w:w="7453"/>
      </w:tblGrid>
      <w:tr>
        <w:trPr>
          <w:cantSplit/>
        </w:trPr>
        <w:tc>
          <w:tcPr>
            <w:tcW w:type="dxa" w:w="2353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4EE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 Discussion</w:t>
            </w:r>
          </w:p>
        </w:tc>
        <w:tc>
          <w:tcPr>
            <w:tcW w:type="dxa" w:w="7453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Unsteady Hydrodynamic Loading of Sluice Gates with Bottom Sills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4EE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B. Formal PhD</w:t>
            </w:r>
          </w:p>
        </w:tc>
        <w:tc>
          <w:tcPr>
            <w:tcW w:type="dxa" w:w="7453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Hydrodynamic Load Regimes of Sluice Gates with Bottom Sills: Mechanisms, Scaling and the Discharge-Efficiency versus Dynamic-Load Trade-off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4EE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C. Publication</w:t>
            </w:r>
          </w:p>
        </w:tc>
        <w:tc>
          <w:tcPr>
            <w:tcW w:type="dxa" w:w="7453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Regime-based scaling of fluctuating hydrodynamic loads on sill-equipped sluice gates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left w:val="single" w:color="6B1E2C" w:sz="36" w:space="8"/>
        </w:pBdr>
        <w:shd w:fill="F4EEE4" w:color="auto" w:val="clear"/>
        <w:spacing w:after="100" w:before="260"/>
      </w:pPr>
      <w:r>
        <w:rPr>
          <w:rFonts w:ascii="Arial" w:cs="Arial" w:eastAsia="Arial" w:hAnsi="Arial"/>
          <w:b/>
          <w:bCs/>
          <w:color w:val="9C7A4A"/>
          <w:sz w:val="24"/>
          <w:szCs w:val="24"/>
        </w:rPr>
        <w:t xml:space="preserve">01  </w:t>
      </w:r>
      <w:r>
        <w:rPr>
          <w:rFonts w:ascii="Arial" w:cs="Arial" w:eastAsia="Arial" w:hAnsi="Arial"/>
          <w:b/>
          <w:bCs/>
          <w:color w:val="6B1E2C"/>
          <w:sz w:val="22"/>
          <w:szCs w:val="22"/>
        </w:rPr>
        <w:t xml:space="preserve">PROBLEM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Adding a bottom sill under a gate is a known way to increase discharge capacity. In the supervisor's group, sills on labyrinth sliding gates increased the discharge coefficient by about 9.9–20.8% depending on sill width (T17). The group's related work (T17, T18, T19) characterises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time-averaged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performance. A sill also changes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where the flow separates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(gate lip, sill crest, or both), and therefore the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fluctuating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loads that drive gate vibration and fatigue. These are unquantified for sill-equipped gates, so an efficiency gain could carry an unmeasured dynamic cost.</w:t>
      </w:r>
    </w:p>
    <w:p>
      <w:pPr>
        <w:pStyle w:val="Heading1"/>
        <w:keepNext/>
        <w:pBdr>
          <w:left w:val="single" w:color="6B1E2C" w:sz="36" w:space="8"/>
        </w:pBdr>
        <w:shd w:fill="F4EEE4" w:color="auto" w:val="clear"/>
        <w:spacing w:after="100" w:before="260"/>
      </w:pPr>
      <w:r>
        <w:rPr>
          <w:rFonts w:ascii="Arial" w:cs="Arial" w:eastAsia="Arial" w:hAnsi="Arial"/>
          <w:b/>
          <w:bCs/>
          <w:color w:val="9C7A4A"/>
          <w:sz w:val="24"/>
          <w:szCs w:val="24"/>
        </w:rPr>
        <w:t xml:space="preserve">02  </w:t>
      </w:r>
      <w:r>
        <w:rPr>
          <w:rFonts w:ascii="Arial" w:cs="Arial" w:eastAsia="Arial" w:hAnsi="Arial"/>
          <w:b/>
          <w:bCs/>
          <w:color w:val="6B1E2C"/>
          <w:sz w:val="22"/>
          <w:szCs w:val="22"/>
        </w:rPr>
        <w:t xml:space="preserve">RESEARCH GAP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 general physics of gate flow is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not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the gap. Vortices, shear-layer oscillation below submerged gates and the effect of sills on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mean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pressure have all been studied, as the targeted check made during this study showed. The gap is narrower: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There is no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regime-based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description of which hydraulic conditions produce strong fluctuating loads on sill-equipped gates.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There is no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dimensionless relationship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linking sill geometry, opening and submergence to load magnitude and frequency content.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There is no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criterion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identifying operating regions that keep the discharge gain without raising dynamic excitation.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Fallback if the plain-sluice version is already covered: the same question for the group's labyrinth sliding gates with sills (T17), for which no dynamic-load data were found.</w:t>
      </w:r>
    </w:p>
    <w:p>
      <w:pPr>
        <w:spacing w:after="40"/>
      </w:pPr>
    </w:p>
    <w:p>
      <w:pPr>
        <w:pStyle w:val="Heading1"/>
        <w:keepNext/>
        <w:pBdr>
          <w:left w:val="single" w:color="6B1E2C" w:sz="36" w:space="8"/>
        </w:pBdr>
        <w:shd w:fill="F4EEE4" w:color="auto" w:val="clear"/>
        <w:spacing w:after="100" w:before="260"/>
      </w:pPr>
      <w:r>
        <w:rPr>
          <w:rFonts w:ascii="Arial" w:cs="Arial" w:eastAsia="Arial" w:hAnsi="Arial"/>
          <w:b/>
          <w:bCs/>
          <w:color w:val="9C7A4A"/>
          <w:sz w:val="24"/>
          <w:szCs w:val="24"/>
        </w:rPr>
        <w:t xml:space="preserve">03  </w:t>
      </w:r>
      <w:r>
        <w:rPr>
          <w:rFonts w:ascii="Arial" w:cs="Arial" w:eastAsia="Arial" w:hAnsi="Arial"/>
          <w:b/>
          <w:bCs/>
          <w:color w:val="6B1E2C"/>
          <w:sz w:val="22"/>
          <w:szCs w:val="22"/>
        </w:rPr>
        <w:t xml:space="preserve">THE SCIENTIFIC CHAIN (WHY THIS IS NOT A MEASUREMENT CAMPAIGN)</w:t>
      </w:r>
    </w:p>
    <w:p>
      <w:pPr>
        <w:keepNext/>
        <w:shd w:fill="F4EEE4" w:color="auto" w:val="clear"/>
        <w:spacing w:after="0" w:before="0" w:line="240"/>
      </w:pPr>
      <w:r>
        <w:rPr>
          <w:rFonts w:ascii="Consolas" w:cs="Consolas" w:eastAsia="Consolas" w:hAnsi="Consolas"/>
          <w:color w:val="6B1E2C"/>
          <w:sz w:val="16"/>
          <w:szCs w:val="16"/>
        </w:rPr>
        <w:t xml:space="preserve"> PHYSICAL MECHANISM      which separation / shear-layer process dominates?</w:t>
      </w:r>
    </w:p>
    <w:p>
      <w:pPr>
        <w:keepNext/>
        <w:shd w:fill="F4EEE4" w:color="auto" w:val="clear"/>
        <w:spacing w:after="0" w:before="0" w:line="240"/>
      </w:pPr>
      <w:r>
        <w:rPr>
          <w:rFonts w:ascii="Consolas" w:cs="Consolas" w:eastAsia="Consolas" w:hAnsi="Consolas"/>
          <w:color w:val="6B1E2C"/>
          <w:sz w:val="16"/>
          <w:szCs w:val="16"/>
        </w:rPr>
        <w:t xml:space="preserve">        │</w:t>
      </w:r>
    </w:p>
    <w:p>
      <w:pPr>
        <w:keepNext/>
        <w:shd w:fill="F4EEE4" w:color="auto" w:val="clear"/>
        <w:spacing w:after="0" w:before="0" w:line="240"/>
      </w:pPr>
      <w:r>
        <w:rPr>
          <w:rFonts w:ascii="Consolas" w:cs="Consolas" w:eastAsia="Consolas" w:hAnsi="Consolas"/>
          <w:color w:val="6B1E2C"/>
          <w:sz w:val="16"/>
          <w:szCs w:val="16"/>
        </w:rPr>
        <w:t xml:space="preserve"> LOAD CHARACTERISATION   rms magnitude, frequency content, narrow vs broadband</w:t>
      </w:r>
    </w:p>
    <w:p>
      <w:pPr>
        <w:keepNext/>
        <w:shd w:fill="F4EEE4" w:color="auto" w:val="clear"/>
        <w:spacing w:after="0" w:before="0" w:line="240"/>
      </w:pPr>
      <w:r>
        <w:rPr>
          <w:rFonts w:ascii="Consolas" w:cs="Consolas" w:eastAsia="Consolas" w:hAnsi="Consolas"/>
          <w:color w:val="6B1E2C"/>
          <w:sz w:val="16"/>
          <w:szCs w:val="16"/>
        </w:rPr>
        <w:t xml:space="preserve">        │</w:t>
      </w:r>
    </w:p>
    <w:p>
      <w:pPr>
        <w:keepNext/>
        <w:shd w:fill="F4EEE4" w:color="auto" w:val="clear"/>
        <w:spacing w:after="0" w:before="0" w:line="240"/>
      </w:pPr>
      <w:r>
        <w:rPr>
          <w:rFonts w:ascii="Consolas" w:cs="Consolas" w:eastAsia="Consolas" w:hAnsi="Consolas"/>
          <w:color w:val="6B1E2C"/>
          <w:sz w:val="16"/>
          <w:szCs w:val="16"/>
        </w:rPr>
        <w:t xml:space="preserve"> DIMENSIONLESS RELATION  which groups and length scale collapse the data?</w:t>
      </w:r>
    </w:p>
    <w:p>
      <w:pPr>
        <w:keepNext/>
        <w:shd w:fill="F4EEE4" w:color="auto" w:val="clear"/>
        <w:spacing w:after="0" w:before="0" w:line="240"/>
      </w:pPr>
      <w:r>
        <w:rPr>
          <w:rFonts w:ascii="Consolas" w:cs="Consolas" w:eastAsia="Consolas" w:hAnsi="Consolas"/>
          <w:color w:val="6B1E2C"/>
          <w:sz w:val="16"/>
          <w:szCs w:val="16"/>
        </w:rPr>
        <w:t xml:space="preserve">        │</w:t>
      </w:r>
    </w:p>
    <w:p>
      <w:pPr>
        <w:keepNext w:val="false"/>
        <w:shd w:fill="F4EEE4" w:color="auto" w:val="clear"/>
        <w:spacing w:after="0" w:before="0" w:line="240"/>
      </w:pPr>
      <w:r>
        <w:rPr>
          <w:rFonts w:ascii="Consolas" w:cs="Consolas" w:eastAsia="Consolas" w:hAnsi="Consolas"/>
          <w:color w:val="6B1E2C"/>
          <w:sz w:val="16"/>
          <w:szCs w:val="16"/>
        </w:rPr>
        <w:t xml:space="preserve"> ENGINEERING CRITERION   regions of high efficiency and low dynamic load</w:t>
      </w:r>
    </w:p>
    <w:p>
      <w:pPr>
        <w:spacing w:after="120"/>
      </w:pPr>
    </w:p>
    <w:p>
      <w:pPr>
        <w:spacing w:after="100" w:line="276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Measurements and simulations are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means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to discover the mechanism and the scaling. The deliverable is the relationship and criterion, tested on held-out configurations.</w:t>
      </w:r>
    </w:p>
    <w:p>
      <w:pPr>
        <w:pStyle w:val="Heading1"/>
        <w:keepNext/>
        <w:pBdr>
          <w:left w:val="single" w:color="6B1E2C" w:sz="36" w:space="8"/>
        </w:pBdr>
        <w:shd w:fill="F4EEE4" w:color="auto" w:val="clear"/>
        <w:spacing w:after="100" w:before="260"/>
      </w:pPr>
      <w:r>
        <w:rPr>
          <w:rFonts w:ascii="Arial" w:cs="Arial" w:eastAsia="Arial" w:hAnsi="Arial"/>
          <w:b/>
          <w:bCs/>
          <w:color w:val="9C7A4A"/>
          <w:sz w:val="24"/>
          <w:szCs w:val="24"/>
        </w:rPr>
        <w:t xml:space="preserve">04  </w:t>
      </w:r>
      <w:r>
        <w:rPr>
          <w:rFonts w:ascii="Arial" w:cs="Arial" w:eastAsia="Arial" w:hAnsi="Arial"/>
          <w:b/>
          <w:bCs/>
          <w:color w:val="6B1E2C"/>
          <w:sz w:val="22"/>
          <w:szCs w:val="22"/>
        </w:rPr>
        <w:t xml:space="preserve">HYDRAULIC REGIMES TO BE ESTABLISHED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7"/>
        <w:gridCol w:w="3922"/>
        <w:gridCol w:w="3727"/>
      </w:tblGrid>
      <w:tr>
        <w:trPr>
          <w:tblHeader/>
        </w:trPr>
        <w:tc>
          <w:tcPr>
            <w:tcW w:type="dxa" w:w="215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3B3B3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Candidate regime (working hypothesis)</w:t>
            </w:r>
          </w:p>
        </w:tc>
        <w:tc>
          <w:tcPr>
            <w:tcW w:type="dxa" w:w="3922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3B3B3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dominant mechanism</w:t>
            </w:r>
          </w:p>
        </w:tc>
        <w:tc>
          <w:tcPr>
            <w:tcW w:type="dxa" w:w="372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3B3B3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must be discovered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R1 Free flow, no or low sill</w:t>
            </w:r>
          </w:p>
        </w:tc>
        <w:tc>
          <w:tcPr>
            <w:tcW w:type="dxa" w:w="3922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Separation at the gate lip; shear layer of the contracted jet</w:t>
            </w:r>
          </w:p>
        </w:tc>
        <w:tc>
          <w:tcPr>
            <w:tcW w:type="dxa" w:w="372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Baseline fluctuating-load level and spectral shape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R2 Free flow, effective sill</w:t>
            </w:r>
          </w:p>
        </w:tc>
        <w:tc>
          <w:tcPr>
            <w:tcW w:type="dxa" w:w="3922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second separation point at the sill crest; possible reattachment on the sill depending on its length</w:t>
            </w:r>
          </w:p>
        </w:tc>
        <w:tc>
          <w:tcPr>
            <w:tcW w:type="dxa" w:w="372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sill height and length at which control of separation shifts from lip to sill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R3 Submerged flow</w:t>
            </w:r>
          </w:p>
        </w:tc>
        <w:tc>
          <w:tcPr>
            <w:tcW w:type="dxa" w:w="3922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Recirculating roller over the jet; shear-layer feedback that may produce narrow-band oscillation</w:t>
            </w:r>
          </w:p>
        </w:tc>
        <w:tc>
          <w:tcPr>
            <w:tcW w:type="dxa" w:w="372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Whether submergence turns broadband loading into narrow-band loading, and at what submergence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R4 Transition free ↔ submerged</w:t>
            </w:r>
          </w:p>
        </w:tc>
        <w:tc>
          <w:tcPr>
            <w:tcW w:type="dxa" w:w="3922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Unstable switching between R1/R2 and R3</w:t>
            </w:r>
          </w:p>
        </w:tc>
        <w:tc>
          <w:tcPr>
            <w:tcW w:type="dxa" w:w="372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Regime boundaries and whether the transition produces load peaks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left w:val="single" w:color="6B1E2C" w:sz="36" w:space="8"/>
        </w:pBdr>
        <w:shd w:fill="F4EEE4" w:color="auto" w:val="clear"/>
        <w:spacing w:after="100" w:before="260"/>
      </w:pPr>
      <w:r>
        <w:rPr>
          <w:rFonts w:ascii="Arial" w:cs="Arial" w:eastAsia="Arial" w:hAnsi="Arial"/>
          <w:b/>
          <w:bCs/>
          <w:color w:val="9C7A4A"/>
          <w:sz w:val="24"/>
          <w:szCs w:val="24"/>
        </w:rPr>
        <w:t xml:space="preserve">05  </w:t>
      </w:r>
      <w:r>
        <w:rPr>
          <w:rFonts w:ascii="Arial" w:cs="Arial" w:eastAsia="Arial" w:hAnsi="Arial"/>
          <w:b/>
          <w:bCs/>
          <w:color w:val="6B1E2C"/>
          <w:sz w:val="22"/>
          <w:szCs w:val="22"/>
        </w:rPr>
        <w:t xml:space="preserve">DIMENSIONLESS FRAMEWORK (CANDIDATES, NOT FINAL)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1"/>
        <w:gridCol w:w="6865"/>
      </w:tblGrid>
      <w:tr>
        <w:trPr>
          <w:tblHeader/>
        </w:trPr>
        <w:tc>
          <w:tcPr>
            <w:tcW w:type="dxa" w:w="294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3B3B3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Group</w:t>
            </w:r>
          </w:p>
        </w:tc>
        <w:tc>
          <w:tcPr>
            <w:tcW w:type="dxa" w:w="68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3B3B3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94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a/H1 (relative opening)</w:t>
            </w:r>
          </w:p>
        </w:tc>
        <w:tc>
          <w:tcPr>
            <w:tcW w:type="dxa" w:w="68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Basic control variable</w:t>
            </w:r>
          </w:p>
        </w:tc>
      </w:tr>
      <w:tr>
        <w:trPr>
          <w:cantSplit/>
        </w:trPr>
        <w:tc>
          <w:tcPr>
            <w:tcW w:type="dxa" w:w="294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s/a, Ls/a, xs/a</w:t>
            </w:r>
          </w:p>
        </w:tc>
        <w:tc>
          <w:tcPr>
            <w:tcW w:type="dxa" w:w="68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Relative sill height, length and position. Geometry controlling separation</w:t>
            </w:r>
          </w:p>
        </w:tc>
      </w:tr>
      <w:tr>
        <w:trPr>
          <w:cantSplit/>
        </w:trPr>
        <w:tc>
          <w:tcPr>
            <w:tcW w:type="dxa" w:w="294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Submergence ratio (tailwater / opening)</w:t>
            </w:r>
          </w:p>
        </w:tc>
        <w:tc>
          <w:tcPr>
            <w:tcW w:type="dxa" w:w="68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Free vs submerged regime</w:t>
            </w:r>
          </w:p>
        </w:tc>
      </w:tr>
      <w:tr>
        <w:trPr>
          <w:cantSplit/>
        </w:trPr>
        <w:tc>
          <w:tcPr>
            <w:tcW w:type="dxa" w:w="294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 (at the contracted section)</w:t>
            </w:r>
          </w:p>
        </w:tc>
        <w:tc>
          <w:tcPr>
            <w:tcW w:type="dxa" w:w="68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Inertial scaling of the jet</w:t>
            </w:r>
          </w:p>
        </w:tc>
      </w:tr>
      <w:tr>
        <w:trPr>
          <w:cantSplit/>
        </w:trPr>
        <w:tc>
          <w:tcPr>
            <w:tcW w:type="dxa" w:w="294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 = f·ℓ/V</w:t>
            </w:r>
          </w:p>
        </w:tc>
        <w:tc>
          <w:tcPr>
            <w:tcW w:type="dxa" w:w="68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Frequency scaling. The candidate length scale ℓ is to be determined: contracted jet thickness, lip–sill gap, or sill length</w:t>
            </w:r>
          </w:p>
        </w:tc>
      </w:tr>
      <w:tr>
        <w:trPr>
          <w:cantSplit/>
        </w:trPr>
        <w:tc>
          <w:tcPr>
            <w:tcW w:type="dxa" w:w="294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C′p, C′F (rms pressure and force coefficients)</w:t>
            </w:r>
          </w:p>
        </w:tc>
        <w:tc>
          <w:tcPr>
            <w:tcW w:type="dxa" w:w="68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Load magnitude normalised by jet dynamic pressure</w:t>
            </w:r>
          </w:p>
        </w:tc>
      </w:tr>
      <w:tr>
        <w:trPr>
          <w:cantSplit/>
        </w:trPr>
        <w:tc>
          <w:tcPr>
            <w:tcW w:type="dxa" w:w="294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Spectral concentration index</w:t>
            </w:r>
          </w:p>
        </w:tc>
        <w:tc>
          <w:tcPr>
            <w:tcW w:type="dxa" w:w="68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Share of load energy in a narrow band (more critical for resonance)</w:t>
            </w:r>
          </w:p>
        </w:tc>
      </w:tr>
      <w:tr>
        <w:trPr>
          <w:cantSplit/>
        </w:trPr>
        <w:tc>
          <w:tcPr>
            <w:tcW w:type="dxa" w:w="294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Cd; Re</w:t>
            </w:r>
          </w:p>
        </w:tc>
        <w:tc>
          <w:tcPr>
            <w:tcW w:type="dxa" w:w="68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Hydraulic efficiency, paired with C′F for the trade-off; Re monitored to bound scale effects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left w:val="single" w:color="6B1E2C" w:sz="36" w:space="8"/>
        </w:pBdr>
        <w:shd w:fill="F4EEE4" w:color="auto" w:val="clear"/>
        <w:spacing w:after="100" w:before="260"/>
      </w:pPr>
      <w:r>
        <w:rPr>
          <w:rFonts w:ascii="Arial" w:cs="Arial" w:eastAsia="Arial" w:hAnsi="Arial"/>
          <w:b/>
          <w:bCs/>
          <w:color w:val="9C7A4A"/>
          <w:sz w:val="24"/>
          <w:szCs w:val="24"/>
        </w:rPr>
        <w:t xml:space="preserve">06  </w:t>
      </w:r>
      <w:r>
        <w:rPr>
          <w:rFonts w:ascii="Arial" w:cs="Arial" w:eastAsia="Arial" w:hAnsi="Arial"/>
          <w:b/>
          <w:bCs/>
          <w:color w:val="6B1E2C"/>
          <w:sz w:val="22"/>
          <w:szCs w:val="22"/>
        </w:rPr>
        <w:t xml:space="preserve">HYPOTHESES (TO BE TESTED)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Mechanism.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Above a threshold relative sill height, control of separation moves from the gate lip to the sill crest. That shift changes both the level and the spectral shape of the fluctuating load.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Scaling.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Within each regime, the dominant load frequency collapses on a Strouhal number with a regime-specific length scale. Identifying that length scale is a primary outcome.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Trade-off.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There is a range of sill geometry and operating conditions in which most of the discharge gain is kept while C′F and the spectral concentration stay at or below the no-sill reference.</w:t>
      </w:r>
    </w:p>
    <w:p>
      <w:pPr>
        <w:spacing w:after="40"/>
      </w:pPr>
    </w:p>
    <w:p>
      <w:pPr>
        <w:pStyle w:val="Heading1"/>
        <w:keepNext/>
        <w:pBdr>
          <w:left w:val="single" w:color="6B1E2C" w:sz="36" w:space="8"/>
        </w:pBdr>
        <w:shd w:fill="F4EEE4" w:color="auto" w:val="clear"/>
        <w:spacing w:after="100" w:before="260"/>
      </w:pPr>
      <w:r>
        <w:rPr>
          <w:rFonts w:ascii="Arial" w:cs="Arial" w:eastAsia="Arial" w:hAnsi="Arial"/>
          <w:b/>
          <w:bCs/>
          <w:color w:val="9C7A4A"/>
          <w:sz w:val="24"/>
          <w:szCs w:val="24"/>
        </w:rPr>
        <w:t xml:space="preserve">07  </w:t>
      </w:r>
      <w:r>
        <w:rPr>
          <w:rFonts w:ascii="Arial" w:cs="Arial" w:eastAsia="Arial" w:hAnsi="Arial"/>
          <w:b/>
          <w:bCs/>
          <w:color w:val="6B1E2C"/>
          <w:sz w:val="22"/>
          <w:szCs w:val="22"/>
        </w:rPr>
        <w:t xml:space="preserve">PREDICTIVE MODELLING DIRECTION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No final equation is proposed in advance. The thesis must discover: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 regime boundaries in the (s/a, submergence, a/H1) space;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 length scale that collapses the dominant frequencies in each regime;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 functional dependence of C′F and of spectral concentration on the sill groups, within each regime;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whether one efficiency–load criterion holds across configurations, tested on held-out geometries.</w:t>
      </w:r>
    </w:p>
    <w:p>
      <w:pPr>
        <w:spacing w:after="40"/>
      </w:pPr>
    </w:p>
    <w:p>
      <w:pPr>
        <w:spacing w:after="100" w:line="276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 model form will be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semi-empirical and regime-conditioned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, with the structure set by the mechanism and coefficients fitted to data. Black-box machine learning is not the contribution. CFD explains mechanisms; it does not replace experiments.</w:t>
      </w:r>
    </w:p>
    <w:p>
      <w:pPr>
        <w:pStyle w:val="Heading1"/>
        <w:keepNext/>
        <w:pBdr>
          <w:left w:val="single" w:color="6B1E2C" w:sz="36" w:space="8"/>
        </w:pBdr>
        <w:shd w:fill="F4EEE4" w:color="auto" w:val="clear"/>
        <w:spacing w:after="100" w:before="260"/>
      </w:pPr>
      <w:r>
        <w:rPr>
          <w:rFonts w:ascii="Arial" w:cs="Arial" w:eastAsia="Arial" w:hAnsi="Arial"/>
          <w:b/>
          <w:bCs/>
          <w:color w:val="9C7A4A"/>
          <w:sz w:val="24"/>
          <w:szCs w:val="24"/>
        </w:rPr>
        <w:t xml:space="preserve">08  </w:t>
      </w:r>
      <w:r>
        <w:rPr>
          <w:rFonts w:ascii="Arial" w:cs="Arial" w:eastAsia="Arial" w:hAnsi="Arial"/>
          <w:b/>
          <w:bCs/>
          <w:color w:val="6B1E2C"/>
          <w:sz w:val="22"/>
          <w:szCs w:val="22"/>
        </w:rPr>
        <w:t xml:space="preserve">METHODOLOGY AND BOUNDED SCOPE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65"/>
        <w:gridCol w:w="5491"/>
        <w:gridCol w:w="2550"/>
      </w:tblGrid>
      <w:tr>
        <w:trPr>
          <w:tblHeader/>
        </w:trPr>
        <w:tc>
          <w:tcPr>
            <w:tcW w:type="dxa" w:w="17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3B3B3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Work package</w:t>
            </w:r>
          </w:p>
        </w:tc>
        <w:tc>
          <w:tcPr>
            <w:tcW w:type="dxa" w:w="549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3B3B3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2550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3B3B3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WP1 Framework</w:t>
            </w:r>
          </w:p>
        </w:tc>
        <w:tc>
          <w:tcPr>
            <w:tcW w:type="dxa" w:w="549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Dimensional analysis, regime hypotheses, reduced test matrix</w:t>
            </w:r>
          </w:p>
        </w:tc>
        <w:tc>
          <w:tcPr>
            <w:tcW w:type="dxa" w:w="2550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 plan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WP2 Experiments</w:t>
            </w:r>
          </w:p>
        </w:tc>
        <w:tc>
          <w:tcPr>
            <w:tcW w:type="dxa" w:w="549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rigid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gate with 6–8 flush pressure transducers on the lip, skin plate and sill. Configurations: no sill plus 3 sill heights × 2 lengths (7 geometries) × 3 openings × 2–3 flow states (free, submerged), about 40–60 runs, a subset repeated</w:t>
            </w:r>
          </w:p>
        </w:tc>
        <w:tc>
          <w:tcPr>
            <w:tcW w:type="dxa" w:w="2550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Load data; Paper J1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WP3 CFD</w:t>
            </w:r>
          </w:p>
        </w:tc>
        <w:tc>
          <w:tcPr>
            <w:tcW w:type="dxa" w:w="549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LES or DES with VOF at about 6–8 selected cases. Mesh verified with the Richardson/GCI procedure used in T19. Validated against measured spectra</w:t>
            </w:r>
          </w:p>
        </w:tc>
        <w:tc>
          <w:tcPr>
            <w:tcW w:type="dxa" w:w="2550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Mechanism evidence; Paper J2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WP4 Model and criterion</w:t>
            </w:r>
          </w:p>
        </w:tc>
        <w:tc>
          <w:tcPr>
            <w:tcW w:type="dxa" w:w="5491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Regime map, scaling relationship, efficiency–load criterion, checked on held-out configurations. Prototype-scale interpretation with a scale-effect discussion</w:t>
            </w:r>
          </w:p>
        </w:tc>
        <w:tc>
          <w:tcPr>
            <w:tcW w:type="dxa" w:w="2550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Criterion; Paper J3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left w:val="single" w:color="6B1E2C" w:sz="36" w:space="8"/>
        </w:pBdr>
        <w:shd w:fill="F4EEE4" w:color="auto" w:val="clear"/>
        <w:spacing w:after="100" w:before="260"/>
      </w:pPr>
      <w:r>
        <w:rPr>
          <w:rFonts w:ascii="Arial" w:cs="Arial" w:eastAsia="Arial" w:hAnsi="Arial"/>
          <w:b/>
          <w:bCs/>
          <w:color w:val="9C7A4A"/>
          <w:sz w:val="24"/>
          <w:szCs w:val="24"/>
        </w:rPr>
        <w:t xml:space="preserve">09  </w:t>
      </w:r>
      <w:r>
        <w:rPr>
          <w:rFonts w:ascii="Arial" w:cs="Arial" w:eastAsia="Arial" w:hAnsi="Arial"/>
          <w:b/>
          <w:bCs/>
          <w:color w:val="6B1E2C"/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Measured pressure spectra are the primary reference; CFD is accepted only where it reproduces them. The no-sill baseline is checked against classical underflow-gate data (compiled in the confirmation review).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Predictive check: the relationship and criterion are derived on part of the matrix and tested on held-out configurations.</w:t>
      </w:r>
    </w:p>
    <w:p>
      <w:pPr>
        <w:spacing w:after="40"/>
      </w:pPr>
    </w:p>
    <w:p>
      <w:pPr>
        <w:pStyle w:val="Heading1"/>
        <w:keepNext/>
        <w:pBdr>
          <w:left w:val="single" w:color="6B1E2C" w:sz="36" w:space="8"/>
        </w:pBdr>
        <w:shd w:fill="F4EEE4" w:color="auto" w:val="clear"/>
        <w:spacing w:after="100" w:before="260"/>
      </w:pPr>
      <w:r>
        <w:rPr>
          <w:rFonts w:ascii="Arial" w:cs="Arial" w:eastAsia="Arial" w:hAnsi="Arial"/>
          <w:b/>
          <w:bCs/>
          <w:color w:val="9C7A4A"/>
          <w:sz w:val="24"/>
          <w:szCs w:val="24"/>
        </w:rPr>
        <w:t xml:space="preserve">10  </w:t>
      </w:r>
      <w:r>
        <w:rPr>
          <w:rFonts w:ascii="Arial" w:cs="Arial" w:eastAsia="Arial" w:hAnsi="Arial"/>
          <w:b/>
          <w:bCs/>
          <w:color w:val="6B1E2C"/>
          <w:sz w:val="22"/>
          <w:szCs w:val="22"/>
        </w:rPr>
        <w:t xml:space="preserve">EXPECTED CONTRIBUTION AND PAPERS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If the hypotheses hold: a regime-based, dimensionless description of fluctuating loads on sill-equipped gates and a criterion linking the group's discharge-efficiency results to dynamic safety (novelty subject to the confirmation review).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6"/>
        <w:gridCol w:w="5687"/>
        <w:gridCol w:w="2943"/>
      </w:tblGrid>
      <w:tr>
        <w:trPr>
          <w:tblHeader/>
        </w:trPr>
        <w:tc>
          <w:tcPr>
            <w:tcW w:type="dxa" w:w="1176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3B3B3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Paper</w:t>
            </w:r>
          </w:p>
        </w:tc>
        <w:tc>
          <w:tcPr>
            <w:tcW w:type="dxa" w:w="568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3B3B3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Indicative content</w:t>
            </w:r>
          </w:p>
        </w:tc>
        <w:tc>
          <w:tcPr>
            <w:tcW w:type="dxa" w:w="2943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3B3B3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Candidate journals</w:t>
            </w:r>
          </w:p>
        </w:tc>
      </w:tr>
      <w:tr>
        <w:trPr>
          <w:cantSplit/>
        </w:trPr>
        <w:tc>
          <w:tcPr>
            <w:tcW w:type="dxa" w:w="1176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J1</w:t>
            </w:r>
          </w:p>
        </w:tc>
        <w:tc>
          <w:tcPr>
            <w:tcW w:type="dxa" w:w="568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Experimental fluctuating pressures and forces; regime identification</w:t>
            </w:r>
          </w:p>
        </w:tc>
        <w:tc>
          <w:tcPr>
            <w:tcW w:type="dxa" w:w="2943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J. Hydraulic Research; J. Hydraulic Eng.</w:t>
            </w:r>
          </w:p>
        </w:tc>
      </w:tr>
      <w:tr>
        <w:trPr>
          <w:cantSplit/>
        </w:trPr>
        <w:tc>
          <w:tcPr>
            <w:tcW w:type="dxa" w:w="1176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J2</w:t>
            </w:r>
          </w:p>
        </w:tc>
        <w:tc>
          <w:tcPr>
            <w:tcW w:type="dxa" w:w="568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Mechanism of separation control and Strouhal scaling (experiment + LES)</w:t>
            </w:r>
          </w:p>
        </w:tc>
        <w:tc>
          <w:tcPr>
            <w:tcW w:type="dxa" w:w="2943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shd w:fill="F6F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J. Fluids Struct.; Physics of Fluids</w:t>
            </w:r>
          </w:p>
        </w:tc>
      </w:tr>
      <w:tr>
        <w:trPr>
          <w:cantSplit/>
        </w:trPr>
        <w:tc>
          <w:tcPr>
            <w:tcW w:type="dxa" w:w="1176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J3</w:t>
            </w:r>
          </w:p>
        </w:tc>
        <w:tc>
          <w:tcPr>
            <w:tcW w:type="dxa" w:w="5687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Efficiency–dynamic-load criterion with prototype-scale interpretation</w:t>
            </w:r>
          </w:p>
        </w:tc>
        <w:tc>
          <w:tcPr>
            <w:tcW w:type="dxa" w:w="2943"/>
            <w:tcBorders>
              <w:top w:val="single" w:color="BFB4A5" w:sz="4"/>
              <w:left w:val="single" w:color="BFB4A5" w:sz="4"/>
              <w:bottom w:val="single" w:color="BFB4A5" w:sz="4"/>
              <w:right w:val="single" w:color="BFB4A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Water Resources Management; J. Irrig. Drain. Eng.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left w:val="single" w:color="6B1E2C" w:sz="36" w:space="8"/>
        </w:pBdr>
        <w:shd w:fill="F4EEE4" w:color="auto" w:val="clear"/>
        <w:spacing w:after="100" w:before="260"/>
      </w:pPr>
      <w:r>
        <w:rPr>
          <w:rFonts w:ascii="Arial" w:cs="Arial" w:eastAsia="Arial" w:hAnsi="Arial"/>
          <w:b/>
          <w:bCs/>
          <w:color w:val="9C7A4A"/>
          <w:sz w:val="24"/>
          <w:szCs w:val="24"/>
        </w:rPr>
        <w:t xml:space="preserve">11  </w:t>
      </w:r>
      <w:r>
        <w:rPr>
          <w:rFonts w:ascii="Arial" w:cs="Arial" w:eastAsia="Arial" w:hAnsi="Arial"/>
          <w:b/>
          <w:bCs/>
          <w:color w:val="6B1E2C"/>
          <w:sz w:val="22"/>
          <w:szCs w:val="22"/>
        </w:rPr>
        <w:t xml:space="preserve">INDEPENDENCE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Rigid gate and pressure sensors only; no modal identification; nothing needed from Zina. Laboratory requirements: programme summary §6.</w:t>
      </w:r>
    </w:p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6B1E2C"/>
          <w:sz w:val="21"/>
          <w:szCs w:val="21"/>
        </w:rPr>
        <w:t xml:space="preserve">Verified references (supervisor's publications)</w:t>
      </w:r>
    </w:p>
    <w:p>
      <w:pPr>
        <w:spacing w:after="50" w:line="252"/>
        <w:ind w:left="420" w:hanging="420"/>
      </w:pPr>
      <w:r>
        <w:rPr>
          <w:rFonts w:ascii="Arial" w:cs="Arial" w:eastAsia="Arial" w:hAnsi="Arial"/>
          <w:b/>
          <w:bCs/>
          <w:color w:val="9C7A4A"/>
          <w:sz w:val="17"/>
          <w:szCs w:val="17"/>
        </w:rPr>
        <w:t xml:space="preserve">[1] </w:t>
      </w:r>
      <w:r>
        <w:rPr>
          <w:rFonts w:ascii="Arial" w:cs="Arial" w:eastAsia="Arial" w:hAnsi="Arial"/>
          <w:color w:val="2E2E2E"/>
          <w:sz w:val="17"/>
          <w:szCs w:val="17"/>
        </w:rPr>
        <w:t xml:space="preserve">Abbaszadeh H., Tarinejad R. (2025). Soft computing and predicting labyrinth gates discharge coefficient. </w:t>
      </w:r>
      <w:r>
        <w:rPr>
          <w:rFonts w:ascii="Arial" w:cs="Arial" w:eastAsia="Arial" w:hAnsi="Arial"/>
          <w:i/>
          <w:iCs/>
          <w:color w:val="2E2E2E"/>
          <w:sz w:val="17"/>
          <w:szCs w:val="17"/>
        </w:rPr>
        <w:t xml:space="preserve">Water Resources</w:t>
      </w:r>
      <w:r>
        <w:rPr>
          <w:rFonts w:ascii="Arial" w:cs="Arial" w:eastAsia="Arial" w:hAnsi="Arial"/>
          <w:color w:val="2E2E2E"/>
          <w:sz w:val="17"/>
          <w:szCs w:val="17"/>
        </w:rPr>
        <w:t xml:space="preserve"> 52(4), 701–714. doi:10.1134/S0097807824604734 [T17]</w:t>
      </w:r>
    </w:p>
    <w:p>
      <w:pPr>
        <w:spacing w:after="50" w:line="252"/>
        <w:ind w:left="420" w:hanging="420"/>
      </w:pPr>
      <w:r>
        <w:rPr>
          <w:rFonts w:ascii="Arial" w:cs="Arial" w:eastAsia="Arial" w:hAnsi="Arial"/>
          <w:b/>
          <w:bCs/>
          <w:color w:val="9C7A4A"/>
          <w:sz w:val="17"/>
          <w:szCs w:val="17"/>
        </w:rPr>
        <w:t xml:space="preserve">[2] </w:t>
      </w:r>
      <w:r>
        <w:rPr>
          <w:rFonts w:ascii="Arial" w:cs="Arial" w:eastAsia="Arial" w:hAnsi="Arial"/>
          <w:color w:val="2E2E2E"/>
          <w:sz w:val="17"/>
          <w:szCs w:val="17"/>
        </w:rPr>
        <w:t xml:space="preserve">Abbaszadeh H., Tarinejad R., Roushangar K., Daneshfaraz R. (2026). Investigation of the effects of internal structure and material properties on the hydraulic performance of rectangular gabion weirs: experimental and numerical study. </w:t>
      </w:r>
      <w:r>
        <w:rPr>
          <w:rFonts w:ascii="Arial" w:cs="Arial" w:eastAsia="Arial" w:hAnsi="Arial"/>
          <w:i/>
          <w:iCs/>
          <w:color w:val="2E2E2E"/>
          <w:sz w:val="17"/>
          <w:szCs w:val="17"/>
        </w:rPr>
        <w:t xml:space="preserve">Water Resources Management</w:t>
      </w:r>
      <w:r>
        <w:rPr>
          <w:rFonts w:ascii="Arial" w:cs="Arial" w:eastAsia="Arial" w:hAnsi="Arial"/>
          <w:color w:val="2E2E2E"/>
          <w:sz w:val="17"/>
          <w:szCs w:val="17"/>
        </w:rPr>
        <w:t xml:space="preserve"> 40, art. 376. doi:10.1007/s11269-026-04667-3 [T18]</w:t>
      </w:r>
    </w:p>
    <w:p>
      <w:pPr>
        <w:spacing w:after="50" w:line="252"/>
        <w:ind w:left="420" w:hanging="420"/>
      </w:pPr>
      <w:r>
        <w:rPr>
          <w:rFonts w:ascii="Arial" w:cs="Arial" w:eastAsia="Arial" w:hAnsi="Arial"/>
          <w:b/>
          <w:bCs/>
          <w:color w:val="9C7A4A"/>
          <w:sz w:val="17"/>
          <w:szCs w:val="17"/>
        </w:rPr>
        <w:t xml:space="preserve">[3] </w:t>
      </w:r>
      <w:r>
        <w:rPr>
          <w:rFonts w:ascii="Arial" w:cs="Arial" w:eastAsia="Arial" w:hAnsi="Arial"/>
          <w:color w:val="2E2E2E"/>
          <w:sz w:val="17"/>
          <w:szCs w:val="17"/>
        </w:rPr>
        <w:t xml:space="preserve">Vaseti M.M., Akhtari A.A., Tarinejad R. (2026). Optimized mesh zoning for dam bottom outlet CFD simulations using Richardson extrapolation and grid convergence analysis. </w:t>
      </w:r>
      <w:r>
        <w:rPr>
          <w:rFonts w:ascii="Arial" w:cs="Arial" w:eastAsia="Arial" w:hAnsi="Arial"/>
          <w:i/>
          <w:iCs/>
          <w:color w:val="2E2E2E"/>
          <w:sz w:val="17"/>
          <w:szCs w:val="17"/>
        </w:rPr>
        <w:t xml:space="preserve">Engineering Reports</w:t>
      </w:r>
      <w:r>
        <w:rPr>
          <w:rFonts w:ascii="Arial" w:cs="Arial" w:eastAsia="Arial" w:hAnsi="Arial"/>
          <w:color w:val="2E2E2E"/>
          <w:sz w:val="17"/>
          <w:szCs w:val="17"/>
        </w:rPr>
        <w:t xml:space="preserve"> 8(6). doi:10.1002/eng2.70800 [T19]</w:t>
      </w:r>
    </w:p>
    <w:sectPr>
      <w:headerReference w:type="default" r:id="rId7"/>
      <w:footerReference w:type="default" r:id="rId8"/>
      <w:pgSz w:w="11906" w:h="16838" w:orient="portrait"/>
      <w:pgMar w:top="950" w:right="1050" w:bottom="950" w:left="105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06"/>
      </w:tabs>
    </w:pPr>
    <w:r>
      <w:rPr>
        <w:rFonts w:ascii="Arial" w:cs="Arial" w:eastAsia="Arial" w:hAnsi="Arial"/>
        <w:color w:val="5A5A5A"/>
        <w:sz w:val="15"/>
        <w:szCs w:val="15"/>
      </w:rPr>
      <w:t xml:space="preserve">Faculty of Civil Engineering, University of Tabriz</w:t>
    </w:r>
    <w:r>
      <w:rPr>
        <w:rFonts w:ascii="Arial" w:cs="Arial" w:eastAsia="Arial" w:hAnsi="Arial"/>
        <w:color w:val="5A5A5A"/>
        <w:sz w:val="15"/>
        <w:szCs w:val="15"/>
      </w:rPr>
      <w:t xml:space="preserve">	Page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of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C7A4A" w:sz="4" w:space="4"/>
      </w:pBdr>
      <w:jc w:val="right"/>
    </w:pPr>
    <w:r>
      <w:rPr>
        <w:rFonts w:ascii="Arial" w:cs="Arial" w:eastAsia="Arial" w:hAnsi="Arial"/>
        <w:color w:val="5A5A5A"/>
        <w:sz w:val="15"/>
        <w:szCs w:val="15"/>
      </w:rPr>
      <w:t xml:space="preserve">Preliminary doctoral concept — Jamal · Subject to supervisor confirmation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9C7A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9C7A4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9C7A4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9C7A4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9C7A4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9C7A4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9C7A4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9C7A4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9C7A4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9C7A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color w:val="6B1E2C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color w:val="9C7A4A"/>
      <w:sz w:val="23"/>
      <w:szCs w:val="23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color w:val="2E2E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Jamal — Preliminary Doctoral Concept</dc:title>
  <dc:creator>Paired PhD research program</dc:creator>
  <cp:lastModifiedBy>Un-named</cp:lastModifiedBy>
  <cp:revision>1</cp:revision>
  <dcterms:created xsi:type="dcterms:W3CDTF">2026-10-05T18:20:07.275Z</dcterms:created>
  <dcterms:modified xsi:type="dcterms:W3CDTF">2026-10-05T18:20:07.275Z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