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3E7C7A"/>
          <w:spacing w:val="40"/>
          <w:sz w:val="17"/>
          <w:szCs w:val="17"/>
        </w:rPr>
        <w:t xml:space="preserve">PRELIMINARY DOCTORAL CONCEPT · PROPOSED RESEARCH DIRECTION</w:t>
      </w:r>
    </w:p>
    <w:p>
      <w:pPr>
        <w:spacing w:after="120" w:before="0"/>
      </w:pPr>
      <w:r>
        <w:rPr>
          <w:rFonts w:ascii="Georgia" w:cs="Georgia" w:eastAsia="Georgia" w:hAnsi="Georgia"/>
          <w:b w:val="false"/>
          <w:bCs w:val="false"/>
          <w:color w:val="1F2A44"/>
          <w:sz w:val="34"/>
          <w:szCs w:val="34"/>
        </w:rPr>
        <w:t xml:space="preserve">Operational Modal Identification of Hydraulic Gates under Varying Flow Conditions</w:t>
      </w:r>
    </w:p>
    <w:p>
      <w:pPr>
        <w:bidi/>
        <w:spacing w:after="120"/>
        <w:jc w:val="right"/>
      </w:pPr>
      <w:r>
        <w:rPr>
          <w:rFonts w:ascii="Tahoma" w:cs="Tahoma" w:hAnsi="Tahoma"/>
          <w:b/>
          <w:bCs/>
          <w:color w:val="3E7C7A"/>
          <w:sz w:val="26"/>
          <w:szCs w:val="26"/>
          <w:rtl/>
        </w:rPr>
        <w:t xml:space="preserve">شناسایی مودال عملیاتی دریچه‌های هیدرولیکی در شرایط متغیر جریان</w:t>
      </w:r>
    </w:p>
    <w:p>
      <w:pPr>
        <w:spacing w:after="80"/>
      </w:pPr>
      <w:r>
        <w:rPr>
          <w:rFonts w:ascii="Calibri" w:cs="Calibri" w:eastAsia="Calibri" w:hAnsi="Calibri"/>
          <w:i/>
          <w:iCs/>
          <w:color w:val="5F6B7A"/>
          <w:sz w:val="22"/>
          <w:szCs w:val="22"/>
        </w:rPr>
        <w:t xml:space="preserve">Formal working title: Operating-State-Dependent Operational Modal Analysis of Flow-Excited Hydraulic Gates Using Transmissibility Functions</w:t>
      </w:r>
    </w:p>
    <w:p>
      <w:pPr>
        <w:pBdr>
          <w:bottom w:val="single" w:color="3E7C7A" w:sz="8" w:space="6"/>
        </w:pBdr>
        <w:spacing w:after="200"/>
      </w:pPr>
      <w:r>
        <w:rPr>
          <w:rFonts w:ascii="Calibri" w:cs="Calibri" w:eastAsia="Calibri" w:hAnsi="Calibri"/>
          <w:color w:val="5F6B7A"/>
          <w:sz w:val="20"/>
          <w:szCs w:val="20"/>
        </w:rPr>
        <w:t xml:space="preserve">Candidate: </w:t>
      </w:r>
      <w:r>
        <w:rPr>
          <w:rFonts w:ascii="Calibri" w:cs="Calibri" w:eastAsia="Calibri" w:hAnsi="Calibri"/>
          <w:b/>
          <w:bCs/>
          <w:color w:val="5F6B7A"/>
          <w:sz w:val="20"/>
          <w:szCs w:val="20"/>
        </w:rPr>
        <w:t xml:space="preserve">Zina</w:t>
      </w:r>
      <w:r>
        <w:rPr>
          <w:rFonts w:ascii="Calibri" w:cs="Calibri" w:eastAsia="Calibri" w:hAnsi="Calibri"/>
          <w:color w:val="5F6B7A"/>
          <w:sz w:val="20"/>
          <w:szCs w:val="20"/>
        </w:rPr>
        <w:t xml:space="preserve"> · Proposed supervisor: </w:t>
      </w:r>
      <w:r>
        <w:rPr>
          <w:rFonts w:ascii="Calibri" w:cs="Calibri" w:eastAsia="Calibri" w:hAnsi="Calibri"/>
          <w:b/>
          <w:bCs/>
          <w:color w:val="5F6B7A"/>
          <w:sz w:val="20"/>
          <w:szCs w:val="20"/>
        </w:rPr>
        <w:t xml:space="preserve">Prof. Reza Tarinejad</w:t>
      </w:r>
      <w:r>
        <w:rPr>
          <w:rFonts w:ascii="Calibri" w:cs="Calibri" w:eastAsia="Calibri" w:hAnsi="Calibri"/>
          <w:color w:val="5F6B7A"/>
          <w:sz w:val="20"/>
          <w:szCs w:val="20"/>
        </w:rPr>
        <w:t xml:space="preserve"> · Faculty of Civil Engineering, University of Tabriz · October 2026</w:t>
      </w:r>
    </w:p>
    <w:tbl>
      <w:tblPr>
        <w:tblW w:type="dxa" w:w="96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6"/>
      </w:tblGrid>
      <w:tr>
        <w:tc>
          <w:tcPr>
            <w:tcW w:type="dxa" w:w="9606"/>
            <w:tcBorders>
              <w:top w:val="none" w:color="FFFFFF" w:sz="0"/>
              <w:left w:val="single" w:color="3E7C7A" w:sz="24"/>
              <w:bottom w:val="none" w:color="FFFFFF" w:sz="0"/>
              <w:right w:val="none" w:color="FFFFFF" w:sz="0"/>
            </w:tcBorders>
            <w:shd w:fill="E7F0EF" w:color="auto" w:val="clear"/>
            <w:tcMar>
              <w:top w:type="dxa" w:w="100"/>
              <w:left w:type="dxa" w:w="160"/>
              <w:bottom w:type="dxa" w:w="100"/>
              <w:right w:type="dxa" w:w="160"/>
            </w:tcMar>
          </w:tcPr>
          <w:p>
            <w:pPr>
              <w:spacing w:after="60"/>
            </w:pPr>
            <w:r>
              <w:rPr>
                <w:rFonts w:ascii="Georgia" w:cs="Georgia" w:eastAsia="Georgia" w:hAnsi="Georgia"/>
                <w:b/>
                <w:bCs/>
                <w:color w:val="1F2A44"/>
                <w:sz w:val="22"/>
                <w:szCs w:val="22"/>
              </w:rPr>
              <w:t xml:space="preserve">Status of this concept</w:t>
            </w:r>
          </w:p>
          <w:p>
            <w:pPr>
              <w:spacing w:after="40" w:line="264"/>
            </w:pPr>
            <w:r>
              <w:rPr>
                <w:rFonts w:ascii="Calibri" w:cs="Calibri" w:eastAsia="Calibri" w:hAnsi="Calibri"/>
                <w:color w:val="262B33"/>
                <w:sz w:val="21"/>
                <w:szCs w:val="21"/>
              </w:rPr>
              <w:t xml:space="preserve">Preliminary concept for discussion, not an approved topic. Unresolved: (1) a short recent-literature confirmation review of the gap; (2) confirmation that no current student already owns this scope. One half of a proposed paired programme; Jamal's concept is independent of it.</w:t>
            </w:r>
          </w:p>
        </w:tc>
      </w:tr>
    </w:tbl>
    <w:p>
      <w:pPr>
        <w:spacing w:after="100"/>
      </w:pPr>
    </w:p>
    <w:p>
      <w:pPr>
        <w:pStyle w:val="Heading1"/>
        <w:keepNext/>
        <w:pBdr>
          <w:bottom w:val="single" w:color="3E7C7A" w:sz="6" w:space="3"/>
        </w:pBdr>
        <w:spacing w:after="100" w:before="280"/>
      </w:pPr>
      <w:r>
        <w:rPr>
          <w:rFonts w:ascii="Georgia" w:cs="Georgia" w:eastAsia="Georgia" w:hAnsi="Georgia"/>
          <w:color w:val="1F2A44"/>
          <w:sz w:val="26"/>
          <w:szCs w:val="26"/>
        </w:rPr>
        <w:t xml:space="preserve">The problem in plain terms</w:t>
      </w:r>
    </w:p>
    <w:p>
      <w:pPr>
        <w:spacing w:after="100" w:line="276"/>
        <w:jc w:val="both"/>
      </w:pPr>
      <w:r>
        <w:rPr>
          <w:rFonts w:ascii="Calibri" w:cs="Calibri" w:eastAsia="Calibri" w:hAnsi="Calibri"/>
          <w:color w:val="262B33"/>
          <w:sz w:val="21"/>
          <w:szCs w:val="21"/>
        </w:rPr>
        <w:t xml:space="preserve">Operational modal analysis (OMA) estimates natural frequencies, mode shapes and damping from response alone. For a hydraulic gate these "apparent" properties are not fixed. When water level, submergence or opening changes, the hydrodynamic added mass and damping change the frequencies. At the same time, the exciting flow changes its own frequency content and may contain narrow-band vortex-shedding components.</w:t>
      </w:r>
    </w:p>
    <w:p>
      <w:pPr>
        <w:spacing w:after="100" w:line="276"/>
        <w:jc w:val="both"/>
      </w:pPr>
      <w:r>
        <w:rPr>
          <w:rFonts w:ascii="Calibri" w:cs="Calibri" w:eastAsia="Calibri" w:hAnsi="Calibri"/>
          <w:color w:val="262B33"/>
          <w:sz w:val="21"/>
          <w:szCs w:val="21"/>
        </w:rPr>
        <w:t xml:space="preserve">The scientific problem is therefore: </w:t>
      </w:r>
      <w:r>
        <w:rPr>
          <w:rFonts w:ascii="Calibri" w:cs="Calibri" w:eastAsia="Calibri" w:hAnsi="Calibri"/>
          <w:b/>
          <w:bCs/>
          <w:color w:val="262B33"/>
          <w:sz w:val="21"/>
          <w:szCs w:val="21"/>
        </w:rPr>
        <w:t xml:space="preserve">how can the structural modal properties of a hydraulic gate be identified reliably when the surrounding water and the operating state themselves change the apparent dynamic properties?</w:t>
      </w:r>
      <w:r>
        <w:rPr>
          <w:rFonts w:ascii="Calibri" w:cs="Calibri" w:eastAsia="Calibri" w:hAnsi="Calibri"/>
          <w:color w:val="262B33"/>
          <w:sz w:val="21"/>
          <w:szCs w:val="21"/>
        </w:rPr>
        <w:t xml:space="preserve"> Without an answer, a frequency shift measured on a gate cannot be attributed with confidence to damage, to a different water level, or to a flow-excitation peak.</w:t>
      </w:r>
    </w:p>
    <w:p>
      <w:pPr>
        <w:pStyle w:val="Heading1"/>
        <w:keepNext/>
        <w:pBdr>
          <w:bottom w:val="single" w:color="3E7C7A" w:sz="6" w:space="3"/>
        </w:pBdr>
        <w:spacing w:after="100" w:before="280"/>
      </w:pPr>
      <w:r>
        <w:rPr>
          <w:rFonts w:ascii="Georgia" w:cs="Georgia" w:eastAsia="Georgia" w:hAnsi="Georgia"/>
          <w:color w:val="1F2A44"/>
          <w:sz w:val="26"/>
          <w:szCs w:val="26"/>
        </w:rPr>
        <w:t xml:space="preserve">Research gap</w:t>
      </w:r>
    </w:p>
    <w:p>
      <w:pPr>
        <w:spacing w:after="100" w:line="276"/>
        <w:jc w:val="both"/>
      </w:pPr>
      <w:r>
        <w:rPr>
          <w:rFonts w:ascii="Calibri" w:cs="Calibri" w:eastAsia="Calibri" w:hAnsi="Calibri"/>
          <w:color w:val="262B33"/>
          <w:sz w:val="21"/>
          <w:szCs w:val="21"/>
        </w:rPr>
        <w:t xml:space="preserve">Prof. Tarinejad's recent work develops </w:t>
      </w:r>
      <w:r>
        <w:rPr>
          <w:rFonts w:ascii="Calibri" w:cs="Calibri" w:eastAsia="Calibri" w:hAnsi="Calibri"/>
          <w:b/>
          <w:bCs/>
          <w:color w:val="262B33"/>
          <w:sz w:val="21"/>
          <w:szCs w:val="21"/>
        </w:rPr>
        <w:t xml:space="preserve">transmissibility-based OMA</w:t>
      </w:r>
      <w:r>
        <w:rPr>
          <w:rFonts w:ascii="Calibri" w:cs="Calibri" w:eastAsia="Calibri" w:hAnsi="Calibri"/>
          <w:color w:val="262B33"/>
          <w:sz w:val="21"/>
          <w:szCs w:val="21"/>
        </w:rPr>
        <w:t xml:space="preserve">: weighted transmissibility (T07, T08), multi-reference weighted Hermitian transmissibility (T11) and PSD-transmissibility (S01). These methods find structural poles where transmissibility functions measured under </w:t>
      </w:r>
      <w:r>
        <w:rPr>
          <w:rFonts w:ascii="Calibri" w:cs="Calibri" w:eastAsia="Calibri" w:hAnsi="Calibri"/>
          <w:b/>
          <w:bCs/>
          <w:color w:val="262B33"/>
          <w:sz w:val="21"/>
          <w:szCs w:val="21"/>
        </w:rPr>
        <w:t xml:space="preserve">different loading conditions</w:t>
      </w:r>
      <w:r>
        <w:rPr>
          <w:rFonts w:ascii="Calibri" w:cs="Calibri" w:eastAsia="Calibri" w:hAnsi="Calibri"/>
          <w:color w:val="262B33"/>
          <w:sz w:val="21"/>
          <w:szCs w:val="21"/>
        </w:rPr>
        <w:t xml:space="preserve"> coincide, which makes them less sensitive to the unknown input spectrum. That is attractive for coloured flow excitation. T10 states explicitly that conventional OMA relies on white-noise, stationary-input assumptions.</w:t>
      </w:r>
    </w:p>
    <w:p>
      <w:pPr>
        <w:spacing w:after="100" w:line="276"/>
        <w:jc w:val="both"/>
      </w:pPr>
      <w:r>
        <w:rPr>
          <w:rFonts w:ascii="Calibri" w:cs="Calibri" w:eastAsia="Calibri" w:hAnsi="Calibri"/>
          <w:color w:val="262B33"/>
          <w:sz w:val="21"/>
          <w:szCs w:val="21"/>
        </w:rPr>
        <w:t xml:space="preserve">All of these formulations assume that the </w:t>
      </w:r>
      <w:r>
        <w:rPr>
          <w:rFonts w:ascii="Calibri" w:cs="Calibri" w:eastAsia="Calibri" w:hAnsi="Calibri"/>
          <w:b/>
          <w:bCs/>
          <w:color w:val="262B33"/>
          <w:sz w:val="21"/>
          <w:szCs w:val="21"/>
        </w:rPr>
        <w:t xml:space="preserve">structure is the same</w:t>
      </w:r>
      <w:r>
        <w:rPr>
          <w:rFonts w:ascii="Calibri" w:cs="Calibri" w:eastAsia="Calibri" w:hAnsi="Calibri"/>
          <w:color w:val="262B33"/>
          <w:sz w:val="21"/>
          <w:szCs w:val="21"/>
        </w:rPr>
        <w:t xml:space="preserve"> across the loading conditions used. T11 relaxes the requirements on the loading, not on the structure. In a hydraulic gate, the natural way to obtain different loading conditions (changing head, opening or submergence) also changes the structure's effective mass and damping. That violates the assumption at the very point where the method needs it. In the targeted check made during this study, no transmissibility-based or operating-state-parameterised OMA of hydraulic gates appeared. This finding still needs a structured confirmation review.</w:t>
      </w:r>
    </w:p>
    <w:p>
      <w:pPr>
        <w:pStyle w:val="Heading2"/>
        <w:keepNext/>
        <w:spacing w:after="70" w:before="180"/>
      </w:pPr>
      <w:r>
        <w:rPr>
          <w:rFonts w:ascii="Georgia" w:cs="Georgia" w:eastAsia="Georgia" w:hAnsi="Georgia"/>
          <w:b/>
          <w:bCs/>
          <w:color w:val="3E7C7A"/>
          <w:sz w:val="23"/>
          <w:szCs w:val="23"/>
        </w:rPr>
        <w:t xml:space="preserve">What is new compared with conventional OMA</w:t>
      </w:r>
    </w:p>
    <w:tbl>
      <w:tblPr>
        <w:tblW w:type="dxa" w:w="96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97"/>
        <w:gridCol w:w="3554"/>
        <w:gridCol w:w="3555"/>
      </w:tblGrid>
      <w:tr>
        <w:trPr>
          <w:tblHeader/>
        </w:trPr>
        <w:tc>
          <w:tcPr>
            <w:tcW w:type="dxa" w:w="2497"/>
            <w:tcBorders>
              <w:top w:val="single" w:color="C9D2DA" w:sz="4"/>
              <w:left w:val="single" w:color="C9D2DA" w:sz="4"/>
              <w:bottom w:val="single" w:color="C9D2DA" w:sz="4"/>
              <w:right w:val="single" w:color="C9D2DA" w:sz="4"/>
            </w:tcBorders>
            <w:shd w:fill="1F2A44" w:color="auto" w:val="clear"/>
            <w:tcMar>
              <w:top w:type="dxa" w:w="60"/>
              <w:left w:type="dxa" w:w="90"/>
              <w:bottom w:type="dxa" w:w="60"/>
              <w:right w:type="dxa" w:w="90"/>
            </w:tcMar>
            <w:vAlign w:val="center"/>
          </w:tcPr>
          <w:p>
            <w:pPr>
              <w:bidi w:val="false"/>
              <w:spacing w:after="0" w:before="0" w:line="252"/>
            </w:pPr>
            <w:r>
              <w:rPr>
                <w:rFonts w:ascii="Calibri" w:cs="Calibri" w:eastAsia="Calibri" w:hAnsi="Calibri"/>
                <w:b/>
                <w:bCs/>
                <w:color w:val="FFFFFF"/>
                <w:sz w:val="18"/>
                <w:szCs w:val="18"/>
              </w:rPr>
              <w:t xml:space="preserve">Aspect</w:t>
            </w:r>
          </w:p>
        </w:tc>
        <w:tc>
          <w:tcPr>
            <w:tcW w:type="dxa" w:w="3554"/>
            <w:tcBorders>
              <w:top w:val="single" w:color="C9D2DA" w:sz="4"/>
              <w:left w:val="single" w:color="C9D2DA" w:sz="4"/>
              <w:bottom w:val="single" w:color="C9D2DA" w:sz="4"/>
              <w:right w:val="single" w:color="C9D2DA" w:sz="4"/>
            </w:tcBorders>
            <w:shd w:fill="1F2A44" w:color="auto" w:val="clear"/>
            <w:tcMar>
              <w:top w:type="dxa" w:w="60"/>
              <w:left w:type="dxa" w:w="90"/>
              <w:bottom w:type="dxa" w:w="60"/>
              <w:right w:type="dxa" w:w="90"/>
            </w:tcMar>
            <w:vAlign w:val="center"/>
          </w:tcPr>
          <w:p>
            <w:pPr>
              <w:bidi w:val="false"/>
              <w:spacing w:after="0" w:before="0" w:line="252"/>
            </w:pPr>
            <w:r>
              <w:rPr>
                <w:rFonts w:ascii="Calibri" w:cs="Calibri" w:eastAsia="Calibri" w:hAnsi="Calibri"/>
                <w:b/>
                <w:bCs/>
                <w:color w:val="FFFFFF"/>
                <w:sz w:val="18"/>
                <w:szCs w:val="18"/>
              </w:rPr>
              <w:t xml:space="preserve">Conventional OMA (incl. current transmissibility methods)</w:t>
            </w:r>
          </w:p>
        </w:tc>
        <w:tc>
          <w:tcPr>
            <w:tcW w:type="dxa" w:w="3555"/>
            <w:tcBorders>
              <w:top w:val="single" w:color="C9D2DA" w:sz="4"/>
              <w:left w:val="single" w:color="C9D2DA" w:sz="4"/>
              <w:bottom w:val="single" w:color="C9D2DA" w:sz="4"/>
              <w:right w:val="single" w:color="C9D2DA" w:sz="4"/>
            </w:tcBorders>
            <w:shd w:fill="1F2A44" w:color="auto" w:val="clear"/>
            <w:tcMar>
              <w:top w:type="dxa" w:w="60"/>
              <w:left w:type="dxa" w:w="90"/>
              <w:bottom w:type="dxa" w:w="60"/>
              <w:right w:type="dxa" w:w="90"/>
            </w:tcMar>
            <w:vAlign w:val="center"/>
          </w:tcPr>
          <w:p>
            <w:pPr>
              <w:bidi w:val="false"/>
              <w:spacing w:after="0" w:before="0" w:line="252"/>
            </w:pPr>
            <w:r>
              <w:rPr>
                <w:rFonts w:ascii="Calibri" w:cs="Calibri" w:eastAsia="Calibri" w:hAnsi="Calibri"/>
                <w:b/>
                <w:bCs/>
                <w:color w:val="FFFFFF"/>
                <w:sz w:val="18"/>
                <w:szCs w:val="18"/>
              </w:rPr>
              <w:t xml:space="preserve">This thesis</w:t>
            </w:r>
          </w:p>
        </w:tc>
      </w:tr>
      <w:tr>
        <w:trPr>
          <w:cantSplit/>
        </w:trPr>
        <w:tc>
          <w:tcPr>
            <w:tcW w:type="dxa" w:w="2497"/>
            <w:tcBorders>
              <w:top w:val="single" w:color="C9D2DA" w:sz="4"/>
              <w:left w:val="single" w:color="C9D2DA" w:sz="4"/>
              <w:bottom w:val="single" w:color="C9D2DA" w:sz="4"/>
              <w:right w:val="single" w:color="C9D2DA" w:sz="4"/>
            </w:tcBorders>
            <w:tcMar>
              <w:top w:type="dxa" w:w="60"/>
              <w:left w:type="dxa" w:w="90"/>
              <w:bottom w:type="dxa" w:w="60"/>
              <w:right w:type="dxa" w:w="90"/>
            </w:tcMar>
            <w:vAlign w:val="center"/>
          </w:tcPr>
          <w:p>
            <w:pPr>
              <w:bidi w:val="false"/>
              <w:spacing w:after="0" w:before="0" w:line="252"/>
            </w:pPr>
            <w:r>
              <w:rPr>
                <w:rFonts w:ascii="Calibri" w:cs="Calibri" w:eastAsia="Calibri" w:hAnsi="Calibri"/>
                <w:sz w:val="18"/>
                <w:szCs w:val="18"/>
              </w:rPr>
              <w:t xml:space="preserve">System assumption</w:t>
            </w:r>
          </w:p>
        </w:tc>
        <w:tc>
          <w:tcPr>
            <w:tcW w:type="dxa" w:w="3554"/>
            <w:tcBorders>
              <w:top w:val="single" w:color="C9D2DA" w:sz="4"/>
              <w:left w:val="single" w:color="C9D2DA" w:sz="4"/>
              <w:bottom w:val="single" w:color="C9D2DA" w:sz="4"/>
              <w:right w:val="single" w:color="C9D2DA" w:sz="4"/>
            </w:tcBorders>
            <w:tcMar>
              <w:top w:type="dxa" w:w="60"/>
              <w:left w:type="dxa" w:w="90"/>
              <w:bottom w:type="dxa" w:w="60"/>
              <w:right w:type="dxa" w:w="90"/>
            </w:tcMar>
            <w:vAlign w:val="center"/>
          </w:tcPr>
          <w:p>
            <w:pPr>
              <w:bidi w:val="false"/>
              <w:spacing w:after="0" w:before="0" w:line="252"/>
            </w:pPr>
            <w:r>
              <w:rPr>
                <w:rFonts w:ascii="Calibri" w:cs="Calibri" w:eastAsia="Calibri" w:hAnsi="Calibri"/>
                <w:sz w:val="18"/>
                <w:szCs w:val="18"/>
              </w:rPr>
              <w:t xml:space="preserve">Time-invariant structure</w:t>
            </w:r>
          </w:p>
        </w:tc>
        <w:tc>
          <w:tcPr>
            <w:tcW w:type="dxa" w:w="3555"/>
            <w:tcBorders>
              <w:top w:val="single" w:color="C9D2DA" w:sz="4"/>
              <w:left w:val="single" w:color="C9D2DA" w:sz="4"/>
              <w:bottom w:val="single" w:color="C9D2DA" w:sz="4"/>
              <w:right w:val="single" w:color="C9D2DA" w:sz="4"/>
            </w:tcBorders>
            <w:tcMar>
              <w:top w:type="dxa" w:w="60"/>
              <w:left w:type="dxa" w:w="90"/>
              <w:bottom w:type="dxa" w:w="60"/>
              <w:right w:type="dxa" w:w="90"/>
            </w:tcMar>
            <w:vAlign w:val="center"/>
          </w:tcPr>
          <w:p>
            <w:pPr>
              <w:bidi w:val="false"/>
              <w:spacing w:after="0" w:before="0" w:line="252"/>
            </w:pPr>
            <w:r>
              <w:rPr>
                <w:rFonts w:ascii="Calibri" w:cs="Calibri" w:eastAsia="Calibri" w:hAnsi="Calibri"/>
                <w:sz w:val="18"/>
                <w:szCs w:val="18"/>
              </w:rPr>
              <w:t xml:space="preserve">Modal properties depend on a measured hydraulic state θ (e.g. submergence ratio, head)</w:t>
            </w:r>
          </w:p>
        </w:tc>
      </w:tr>
      <w:tr>
        <w:trPr>
          <w:cantSplit/>
        </w:trPr>
        <w:tc>
          <w:tcPr>
            <w:tcW w:type="dxa" w:w="2497"/>
            <w:tcBorders>
              <w:top w:val="single" w:color="C9D2DA" w:sz="4"/>
              <w:left w:val="single" w:color="C9D2DA" w:sz="4"/>
              <w:bottom w:val="single" w:color="C9D2DA" w:sz="4"/>
              <w:right w:val="single" w:color="C9D2DA" w:sz="4"/>
            </w:tcBorders>
            <w:shd w:fill="F3F7F7" w:color="auto" w:val="clear"/>
            <w:tcMar>
              <w:top w:type="dxa" w:w="60"/>
              <w:left w:type="dxa" w:w="90"/>
              <w:bottom w:type="dxa" w:w="60"/>
              <w:right w:type="dxa" w:w="90"/>
            </w:tcMar>
            <w:vAlign w:val="center"/>
          </w:tcPr>
          <w:p>
            <w:pPr>
              <w:bidi w:val="false"/>
              <w:spacing w:after="0" w:before="0" w:line="252"/>
            </w:pPr>
            <w:r>
              <w:rPr>
                <w:rFonts w:ascii="Calibri" w:cs="Calibri" w:eastAsia="Calibri" w:hAnsi="Calibri"/>
                <w:sz w:val="18"/>
                <w:szCs w:val="18"/>
              </w:rPr>
              <w:t xml:space="preserve">Input assumption</w:t>
            </w:r>
          </w:p>
        </w:tc>
        <w:tc>
          <w:tcPr>
            <w:tcW w:type="dxa" w:w="3554"/>
            <w:tcBorders>
              <w:top w:val="single" w:color="C9D2DA" w:sz="4"/>
              <w:left w:val="single" w:color="C9D2DA" w:sz="4"/>
              <w:bottom w:val="single" w:color="C9D2DA" w:sz="4"/>
              <w:right w:val="single" w:color="C9D2DA" w:sz="4"/>
            </w:tcBorders>
            <w:shd w:fill="F3F7F7" w:color="auto" w:val="clear"/>
            <w:tcMar>
              <w:top w:type="dxa" w:w="60"/>
              <w:left w:type="dxa" w:w="90"/>
              <w:bottom w:type="dxa" w:w="60"/>
              <w:right w:type="dxa" w:w="90"/>
            </w:tcMar>
            <w:vAlign w:val="center"/>
          </w:tcPr>
          <w:p>
            <w:pPr>
              <w:bidi w:val="false"/>
              <w:spacing w:after="0" w:before="0" w:line="252"/>
            </w:pPr>
            <w:r>
              <w:rPr>
                <w:rFonts w:ascii="Calibri" w:cs="Calibri" w:eastAsia="Calibri" w:hAnsi="Calibri"/>
                <w:sz w:val="18"/>
                <w:szCs w:val="18"/>
              </w:rPr>
              <w:t xml:space="preserve">White, stationary (SSI/FDD); or several loadings on one unchanged structure (transmissibility)</w:t>
            </w:r>
          </w:p>
        </w:tc>
        <w:tc>
          <w:tcPr>
            <w:tcW w:type="dxa" w:w="3555"/>
            <w:tcBorders>
              <w:top w:val="single" w:color="C9D2DA" w:sz="4"/>
              <w:left w:val="single" w:color="C9D2DA" w:sz="4"/>
              <w:bottom w:val="single" w:color="C9D2DA" w:sz="4"/>
              <w:right w:val="single" w:color="C9D2DA" w:sz="4"/>
            </w:tcBorders>
            <w:shd w:fill="F3F7F7" w:color="auto" w:val="clear"/>
            <w:tcMar>
              <w:top w:type="dxa" w:w="60"/>
              <w:left w:type="dxa" w:w="90"/>
              <w:bottom w:type="dxa" w:w="60"/>
              <w:right w:type="dxa" w:w="90"/>
            </w:tcMar>
            <w:vAlign w:val="center"/>
          </w:tcPr>
          <w:p>
            <w:pPr>
              <w:bidi w:val="false"/>
              <w:spacing w:after="0" w:before="0" w:line="252"/>
            </w:pPr>
            <w:r>
              <w:rPr>
                <w:rFonts w:ascii="Calibri" w:cs="Calibri" w:eastAsia="Calibri" w:hAnsi="Calibri"/>
                <w:sz w:val="18"/>
                <w:szCs w:val="18"/>
              </w:rPr>
              <w:t xml:space="preserve">Coloured flow excitation that changes with θ, including narrow-band components</w:t>
            </w:r>
          </w:p>
        </w:tc>
      </w:tr>
      <w:tr>
        <w:trPr>
          <w:cantSplit/>
        </w:trPr>
        <w:tc>
          <w:tcPr>
            <w:tcW w:type="dxa" w:w="2497"/>
            <w:tcBorders>
              <w:top w:val="single" w:color="C9D2DA" w:sz="4"/>
              <w:left w:val="single" w:color="C9D2DA" w:sz="4"/>
              <w:bottom w:val="single" w:color="C9D2DA" w:sz="4"/>
              <w:right w:val="single" w:color="C9D2DA" w:sz="4"/>
            </w:tcBorders>
            <w:tcMar>
              <w:top w:type="dxa" w:w="60"/>
              <w:left w:type="dxa" w:w="90"/>
              <w:bottom w:type="dxa" w:w="60"/>
              <w:right w:type="dxa" w:w="90"/>
            </w:tcMar>
            <w:vAlign w:val="center"/>
          </w:tcPr>
          <w:p>
            <w:pPr>
              <w:bidi w:val="false"/>
              <w:spacing w:after="0" w:before="0" w:line="252"/>
            </w:pPr>
            <w:r>
              <w:rPr>
                <w:rFonts w:ascii="Calibri" w:cs="Calibri" w:eastAsia="Calibri" w:hAnsi="Calibri"/>
                <w:sz w:val="18"/>
                <w:szCs w:val="18"/>
              </w:rPr>
              <w:t xml:space="preserve">Pole model</w:t>
            </w:r>
          </w:p>
        </w:tc>
        <w:tc>
          <w:tcPr>
            <w:tcW w:type="dxa" w:w="3554"/>
            <w:tcBorders>
              <w:top w:val="single" w:color="C9D2DA" w:sz="4"/>
              <w:left w:val="single" w:color="C9D2DA" w:sz="4"/>
              <w:bottom w:val="single" w:color="C9D2DA" w:sz="4"/>
              <w:right w:val="single" w:color="C9D2DA" w:sz="4"/>
            </w:tcBorders>
            <w:tcMar>
              <w:top w:type="dxa" w:w="60"/>
              <w:left w:type="dxa" w:w="90"/>
              <w:bottom w:type="dxa" w:w="60"/>
              <w:right w:type="dxa" w:w="90"/>
            </w:tcMar>
            <w:vAlign w:val="center"/>
          </w:tcPr>
          <w:p>
            <w:pPr>
              <w:bidi w:val="false"/>
              <w:spacing w:after="0" w:before="0" w:line="252"/>
            </w:pPr>
            <w:r>
              <w:rPr>
                <w:rFonts w:ascii="Calibri" w:cs="Calibri" w:eastAsia="Calibri" w:hAnsi="Calibri"/>
                <w:sz w:val="18"/>
                <w:szCs w:val="18"/>
              </w:rPr>
              <w:t xml:space="preserve">Fixed poles λr</w:t>
            </w:r>
          </w:p>
        </w:tc>
        <w:tc>
          <w:tcPr>
            <w:tcW w:type="dxa" w:w="3555"/>
            <w:tcBorders>
              <w:top w:val="single" w:color="C9D2DA" w:sz="4"/>
              <w:left w:val="single" w:color="C9D2DA" w:sz="4"/>
              <w:bottom w:val="single" w:color="C9D2DA" w:sz="4"/>
              <w:right w:val="single" w:color="C9D2DA" w:sz="4"/>
            </w:tcBorders>
            <w:tcMar>
              <w:top w:type="dxa" w:w="60"/>
              <w:left w:type="dxa" w:w="90"/>
              <w:bottom w:type="dxa" w:w="60"/>
              <w:right w:type="dxa" w:w="90"/>
            </w:tcMar>
            <w:vAlign w:val="center"/>
          </w:tcPr>
          <w:p>
            <w:pPr>
              <w:bidi w:val="false"/>
              <w:spacing w:after="0" w:before="0" w:line="252"/>
            </w:pPr>
            <w:r>
              <w:rPr>
                <w:rFonts w:ascii="Calibri" w:cs="Calibri" w:eastAsia="Calibri" w:hAnsi="Calibri"/>
                <w:sz w:val="18"/>
                <w:szCs w:val="18"/>
              </w:rPr>
              <w:t xml:space="preserve">Pole trajectories λr(θ) estimated across operating states</w:t>
            </w:r>
          </w:p>
        </w:tc>
      </w:tr>
      <w:tr>
        <w:trPr>
          <w:cantSplit/>
        </w:trPr>
        <w:tc>
          <w:tcPr>
            <w:tcW w:type="dxa" w:w="2497"/>
            <w:tcBorders>
              <w:top w:val="single" w:color="C9D2DA" w:sz="4"/>
              <w:left w:val="single" w:color="C9D2DA" w:sz="4"/>
              <w:bottom w:val="single" w:color="C9D2DA" w:sz="4"/>
              <w:right w:val="single" w:color="C9D2DA" w:sz="4"/>
            </w:tcBorders>
            <w:shd w:fill="F3F7F7" w:color="auto" w:val="clear"/>
            <w:tcMar>
              <w:top w:type="dxa" w:w="60"/>
              <w:left w:type="dxa" w:w="90"/>
              <w:bottom w:type="dxa" w:w="60"/>
              <w:right w:type="dxa" w:w="90"/>
            </w:tcMar>
            <w:vAlign w:val="center"/>
          </w:tcPr>
          <w:p>
            <w:pPr>
              <w:bidi w:val="false"/>
              <w:spacing w:after="0" w:before="0" w:line="252"/>
            </w:pPr>
            <w:r>
              <w:rPr>
                <w:rFonts w:ascii="Calibri" w:cs="Calibri" w:eastAsia="Calibri" w:hAnsi="Calibri"/>
                <w:sz w:val="18"/>
                <w:szCs w:val="18"/>
              </w:rPr>
              <w:t xml:space="preserve">Spurious peaks</w:t>
            </w:r>
          </w:p>
        </w:tc>
        <w:tc>
          <w:tcPr>
            <w:tcW w:type="dxa" w:w="3554"/>
            <w:tcBorders>
              <w:top w:val="single" w:color="C9D2DA" w:sz="4"/>
              <w:left w:val="single" w:color="C9D2DA" w:sz="4"/>
              <w:bottom w:val="single" w:color="C9D2DA" w:sz="4"/>
              <w:right w:val="single" w:color="C9D2DA" w:sz="4"/>
            </w:tcBorders>
            <w:shd w:fill="F3F7F7" w:color="auto" w:val="clear"/>
            <w:tcMar>
              <w:top w:type="dxa" w:w="60"/>
              <w:left w:type="dxa" w:w="90"/>
              <w:bottom w:type="dxa" w:w="60"/>
              <w:right w:type="dxa" w:w="90"/>
            </w:tcMar>
            <w:vAlign w:val="center"/>
          </w:tcPr>
          <w:p>
            <w:pPr>
              <w:bidi w:val="false"/>
              <w:spacing w:after="0" w:before="0" w:line="252"/>
            </w:pPr>
            <w:r>
              <w:rPr>
                <w:rFonts w:ascii="Calibri" w:cs="Calibri" w:eastAsia="Calibri" w:hAnsi="Calibri"/>
                <w:sz w:val="18"/>
                <w:szCs w:val="18"/>
              </w:rPr>
              <w:t xml:space="preserve">Removed by stabilisation or clustering</w:t>
            </w:r>
          </w:p>
        </w:tc>
        <w:tc>
          <w:tcPr>
            <w:tcW w:type="dxa" w:w="3555"/>
            <w:tcBorders>
              <w:top w:val="single" w:color="C9D2DA" w:sz="4"/>
              <w:left w:val="single" w:color="C9D2DA" w:sz="4"/>
              <w:bottom w:val="single" w:color="C9D2DA" w:sz="4"/>
              <w:right w:val="single" w:color="C9D2DA" w:sz="4"/>
            </w:tcBorders>
            <w:shd w:fill="F3F7F7" w:color="auto" w:val="clear"/>
            <w:tcMar>
              <w:top w:type="dxa" w:w="60"/>
              <w:left w:type="dxa" w:w="90"/>
              <w:bottom w:type="dxa" w:w="60"/>
              <w:right w:type="dxa" w:w="90"/>
            </w:tcMar>
            <w:vAlign w:val="center"/>
          </w:tcPr>
          <w:p>
            <w:pPr>
              <w:bidi w:val="false"/>
              <w:spacing w:after="0" w:before="0" w:line="252"/>
            </w:pPr>
            <w:r>
              <w:rPr>
                <w:rFonts w:ascii="Calibri" w:cs="Calibri" w:eastAsia="Calibri" w:hAnsi="Calibri"/>
                <w:sz w:val="18"/>
                <w:szCs w:val="18"/>
              </w:rPr>
              <w:t xml:space="preserve">Separated physically: structural poles follow added mass; excitation peaks follow flow velocity</w:t>
            </w:r>
          </w:p>
        </w:tc>
      </w:tr>
    </w:tbl>
    <w:p>
      <w:pPr>
        <w:spacing w:after="100"/>
      </w:pPr>
    </w:p>
    <w:p>
      <w:pPr>
        <w:pStyle w:val="Heading1"/>
        <w:keepNext/>
        <w:pBdr>
          <w:bottom w:val="single" w:color="3E7C7A" w:sz="6" w:space="3"/>
        </w:pBdr>
        <w:spacing w:after="100" w:before="280"/>
      </w:pPr>
      <w:r>
        <w:rPr>
          <w:rFonts w:ascii="Georgia" w:cs="Georgia" w:eastAsia="Georgia" w:hAnsi="Georgia"/>
          <w:color w:val="1F2A44"/>
          <w:sz w:val="26"/>
          <w:szCs w:val="26"/>
        </w:rPr>
        <w:t xml:space="preserve">Core question and hypothesis</w:t>
      </w:r>
    </w:p>
    <w:tbl>
      <w:tblPr>
        <w:tblW w:type="dxa" w:w="96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6"/>
      </w:tblGrid>
      <w:tr>
        <w:tc>
          <w:tcPr>
            <w:tcW w:type="dxa" w:w="9606"/>
            <w:tcBorders>
              <w:top w:val="none" w:color="FFFFFF" w:sz="0"/>
              <w:left w:val="single" w:color="3E7C7A" w:sz="24"/>
              <w:bottom w:val="none" w:color="FFFFFF" w:sz="0"/>
              <w:right w:val="none" w:color="FFFFFF" w:sz="0"/>
            </w:tcBorders>
            <w:shd w:fill="E7F0EF" w:color="auto" w:val="clear"/>
            <w:tcMar>
              <w:top w:type="dxa" w:w="100"/>
              <w:left w:type="dxa" w:w="160"/>
              <w:bottom w:type="dxa" w:w="100"/>
              <w:right w:type="dxa" w:w="160"/>
            </w:tcMar>
          </w:tcPr>
          <w:p>
            <w:pPr>
              <w:spacing w:after="60"/>
            </w:pPr>
            <w:r>
              <w:rPr>
                <w:rFonts w:ascii="Georgia" w:cs="Georgia" w:eastAsia="Georgia" w:hAnsi="Georgia"/>
                <w:b/>
                <w:bCs/>
                <w:color w:val="1F2A44"/>
                <w:sz w:val="22"/>
                <w:szCs w:val="22"/>
              </w:rPr>
              <w:t xml:space="preserve">Core scientific question</w:t>
            </w:r>
          </w:p>
          <w:p>
            <w:pPr>
              <w:spacing w:after="40" w:line="264"/>
            </w:pPr>
            <w:r>
              <w:rPr>
                <w:rFonts w:ascii="Calibri" w:cs="Calibri" w:eastAsia="Calibri" w:hAnsi="Calibri"/>
                <w:color w:val="262B33"/>
                <w:sz w:val="21"/>
                <w:szCs w:val="21"/>
              </w:rPr>
              <w:t xml:space="preserve">How can output-only identification separate genuine structural poles from operating-state-induced pole shifts and from flow-excitation peaks in a water-interacting structure?</w:t>
            </w:r>
          </w:p>
        </w:tc>
      </w:tr>
    </w:tbl>
    <w:p>
      <w:pPr>
        <w:spacing w:after="100"/>
      </w:pPr>
    </w:p>
    <w:tbl>
      <w:tblPr>
        <w:tblW w:type="dxa" w:w="96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6"/>
      </w:tblGrid>
      <w:tr>
        <w:tc>
          <w:tcPr>
            <w:tcW w:type="dxa" w:w="9606"/>
            <w:tcBorders>
              <w:top w:val="none" w:color="FFFFFF" w:sz="0"/>
              <w:left w:val="single" w:color="3E7C7A" w:sz="24"/>
              <w:bottom w:val="none" w:color="FFFFFF" w:sz="0"/>
              <w:right w:val="none" w:color="FFFFFF" w:sz="0"/>
            </w:tcBorders>
            <w:shd w:fill="E7F0EF" w:color="auto" w:val="clear"/>
            <w:tcMar>
              <w:top w:type="dxa" w:w="100"/>
              <w:left w:type="dxa" w:w="160"/>
              <w:bottom w:type="dxa" w:w="100"/>
              <w:right w:type="dxa" w:w="160"/>
            </w:tcMar>
          </w:tcPr>
          <w:p>
            <w:pPr>
              <w:spacing w:after="60"/>
            </w:pPr>
            <w:r>
              <w:rPr>
                <w:rFonts w:ascii="Georgia" w:cs="Georgia" w:eastAsia="Georgia" w:hAnsi="Georgia"/>
                <w:b/>
                <w:bCs/>
                <w:color w:val="1F2A44"/>
                <w:sz w:val="22"/>
                <w:szCs w:val="22"/>
              </w:rPr>
              <w:t xml:space="preserve">Main hypothesis (to be tested)</w:t>
            </w:r>
          </w:p>
          <w:p>
            <w:pPr>
              <w:spacing w:after="40" w:line="264"/>
            </w:pPr>
            <w:r>
              <w:rPr>
                <w:rFonts w:ascii="Calibri" w:cs="Calibri" w:eastAsia="Calibri" w:hAnsi="Calibri"/>
                <w:color w:val="262B33"/>
                <w:sz w:val="21"/>
                <w:szCs w:val="21"/>
              </w:rPr>
              <w:t xml:space="preserve">When standard transmissibility OMA or SSI-COV pools data across operating states, it gives biased frequencies and spurious poles at flow-excitation peaks. If the poles are modelled as smooth functions λr(θ) of a measured hydraulic state θ, the identified frequencies and damping should agree with input–output (EMA) ground truth across the operating range. The target accuracy, to be refined, is about 2% for frequency and about 20% for damping. Structural poles and excitation peaks should be distinguishable by how they scale.</w:t>
            </w:r>
          </w:p>
        </w:tc>
      </w:tr>
    </w:tbl>
    <w:p>
      <w:pPr>
        <w:spacing w:after="100"/>
      </w:pPr>
    </w:p>
    <w:p>
      <w:pPr>
        <w:pStyle w:val="Heading1"/>
        <w:keepNext/>
        <w:pBdr>
          <w:bottom w:val="single" w:color="3E7C7A" w:sz="6" w:space="3"/>
        </w:pBdr>
        <w:spacing w:after="100" w:before="280"/>
      </w:pPr>
      <w:r>
        <w:rPr>
          <w:rFonts w:ascii="Georgia" w:cs="Georgia" w:eastAsia="Georgia" w:hAnsi="Georgia"/>
          <w:color w:val="1F2A44"/>
          <w:sz w:val="26"/>
          <w:szCs w:val="26"/>
        </w:rPr>
        <w:t xml:space="preserve">Methodology</w:t>
      </w:r>
    </w:p>
    <w:tbl>
      <w:tblPr>
        <w:tblW w:type="dxa" w:w="96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29"/>
        <w:gridCol w:w="5379"/>
        <w:gridCol w:w="2498"/>
      </w:tblGrid>
      <w:tr>
        <w:trPr>
          <w:tblHeader/>
        </w:trPr>
        <w:tc>
          <w:tcPr>
            <w:tcW w:type="dxa" w:w="1729"/>
            <w:tcBorders>
              <w:top w:val="single" w:color="C9D2DA" w:sz="4"/>
              <w:left w:val="single" w:color="C9D2DA" w:sz="4"/>
              <w:bottom w:val="single" w:color="C9D2DA" w:sz="4"/>
              <w:right w:val="single" w:color="C9D2DA" w:sz="4"/>
            </w:tcBorders>
            <w:shd w:fill="1F2A44" w:color="auto" w:val="clear"/>
            <w:tcMar>
              <w:top w:type="dxa" w:w="60"/>
              <w:left w:type="dxa" w:w="90"/>
              <w:bottom w:type="dxa" w:w="60"/>
              <w:right w:type="dxa" w:w="90"/>
            </w:tcMar>
            <w:vAlign w:val="center"/>
          </w:tcPr>
          <w:p>
            <w:pPr>
              <w:bidi w:val="false"/>
              <w:spacing w:after="0" w:before="0" w:line="252"/>
            </w:pPr>
            <w:r>
              <w:rPr>
                <w:rFonts w:ascii="Calibri" w:cs="Calibri" w:eastAsia="Calibri" w:hAnsi="Calibri"/>
                <w:b/>
                <w:bCs/>
                <w:color w:val="FFFFFF"/>
                <w:sz w:val="18"/>
                <w:szCs w:val="18"/>
              </w:rPr>
              <w:t xml:space="preserve">Work package</w:t>
            </w:r>
          </w:p>
        </w:tc>
        <w:tc>
          <w:tcPr>
            <w:tcW w:type="dxa" w:w="5379"/>
            <w:tcBorders>
              <w:top w:val="single" w:color="C9D2DA" w:sz="4"/>
              <w:left w:val="single" w:color="C9D2DA" w:sz="4"/>
              <w:bottom w:val="single" w:color="C9D2DA" w:sz="4"/>
              <w:right w:val="single" w:color="C9D2DA" w:sz="4"/>
            </w:tcBorders>
            <w:shd w:fill="1F2A44" w:color="auto" w:val="clear"/>
            <w:tcMar>
              <w:top w:type="dxa" w:w="60"/>
              <w:left w:type="dxa" w:w="90"/>
              <w:bottom w:type="dxa" w:w="60"/>
              <w:right w:type="dxa" w:w="90"/>
            </w:tcMar>
            <w:vAlign w:val="center"/>
          </w:tcPr>
          <w:p>
            <w:pPr>
              <w:bidi w:val="false"/>
              <w:spacing w:after="0" w:before="0" w:line="252"/>
            </w:pPr>
            <w:r>
              <w:rPr>
                <w:rFonts w:ascii="Calibri" w:cs="Calibri" w:eastAsia="Calibri" w:hAnsi="Calibri"/>
                <w:b/>
                <w:bCs/>
                <w:color w:val="FFFFFF"/>
                <w:sz w:val="18"/>
                <w:szCs w:val="18"/>
              </w:rPr>
              <w:t xml:space="preserve">Content</w:t>
            </w:r>
          </w:p>
        </w:tc>
        <w:tc>
          <w:tcPr>
            <w:tcW w:type="dxa" w:w="2498"/>
            <w:tcBorders>
              <w:top w:val="single" w:color="C9D2DA" w:sz="4"/>
              <w:left w:val="single" w:color="C9D2DA" w:sz="4"/>
              <w:bottom w:val="single" w:color="C9D2DA" w:sz="4"/>
              <w:right w:val="single" w:color="C9D2DA" w:sz="4"/>
            </w:tcBorders>
            <w:shd w:fill="1F2A44" w:color="auto" w:val="clear"/>
            <w:tcMar>
              <w:top w:type="dxa" w:w="60"/>
              <w:left w:type="dxa" w:w="90"/>
              <w:bottom w:type="dxa" w:w="60"/>
              <w:right w:type="dxa" w:w="90"/>
            </w:tcMar>
            <w:vAlign w:val="center"/>
          </w:tcPr>
          <w:p>
            <w:pPr>
              <w:bidi w:val="false"/>
              <w:spacing w:after="0" w:before="0" w:line="252"/>
            </w:pPr>
            <w:r>
              <w:rPr>
                <w:rFonts w:ascii="Calibri" w:cs="Calibri" w:eastAsia="Calibri" w:hAnsi="Calibri"/>
                <w:b/>
                <w:bCs/>
                <w:color w:val="FFFFFF"/>
                <w:sz w:val="18"/>
                <w:szCs w:val="18"/>
              </w:rPr>
              <w:t xml:space="preserve">Output</w:t>
            </w:r>
          </w:p>
        </w:tc>
      </w:tr>
      <w:tr>
        <w:trPr>
          <w:cantSplit/>
        </w:trPr>
        <w:tc>
          <w:tcPr>
            <w:tcW w:type="dxa" w:w="1729"/>
            <w:tcBorders>
              <w:top w:val="single" w:color="C9D2DA" w:sz="4"/>
              <w:left w:val="single" w:color="C9D2DA" w:sz="4"/>
              <w:bottom w:val="single" w:color="C9D2DA" w:sz="4"/>
              <w:right w:val="single" w:color="C9D2DA" w:sz="4"/>
            </w:tcBorders>
            <w:tcMar>
              <w:top w:type="dxa" w:w="60"/>
              <w:left w:type="dxa" w:w="90"/>
              <w:bottom w:type="dxa" w:w="60"/>
              <w:right w:type="dxa" w:w="90"/>
            </w:tcMar>
            <w:vAlign w:val="center"/>
          </w:tcPr>
          <w:p>
            <w:pPr>
              <w:bidi w:val="false"/>
              <w:spacing w:after="0" w:before="0" w:line="252"/>
            </w:pPr>
            <w:r>
              <w:rPr>
                <w:rFonts w:ascii="Calibri" w:cs="Calibri" w:eastAsia="Calibri" w:hAnsi="Calibri"/>
                <w:sz w:val="18"/>
                <w:szCs w:val="18"/>
              </w:rPr>
              <w:t xml:space="preserve">WP1 Theory</w:t>
            </w:r>
          </w:p>
        </w:tc>
        <w:tc>
          <w:tcPr>
            <w:tcW w:type="dxa" w:w="5379"/>
            <w:tcBorders>
              <w:top w:val="single" w:color="C9D2DA" w:sz="4"/>
              <w:left w:val="single" w:color="C9D2DA" w:sz="4"/>
              <w:bottom w:val="single" w:color="C9D2DA" w:sz="4"/>
              <w:right w:val="single" w:color="C9D2DA" w:sz="4"/>
            </w:tcBorders>
            <w:tcMar>
              <w:top w:type="dxa" w:w="60"/>
              <w:left w:type="dxa" w:w="90"/>
              <w:bottom w:type="dxa" w:w="60"/>
              <w:right w:type="dxa" w:w="90"/>
            </w:tcMar>
            <w:vAlign w:val="center"/>
          </w:tcPr>
          <w:p>
            <w:pPr>
              <w:bidi w:val="false"/>
              <w:spacing w:after="0" w:before="0" w:line="252"/>
            </w:pPr>
            <w:r>
              <w:rPr>
                <w:rFonts w:ascii="Calibri" w:cs="Calibri" w:eastAsia="Calibri" w:hAnsi="Calibri"/>
                <w:sz w:val="18"/>
                <w:szCs w:val="18"/>
              </w:rPr>
              <w:t xml:space="preserve">Extend the weighted/Hermitian transmissibility pole indicator (T07, T11) to parameter-varying systems. Derive when transmissibility differences vanish at θ-dependent poles. Compare local (frozen-θ) and global (smooth-in-θ) estimators.</w:t>
            </w:r>
          </w:p>
        </w:tc>
        <w:tc>
          <w:tcPr>
            <w:tcW w:type="dxa" w:w="2498"/>
            <w:tcBorders>
              <w:top w:val="single" w:color="C9D2DA" w:sz="4"/>
              <w:left w:val="single" w:color="C9D2DA" w:sz="4"/>
              <w:bottom w:val="single" w:color="C9D2DA" w:sz="4"/>
              <w:right w:val="single" w:color="C9D2DA" w:sz="4"/>
            </w:tcBorders>
            <w:tcMar>
              <w:top w:type="dxa" w:w="60"/>
              <w:left w:type="dxa" w:w="90"/>
              <w:bottom w:type="dxa" w:w="60"/>
              <w:right w:type="dxa" w:w="90"/>
            </w:tcMar>
            <w:vAlign w:val="center"/>
          </w:tcPr>
          <w:p>
            <w:pPr>
              <w:bidi w:val="false"/>
              <w:spacing w:after="0" w:before="0" w:line="252"/>
            </w:pPr>
            <w:r>
              <w:rPr>
                <w:rFonts w:ascii="Calibri" w:cs="Calibri" w:eastAsia="Calibri" w:hAnsi="Calibri"/>
                <w:sz w:val="18"/>
                <w:szCs w:val="18"/>
              </w:rPr>
              <w:t xml:space="preserve">Formulation; Paper Z1</w:t>
            </w:r>
          </w:p>
        </w:tc>
      </w:tr>
      <w:tr>
        <w:trPr>
          <w:cantSplit/>
        </w:trPr>
        <w:tc>
          <w:tcPr>
            <w:tcW w:type="dxa" w:w="1729"/>
            <w:tcBorders>
              <w:top w:val="single" w:color="C9D2DA" w:sz="4"/>
              <w:left w:val="single" w:color="C9D2DA" w:sz="4"/>
              <w:bottom w:val="single" w:color="C9D2DA" w:sz="4"/>
              <w:right w:val="single" w:color="C9D2DA" w:sz="4"/>
            </w:tcBorders>
            <w:shd w:fill="F3F7F7" w:color="auto" w:val="clear"/>
            <w:tcMar>
              <w:top w:type="dxa" w:w="60"/>
              <w:left w:type="dxa" w:w="90"/>
              <w:bottom w:type="dxa" w:w="60"/>
              <w:right w:type="dxa" w:w="90"/>
            </w:tcMar>
            <w:vAlign w:val="center"/>
          </w:tcPr>
          <w:p>
            <w:pPr>
              <w:bidi w:val="false"/>
              <w:spacing w:after="0" w:before="0" w:line="252"/>
            </w:pPr>
            <w:r>
              <w:rPr>
                <w:rFonts w:ascii="Calibri" w:cs="Calibri" w:eastAsia="Calibri" w:hAnsi="Calibri"/>
                <w:sz w:val="18"/>
                <w:szCs w:val="18"/>
              </w:rPr>
              <w:t xml:space="preserve">WP2 Numerical benchmark</w:t>
            </w:r>
          </w:p>
        </w:tc>
        <w:tc>
          <w:tcPr>
            <w:tcW w:type="dxa" w:w="5379"/>
            <w:tcBorders>
              <w:top w:val="single" w:color="C9D2DA" w:sz="4"/>
              <w:left w:val="single" w:color="C9D2DA" w:sz="4"/>
              <w:bottom w:val="single" w:color="C9D2DA" w:sz="4"/>
              <w:right w:val="single" w:color="C9D2DA" w:sz="4"/>
            </w:tcBorders>
            <w:shd w:fill="F3F7F7" w:color="auto" w:val="clear"/>
            <w:tcMar>
              <w:top w:type="dxa" w:w="60"/>
              <w:left w:type="dxa" w:w="90"/>
              <w:bottom w:type="dxa" w:w="60"/>
              <w:right w:type="dxa" w:w="90"/>
            </w:tcMar>
            <w:vAlign w:val="center"/>
          </w:tcPr>
          <w:p>
            <w:pPr>
              <w:bidi w:val="false"/>
              <w:spacing w:after="0" w:before="0" w:line="252"/>
            </w:pPr>
            <w:r>
              <w:rPr>
                <w:rFonts w:ascii="Calibri" w:cs="Calibri" w:eastAsia="Calibri" w:hAnsi="Calibri"/>
                <w:sz w:val="18"/>
                <w:szCs w:val="18"/>
              </w:rPr>
              <w:t xml:space="preserve">FE model of a vertical-lift gate (plate and stiffeners) with submergence-dependent added mass. Driven by synthetic broadband plus narrow-band loads defined independently from the literature. Monte Carlo study of noise, record length and mode spacing.</w:t>
            </w:r>
          </w:p>
        </w:tc>
        <w:tc>
          <w:tcPr>
            <w:tcW w:type="dxa" w:w="2498"/>
            <w:tcBorders>
              <w:top w:val="single" w:color="C9D2DA" w:sz="4"/>
              <w:left w:val="single" w:color="C9D2DA" w:sz="4"/>
              <w:bottom w:val="single" w:color="C9D2DA" w:sz="4"/>
              <w:right w:val="single" w:color="C9D2DA" w:sz="4"/>
            </w:tcBorders>
            <w:shd w:fill="F3F7F7" w:color="auto" w:val="clear"/>
            <w:tcMar>
              <w:top w:type="dxa" w:w="60"/>
              <w:left w:type="dxa" w:w="90"/>
              <w:bottom w:type="dxa" w:w="60"/>
              <w:right w:type="dxa" w:w="90"/>
            </w:tcMar>
            <w:vAlign w:val="center"/>
          </w:tcPr>
          <w:p>
            <w:pPr>
              <w:bidi w:val="false"/>
              <w:spacing w:after="0" w:before="0" w:line="252"/>
            </w:pPr>
            <w:r>
              <w:rPr>
                <w:rFonts w:ascii="Calibri" w:cs="Calibri" w:eastAsia="Calibri" w:hAnsi="Calibri"/>
                <w:sz w:val="18"/>
                <w:szCs w:val="18"/>
              </w:rPr>
              <w:t xml:space="preserve">Exact-pole benchmark; Paper Z1</w:t>
            </w:r>
          </w:p>
        </w:tc>
      </w:tr>
      <w:tr>
        <w:trPr>
          <w:cantSplit/>
        </w:trPr>
        <w:tc>
          <w:tcPr>
            <w:tcW w:type="dxa" w:w="1729"/>
            <w:tcBorders>
              <w:top w:val="single" w:color="C9D2DA" w:sz="4"/>
              <w:left w:val="single" w:color="C9D2DA" w:sz="4"/>
              <w:bottom w:val="single" w:color="C9D2DA" w:sz="4"/>
              <w:right w:val="single" w:color="C9D2DA" w:sz="4"/>
            </w:tcBorders>
            <w:tcMar>
              <w:top w:type="dxa" w:w="60"/>
              <w:left w:type="dxa" w:w="90"/>
              <w:bottom w:type="dxa" w:w="60"/>
              <w:right w:type="dxa" w:w="90"/>
            </w:tcMar>
            <w:vAlign w:val="center"/>
          </w:tcPr>
          <w:p>
            <w:pPr>
              <w:bidi w:val="false"/>
              <w:spacing w:after="0" w:before="0" w:line="252"/>
            </w:pPr>
            <w:r>
              <w:rPr>
                <w:rFonts w:ascii="Calibri" w:cs="Calibri" w:eastAsia="Calibri" w:hAnsi="Calibri"/>
                <w:sz w:val="18"/>
                <w:szCs w:val="18"/>
              </w:rPr>
              <w:t xml:space="preserve">WP3 Laboratory test-bed</w:t>
            </w:r>
          </w:p>
        </w:tc>
        <w:tc>
          <w:tcPr>
            <w:tcW w:type="dxa" w:w="5379"/>
            <w:tcBorders>
              <w:top w:val="single" w:color="C9D2DA" w:sz="4"/>
              <w:left w:val="single" w:color="C9D2DA" w:sz="4"/>
              <w:bottom w:val="single" w:color="C9D2DA" w:sz="4"/>
              <w:right w:val="single" w:color="C9D2DA" w:sz="4"/>
            </w:tcBorders>
            <w:tcMar>
              <w:top w:type="dxa" w:w="60"/>
              <w:left w:type="dxa" w:w="90"/>
              <w:bottom w:type="dxa" w:w="60"/>
              <w:right w:type="dxa" w:w="90"/>
            </w:tcMar>
            <w:vAlign w:val="center"/>
          </w:tcPr>
          <w:p>
            <w:pPr>
              <w:bidi w:val="false"/>
              <w:spacing w:after="0" w:before="0" w:line="252"/>
            </w:pPr>
            <w:r>
              <w:rPr>
                <w:rFonts w:ascii="Calibri" w:cs="Calibri" w:eastAsia="Calibri" w:hAnsi="Calibri"/>
                <w:sz w:val="18"/>
                <w:szCs w:val="18"/>
              </w:rPr>
              <w:t xml:space="preserve">One small flexible gate specimen in a flume. Still-water EMA (impact hammer) at 4–6 water levels. Operational runs under flow at 4–6 operating states.</w:t>
            </w:r>
          </w:p>
        </w:tc>
        <w:tc>
          <w:tcPr>
            <w:tcW w:type="dxa" w:w="2498"/>
            <w:tcBorders>
              <w:top w:val="single" w:color="C9D2DA" w:sz="4"/>
              <w:left w:val="single" w:color="C9D2DA" w:sz="4"/>
              <w:bottom w:val="single" w:color="C9D2DA" w:sz="4"/>
              <w:right w:val="single" w:color="C9D2DA" w:sz="4"/>
            </w:tcBorders>
            <w:tcMar>
              <w:top w:type="dxa" w:w="60"/>
              <w:left w:type="dxa" w:w="90"/>
              <w:bottom w:type="dxa" w:w="60"/>
              <w:right w:type="dxa" w:w="90"/>
            </w:tcMar>
            <w:vAlign w:val="center"/>
          </w:tcPr>
          <w:p>
            <w:pPr>
              <w:bidi w:val="false"/>
              <w:spacing w:after="0" w:before="0" w:line="252"/>
            </w:pPr>
            <w:r>
              <w:rPr>
                <w:rFonts w:ascii="Calibri" w:cs="Calibri" w:eastAsia="Calibri" w:hAnsi="Calibri"/>
                <w:sz w:val="18"/>
                <w:szCs w:val="18"/>
              </w:rPr>
              <w:t xml:space="preserve">Ground-truth validation; Paper Z2</w:t>
            </w:r>
          </w:p>
        </w:tc>
      </w:tr>
      <w:tr>
        <w:trPr>
          <w:cantSplit/>
        </w:trPr>
        <w:tc>
          <w:tcPr>
            <w:tcW w:type="dxa" w:w="1729"/>
            <w:tcBorders>
              <w:top w:val="single" w:color="C9D2DA" w:sz="4"/>
              <w:left w:val="single" w:color="C9D2DA" w:sz="4"/>
              <w:bottom w:val="single" w:color="C9D2DA" w:sz="4"/>
              <w:right w:val="single" w:color="C9D2DA" w:sz="4"/>
            </w:tcBorders>
            <w:shd w:fill="F3F7F7" w:color="auto" w:val="clear"/>
            <w:tcMar>
              <w:top w:type="dxa" w:w="60"/>
              <w:left w:type="dxa" w:w="90"/>
              <w:bottom w:type="dxa" w:w="60"/>
              <w:right w:type="dxa" w:w="90"/>
            </w:tcMar>
            <w:vAlign w:val="center"/>
          </w:tcPr>
          <w:p>
            <w:pPr>
              <w:bidi w:val="false"/>
              <w:spacing w:after="0" w:before="0" w:line="252"/>
            </w:pPr>
            <w:r>
              <w:rPr>
                <w:rFonts w:ascii="Calibri" w:cs="Calibri" w:eastAsia="Calibri" w:hAnsi="Calibri"/>
                <w:sz w:val="18"/>
                <w:szCs w:val="18"/>
              </w:rPr>
              <w:t xml:space="preserve">WP4 Generality</w:t>
            </w:r>
          </w:p>
        </w:tc>
        <w:tc>
          <w:tcPr>
            <w:tcW w:type="dxa" w:w="5379"/>
            <w:tcBorders>
              <w:top w:val="single" w:color="C9D2DA" w:sz="4"/>
              <w:left w:val="single" w:color="C9D2DA" w:sz="4"/>
              <w:bottom w:val="single" w:color="C9D2DA" w:sz="4"/>
              <w:right w:val="single" w:color="C9D2DA" w:sz="4"/>
            </w:tcBorders>
            <w:shd w:fill="F3F7F7" w:color="auto" w:val="clear"/>
            <w:tcMar>
              <w:top w:type="dxa" w:w="60"/>
              <w:left w:type="dxa" w:w="90"/>
              <w:bottom w:type="dxa" w:w="60"/>
              <w:right w:type="dxa" w:w="90"/>
            </w:tcMar>
            <w:vAlign w:val="center"/>
          </w:tcPr>
          <w:p>
            <w:pPr>
              <w:bidi w:val="false"/>
              <w:spacing w:after="0" w:before="0" w:line="252"/>
            </w:pPr>
            <w:r>
              <w:rPr>
                <w:rFonts w:ascii="Calibri" w:cs="Calibri" w:eastAsia="Calibri" w:hAnsi="Calibri"/>
                <w:sz w:val="18"/>
                <w:szCs w:val="18"/>
              </w:rPr>
              <w:t xml:space="preserve">Apply the method to public multi-event strong-motion records of an instrumented dam with different reservoir levels across events (e.g. Pacoima, previously studied in T10), with θ = reservoir level.</w:t>
            </w:r>
          </w:p>
        </w:tc>
        <w:tc>
          <w:tcPr>
            <w:tcW w:type="dxa" w:w="2498"/>
            <w:tcBorders>
              <w:top w:val="single" w:color="C9D2DA" w:sz="4"/>
              <w:left w:val="single" w:color="C9D2DA" w:sz="4"/>
              <w:bottom w:val="single" w:color="C9D2DA" w:sz="4"/>
              <w:right w:val="single" w:color="C9D2DA" w:sz="4"/>
            </w:tcBorders>
            <w:shd w:fill="F3F7F7" w:color="auto" w:val="clear"/>
            <w:tcMar>
              <w:top w:type="dxa" w:w="60"/>
              <w:left w:type="dxa" w:w="90"/>
              <w:bottom w:type="dxa" w:w="60"/>
              <w:right w:type="dxa" w:w="90"/>
            </w:tcMar>
            <w:vAlign w:val="center"/>
          </w:tcPr>
          <w:p>
            <w:pPr>
              <w:bidi w:val="false"/>
              <w:spacing w:after="0" w:before="0" w:line="252"/>
            </w:pPr>
            <w:r>
              <w:rPr>
                <w:rFonts w:ascii="Calibri" w:cs="Calibri" w:eastAsia="Calibri" w:hAnsi="Calibri"/>
                <w:sz w:val="18"/>
                <w:szCs w:val="18"/>
              </w:rPr>
              <w:t xml:space="preserve">Field-scale demonstration; Paper Z3</w:t>
            </w:r>
          </w:p>
        </w:tc>
      </w:tr>
    </w:tbl>
    <w:p>
      <w:pPr>
        <w:spacing w:after="100"/>
      </w:pPr>
    </w:p>
    <w:p>
      <w:pPr>
        <w:pStyle w:val="Heading1"/>
        <w:keepNext/>
        <w:pBdr>
          <w:bottom w:val="single" w:color="3E7C7A" w:sz="6" w:space="3"/>
        </w:pBdr>
        <w:spacing w:after="100" w:before="280"/>
      </w:pPr>
      <w:r>
        <w:rPr>
          <w:rFonts w:ascii="Georgia" w:cs="Georgia" w:eastAsia="Georgia" w:hAnsi="Georgia"/>
          <w:color w:val="1F2A44"/>
          <w:sz w:val="26"/>
          <w:szCs w:val="26"/>
        </w:rPr>
        <w:t xml:space="preserve">Validation</w:t>
      </w:r>
    </w:p>
    <w:p>
      <w:pPr>
        <w:pStyle w:val="ListParagraph"/>
        <w:numPr>
          <w:ilvl w:val="0"/>
          <w:numId w:val="2"/>
        </w:numPr>
        <w:spacing w:after="50" w:line="264"/>
      </w:pPr>
      <w:r>
        <w:rPr>
          <w:rFonts w:ascii="Calibri" w:cs="Calibri" w:eastAsia="Calibri" w:hAnsi="Calibri"/>
          <w:b/>
          <w:bCs/>
          <w:color w:val="262B33"/>
          <w:sz w:val="21"/>
          <w:szCs w:val="21"/>
        </w:rPr>
        <w:t xml:space="preserve">Numerical:</w:t>
      </w:r>
      <w:r>
        <w:rPr>
          <w:rFonts w:ascii="Calibri" w:cs="Calibri" w:eastAsia="Calibri" w:hAnsi="Calibri"/>
          <w:color w:val="262B33"/>
          <w:sz w:val="21"/>
          <w:szCs w:val="21"/>
        </w:rPr>
        <w:t xml:space="preserve"> identified poles compared with exact FE poles at each θ, under controlled noise.</w:t>
      </w:r>
    </w:p>
    <w:p>
      <w:pPr>
        <w:pStyle w:val="ListParagraph"/>
        <w:numPr>
          <w:ilvl w:val="0"/>
          <w:numId w:val="2"/>
        </w:numPr>
        <w:spacing w:after="50" w:line="264"/>
      </w:pPr>
      <w:r>
        <w:rPr>
          <w:rFonts w:ascii="Calibri" w:cs="Calibri" w:eastAsia="Calibri" w:hAnsi="Calibri"/>
          <w:b/>
          <w:bCs/>
          <w:color w:val="262B33"/>
          <w:sz w:val="21"/>
          <w:szCs w:val="21"/>
        </w:rPr>
        <w:t xml:space="preserve">Laboratory:</w:t>
      </w:r>
      <w:r>
        <w:rPr>
          <w:rFonts w:ascii="Calibri" w:cs="Calibri" w:eastAsia="Calibri" w:hAnsi="Calibri"/>
          <w:color w:val="262B33"/>
          <w:sz w:val="21"/>
          <w:szCs w:val="21"/>
        </w:rPr>
        <w:t xml:space="preserve"> identified poles compared with EMA ground truth measured on the same specimen at the same water level.</w:t>
      </w:r>
    </w:p>
    <w:p>
      <w:pPr>
        <w:pStyle w:val="ListParagraph"/>
        <w:numPr>
          <w:ilvl w:val="0"/>
          <w:numId w:val="2"/>
        </w:numPr>
        <w:spacing w:after="50" w:line="264"/>
      </w:pPr>
      <w:r>
        <w:rPr>
          <w:rFonts w:ascii="Calibri" w:cs="Calibri" w:eastAsia="Calibri" w:hAnsi="Calibri"/>
          <w:b/>
          <w:bCs/>
          <w:color w:val="262B33"/>
          <w:sz w:val="21"/>
          <w:szCs w:val="21"/>
        </w:rPr>
        <w:t xml:space="preserve">Field-scale:</w:t>
      </w:r>
      <w:r>
        <w:rPr>
          <w:rFonts w:ascii="Calibri" w:cs="Calibri" w:eastAsia="Calibri" w:hAnsi="Calibri"/>
          <w:color w:val="262B33"/>
          <w:sz w:val="21"/>
          <w:szCs w:val="21"/>
        </w:rPr>
        <w:t xml:space="preserve"> identified dam modes compared with published identifications. Benchmarks: standard transmissibility OMA, a T11-type method and SSI-COV (T10).</w:t>
      </w:r>
    </w:p>
    <w:p>
      <w:pPr>
        <w:pStyle w:val="ListParagraph"/>
        <w:numPr>
          <w:ilvl w:val="0"/>
          <w:numId w:val="2"/>
        </w:numPr>
        <w:spacing w:after="50" w:line="264"/>
      </w:pPr>
      <w:r>
        <w:rPr>
          <w:rFonts w:ascii="Calibri" w:cs="Calibri" w:eastAsia="Calibri" w:hAnsi="Calibri"/>
          <w:color w:val="262B33"/>
          <w:sz w:val="21"/>
          <w:szCs w:val="21"/>
        </w:rPr>
        <w:t xml:space="preserve">Validation does </w:t>
      </w:r>
      <w:r>
        <w:rPr>
          <w:rFonts w:ascii="Calibri" w:cs="Calibri" w:eastAsia="Calibri" w:hAnsi="Calibri"/>
          <w:b/>
          <w:bCs/>
          <w:color w:val="262B33"/>
          <w:sz w:val="21"/>
          <w:szCs w:val="21"/>
        </w:rPr>
        <w:t xml:space="preserve">not</w:t>
      </w:r>
      <w:r>
        <w:rPr>
          <w:rFonts w:ascii="Calibri" w:cs="Calibri" w:eastAsia="Calibri" w:hAnsi="Calibri"/>
          <w:color w:val="262B33"/>
          <w:sz w:val="21"/>
          <w:szCs w:val="21"/>
        </w:rPr>
        <w:t xml:space="preserve"> use any result from Jamal's thesis.</w:t>
      </w:r>
    </w:p>
    <w:p>
      <w:pPr>
        <w:spacing w:after="40"/>
      </w:pPr>
    </w:p>
    <w:p>
      <w:pPr>
        <w:pStyle w:val="Heading1"/>
        <w:keepNext/>
        <w:pBdr>
          <w:bottom w:val="single" w:color="3E7C7A" w:sz="6" w:space="3"/>
        </w:pBdr>
        <w:spacing w:after="100" w:before="280"/>
      </w:pPr>
      <w:r>
        <w:rPr>
          <w:rFonts w:ascii="Georgia" w:cs="Georgia" w:eastAsia="Georgia" w:hAnsi="Georgia"/>
          <w:color w:val="1F2A44"/>
          <w:sz w:val="26"/>
          <w:szCs w:val="26"/>
        </w:rPr>
        <w:t xml:space="preserve">Expected contribution and papers</w:t>
      </w:r>
    </w:p>
    <w:p>
      <w:pPr>
        <w:spacing w:after="100" w:line="276"/>
        <w:jc w:val="both"/>
      </w:pPr>
      <w:r>
        <w:rPr>
          <w:rFonts w:ascii="Calibri" w:cs="Calibri" w:eastAsia="Calibri" w:hAnsi="Calibri"/>
          <w:color w:val="262B33"/>
          <w:sz w:val="21"/>
          <w:szCs w:val="21"/>
        </w:rPr>
        <w:t xml:space="preserve">If the hypothesis holds, the thesis would provide an identification method that treats the hydraulic operating state as an explicit parameter of the modal model. That carries Prof. Tarinejad's transmissibility line from seismic records of dams into flow-excited hydraulic structures, and adds a validated test protocol for gates. The novelty claim is subject to the confirmation review.</w:t>
      </w:r>
    </w:p>
    <w:tbl>
      <w:tblPr>
        <w:tblW w:type="dxa" w:w="96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2"/>
        <w:gridCol w:w="5571"/>
        <w:gridCol w:w="2883"/>
      </w:tblGrid>
      <w:tr>
        <w:trPr>
          <w:tblHeader/>
        </w:trPr>
        <w:tc>
          <w:tcPr>
            <w:tcW w:type="dxa" w:w="1152"/>
            <w:tcBorders>
              <w:top w:val="single" w:color="C9D2DA" w:sz="4"/>
              <w:left w:val="single" w:color="C9D2DA" w:sz="4"/>
              <w:bottom w:val="single" w:color="C9D2DA" w:sz="4"/>
              <w:right w:val="single" w:color="C9D2DA" w:sz="4"/>
            </w:tcBorders>
            <w:shd w:fill="1F2A44" w:color="auto" w:val="clear"/>
            <w:tcMar>
              <w:top w:type="dxa" w:w="60"/>
              <w:left w:type="dxa" w:w="90"/>
              <w:bottom w:type="dxa" w:w="60"/>
              <w:right w:type="dxa" w:w="90"/>
            </w:tcMar>
            <w:vAlign w:val="center"/>
          </w:tcPr>
          <w:p>
            <w:pPr>
              <w:bidi w:val="false"/>
              <w:spacing w:after="0" w:before="0" w:line="252"/>
            </w:pPr>
            <w:r>
              <w:rPr>
                <w:rFonts w:ascii="Calibri" w:cs="Calibri" w:eastAsia="Calibri" w:hAnsi="Calibri"/>
                <w:b/>
                <w:bCs/>
                <w:color w:val="FFFFFF"/>
                <w:sz w:val="18"/>
                <w:szCs w:val="18"/>
              </w:rPr>
              <w:t xml:space="preserve">Paper</w:t>
            </w:r>
          </w:p>
        </w:tc>
        <w:tc>
          <w:tcPr>
            <w:tcW w:type="dxa" w:w="5571"/>
            <w:tcBorders>
              <w:top w:val="single" w:color="C9D2DA" w:sz="4"/>
              <w:left w:val="single" w:color="C9D2DA" w:sz="4"/>
              <w:bottom w:val="single" w:color="C9D2DA" w:sz="4"/>
              <w:right w:val="single" w:color="C9D2DA" w:sz="4"/>
            </w:tcBorders>
            <w:shd w:fill="1F2A44" w:color="auto" w:val="clear"/>
            <w:tcMar>
              <w:top w:type="dxa" w:w="60"/>
              <w:left w:type="dxa" w:w="90"/>
              <w:bottom w:type="dxa" w:w="60"/>
              <w:right w:type="dxa" w:w="90"/>
            </w:tcMar>
            <w:vAlign w:val="center"/>
          </w:tcPr>
          <w:p>
            <w:pPr>
              <w:bidi w:val="false"/>
              <w:spacing w:after="0" w:before="0" w:line="252"/>
            </w:pPr>
            <w:r>
              <w:rPr>
                <w:rFonts w:ascii="Calibri" w:cs="Calibri" w:eastAsia="Calibri" w:hAnsi="Calibri"/>
                <w:b/>
                <w:bCs/>
                <w:color w:val="FFFFFF"/>
                <w:sz w:val="18"/>
                <w:szCs w:val="18"/>
              </w:rPr>
              <w:t xml:space="preserve">Indicative content</w:t>
            </w:r>
          </w:p>
        </w:tc>
        <w:tc>
          <w:tcPr>
            <w:tcW w:type="dxa" w:w="2883"/>
            <w:tcBorders>
              <w:top w:val="single" w:color="C9D2DA" w:sz="4"/>
              <w:left w:val="single" w:color="C9D2DA" w:sz="4"/>
              <w:bottom w:val="single" w:color="C9D2DA" w:sz="4"/>
              <w:right w:val="single" w:color="C9D2DA" w:sz="4"/>
            </w:tcBorders>
            <w:shd w:fill="1F2A44" w:color="auto" w:val="clear"/>
            <w:tcMar>
              <w:top w:type="dxa" w:w="60"/>
              <w:left w:type="dxa" w:w="90"/>
              <w:bottom w:type="dxa" w:w="60"/>
              <w:right w:type="dxa" w:w="90"/>
            </w:tcMar>
            <w:vAlign w:val="center"/>
          </w:tcPr>
          <w:p>
            <w:pPr>
              <w:bidi w:val="false"/>
              <w:spacing w:after="0" w:before="0" w:line="252"/>
            </w:pPr>
            <w:r>
              <w:rPr>
                <w:rFonts w:ascii="Calibri" w:cs="Calibri" w:eastAsia="Calibri" w:hAnsi="Calibri"/>
                <w:b/>
                <w:bCs/>
                <w:color w:val="FFFFFF"/>
                <w:sz w:val="18"/>
                <w:szCs w:val="18"/>
              </w:rPr>
              <w:t xml:space="preserve">Candidate journals</w:t>
            </w:r>
          </w:p>
        </w:tc>
      </w:tr>
      <w:tr>
        <w:trPr>
          <w:cantSplit/>
        </w:trPr>
        <w:tc>
          <w:tcPr>
            <w:tcW w:type="dxa" w:w="1152"/>
            <w:tcBorders>
              <w:top w:val="single" w:color="C9D2DA" w:sz="4"/>
              <w:left w:val="single" w:color="C9D2DA" w:sz="4"/>
              <w:bottom w:val="single" w:color="C9D2DA" w:sz="4"/>
              <w:right w:val="single" w:color="C9D2DA" w:sz="4"/>
            </w:tcBorders>
            <w:tcMar>
              <w:top w:type="dxa" w:w="60"/>
              <w:left w:type="dxa" w:w="90"/>
              <w:bottom w:type="dxa" w:w="60"/>
              <w:right w:type="dxa" w:w="90"/>
            </w:tcMar>
            <w:vAlign w:val="center"/>
          </w:tcPr>
          <w:p>
            <w:pPr>
              <w:bidi w:val="false"/>
              <w:spacing w:after="0" w:before="0" w:line="252"/>
            </w:pPr>
            <w:r>
              <w:rPr>
                <w:rFonts w:ascii="Calibri" w:cs="Calibri" w:eastAsia="Calibri" w:hAnsi="Calibri"/>
                <w:sz w:val="18"/>
                <w:szCs w:val="18"/>
              </w:rPr>
              <w:t xml:space="preserve">Z1</w:t>
            </w:r>
          </w:p>
        </w:tc>
        <w:tc>
          <w:tcPr>
            <w:tcW w:type="dxa" w:w="5571"/>
            <w:tcBorders>
              <w:top w:val="single" w:color="C9D2DA" w:sz="4"/>
              <w:left w:val="single" w:color="C9D2DA" w:sz="4"/>
              <w:bottom w:val="single" w:color="C9D2DA" w:sz="4"/>
              <w:right w:val="single" w:color="C9D2DA" w:sz="4"/>
            </w:tcBorders>
            <w:tcMar>
              <w:top w:type="dxa" w:w="60"/>
              <w:left w:type="dxa" w:w="90"/>
              <w:bottom w:type="dxa" w:w="60"/>
              <w:right w:type="dxa" w:w="90"/>
            </w:tcMar>
            <w:vAlign w:val="center"/>
          </w:tcPr>
          <w:p>
            <w:pPr>
              <w:bidi w:val="false"/>
              <w:spacing w:after="0" w:before="0" w:line="252"/>
            </w:pPr>
            <w:r>
              <w:rPr>
                <w:rFonts w:ascii="Calibri" w:cs="Calibri" w:eastAsia="Calibri" w:hAnsi="Calibri"/>
                <w:sz w:val="18"/>
                <w:szCs w:val="18"/>
              </w:rPr>
              <w:t xml:space="preserve">Parameter-varying transmissibility formulation and numerical benchmark</w:t>
            </w:r>
          </w:p>
        </w:tc>
        <w:tc>
          <w:tcPr>
            <w:tcW w:type="dxa" w:w="2883"/>
            <w:tcBorders>
              <w:top w:val="single" w:color="C9D2DA" w:sz="4"/>
              <w:left w:val="single" w:color="C9D2DA" w:sz="4"/>
              <w:bottom w:val="single" w:color="C9D2DA" w:sz="4"/>
              <w:right w:val="single" w:color="C9D2DA" w:sz="4"/>
            </w:tcBorders>
            <w:tcMar>
              <w:top w:type="dxa" w:w="60"/>
              <w:left w:type="dxa" w:w="90"/>
              <w:bottom w:type="dxa" w:w="60"/>
              <w:right w:type="dxa" w:w="90"/>
            </w:tcMar>
            <w:vAlign w:val="center"/>
          </w:tcPr>
          <w:p>
            <w:pPr>
              <w:bidi w:val="false"/>
              <w:spacing w:after="0" w:before="0" w:line="252"/>
            </w:pPr>
            <w:r>
              <w:rPr>
                <w:rFonts w:ascii="Calibri" w:cs="Calibri" w:eastAsia="Calibri" w:hAnsi="Calibri"/>
                <w:sz w:val="18"/>
                <w:szCs w:val="18"/>
              </w:rPr>
              <w:t xml:space="preserve">Mech. Syst. Signal Process.; J. Sound Vib.</w:t>
            </w:r>
          </w:p>
        </w:tc>
      </w:tr>
      <w:tr>
        <w:trPr>
          <w:cantSplit/>
        </w:trPr>
        <w:tc>
          <w:tcPr>
            <w:tcW w:type="dxa" w:w="1152"/>
            <w:tcBorders>
              <w:top w:val="single" w:color="C9D2DA" w:sz="4"/>
              <w:left w:val="single" w:color="C9D2DA" w:sz="4"/>
              <w:bottom w:val="single" w:color="C9D2DA" w:sz="4"/>
              <w:right w:val="single" w:color="C9D2DA" w:sz="4"/>
            </w:tcBorders>
            <w:shd w:fill="F3F7F7" w:color="auto" w:val="clear"/>
            <w:tcMar>
              <w:top w:type="dxa" w:w="60"/>
              <w:left w:type="dxa" w:w="90"/>
              <w:bottom w:type="dxa" w:w="60"/>
              <w:right w:type="dxa" w:w="90"/>
            </w:tcMar>
            <w:vAlign w:val="center"/>
          </w:tcPr>
          <w:p>
            <w:pPr>
              <w:bidi w:val="false"/>
              <w:spacing w:after="0" w:before="0" w:line="252"/>
            </w:pPr>
            <w:r>
              <w:rPr>
                <w:rFonts w:ascii="Calibri" w:cs="Calibri" w:eastAsia="Calibri" w:hAnsi="Calibri"/>
                <w:sz w:val="18"/>
                <w:szCs w:val="18"/>
              </w:rPr>
              <w:t xml:space="preserve">Z2</w:t>
            </w:r>
          </w:p>
        </w:tc>
        <w:tc>
          <w:tcPr>
            <w:tcW w:type="dxa" w:w="5571"/>
            <w:tcBorders>
              <w:top w:val="single" w:color="C9D2DA" w:sz="4"/>
              <w:left w:val="single" w:color="C9D2DA" w:sz="4"/>
              <w:bottom w:val="single" w:color="C9D2DA" w:sz="4"/>
              <w:right w:val="single" w:color="C9D2DA" w:sz="4"/>
            </w:tcBorders>
            <w:shd w:fill="F3F7F7" w:color="auto" w:val="clear"/>
            <w:tcMar>
              <w:top w:type="dxa" w:w="60"/>
              <w:left w:type="dxa" w:w="90"/>
              <w:bottom w:type="dxa" w:w="60"/>
              <w:right w:type="dxa" w:w="90"/>
            </w:tcMar>
            <w:vAlign w:val="center"/>
          </w:tcPr>
          <w:p>
            <w:pPr>
              <w:bidi w:val="false"/>
              <w:spacing w:after="0" w:before="0" w:line="252"/>
            </w:pPr>
            <w:r>
              <w:rPr>
                <w:rFonts w:ascii="Calibri" w:cs="Calibri" w:eastAsia="Calibri" w:hAnsi="Calibri"/>
                <w:sz w:val="18"/>
                <w:szCs w:val="18"/>
              </w:rPr>
              <w:t xml:space="preserve">Laboratory validation on a flow-excited gate with EMA ground truth</w:t>
            </w:r>
          </w:p>
        </w:tc>
        <w:tc>
          <w:tcPr>
            <w:tcW w:type="dxa" w:w="2883"/>
            <w:tcBorders>
              <w:top w:val="single" w:color="C9D2DA" w:sz="4"/>
              <w:left w:val="single" w:color="C9D2DA" w:sz="4"/>
              <w:bottom w:val="single" w:color="C9D2DA" w:sz="4"/>
              <w:right w:val="single" w:color="C9D2DA" w:sz="4"/>
            </w:tcBorders>
            <w:shd w:fill="F3F7F7" w:color="auto" w:val="clear"/>
            <w:tcMar>
              <w:top w:type="dxa" w:w="60"/>
              <w:left w:type="dxa" w:w="90"/>
              <w:bottom w:type="dxa" w:w="60"/>
              <w:right w:type="dxa" w:w="90"/>
            </w:tcMar>
            <w:vAlign w:val="center"/>
          </w:tcPr>
          <w:p>
            <w:pPr>
              <w:bidi w:val="false"/>
              <w:spacing w:after="0" w:before="0" w:line="252"/>
            </w:pPr>
            <w:r>
              <w:rPr>
                <w:rFonts w:ascii="Calibri" w:cs="Calibri" w:eastAsia="Calibri" w:hAnsi="Calibri"/>
                <w:sz w:val="18"/>
                <w:szCs w:val="18"/>
              </w:rPr>
              <w:t xml:space="preserve">J. Fluids Struct.; Struct. Control Health Monit.</w:t>
            </w:r>
          </w:p>
        </w:tc>
      </w:tr>
      <w:tr>
        <w:trPr>
          <w:cantSplit/>
        </w:trPr>
        <w:tc>
          <w:tcPr>
            <w:tcW w:type="dxa" w:w="1152"/>
            <w:tcBorders>
              <w:top w:val="single" w:color="C9D2DA" w:sz="4"/>
              <w:left w:val="single" w:color="C9D2DA" w:sz="4"/>
              <w:bottom w:val="single" w:color="C9D2DA" w:sz="4"/>
              <w:right w:val="single" w:color="C9D2DA" w:sz="4"/>
            </w:tcBorders>
            <w:tcMar>
              <w:top w:type="dxa" w:w="60"/>
              <w:left w:type="dxa" w:w="90"/>
              <w:bottom w:type="dxa" w:w="60"/>
              <w:right w:type="dxa" w:w="90"/>
            </w:tcMar>
            <w:vAlign w:val="center"/>
          </w:tcPr>
          <w:p>
            <w:pPr>
              <w:bidi w:val="false"/>
              <w:spacing w:after="0" w:before="0" w:line="252"/>
            </w:pPr>
            <w:r>
              <w:rPr>
                <w:rFonts w:ascii="Calibri" w:cs="Calibri" w:eastAsia="Calibri" w:hAnsi="Calibri"/>
                <w:sz w:val="18"/>
                <w:szCs w:val="18"/>
              </w:rPr>
              <w:t xml:space="preserve">Z3</w:t>
            </w:r>
          </w:p>
        </w:tc>
        <w:tc>
          <w:tcPr>
            <w:tcW w:type="dxa" w:w="5571"/>
            <w:tcBorders>
              <w:top w:val="single" w:color="C9D2DA" w:sz="4"/>
              <w:left w:val="single" w:color="C9D2DA" w:sz="4"/>
              <w:bottom w:val="single" w:color="C9D2DA" w:sz="4"/>
              <w:right w:val="single" w:color="C9D2DA" w:sz="4"/>
            </w:tcBorders>
            <w:tcMar>
              <w:top w:type="dxa" w:w="60"/>
              <w:left w:type="dxa" w:w="90"/>
              <w:bottom w:type="dxa" w:w="60"/>
              <w:right w:type="dxa" w:w="90"/>
            </w:tcMar>
            <w:vAlign w:val="center"/>
          </w:tcPr>
          <w:p>
            <w:pPr>
              <w:bidi w:val="false"/>
              <w:spacing w:after="0" w:before="0" w:line="252"/>
            </w:pPr>
            <w:r>
              <w:rPr>
                <w:rFonts w:ascii="Calibri" w:cs="Calibri" w:eastAsia="Calibri" w:hAnsi="Calibri"/>
                <w:sz w:val="18"/>
                <w:szCs w:val="18"/>
              </w:rPr>
              <w:t xml:space="preserve">Dam application with reservoir-level-dependent records</w:t>
            </w:r>
          </w:p>
        </w:tc>
        <w:tc>
          <w:tcPr>
            <w:tcW w:type="dxa" w:w="2883"/>
            <w:tcBorders>
              <w:top w:val="single" w:color="C9D2DA" w:sz="4"/>
              <w:left w:val="single" w:color="C9D2DA" w:sz="4"/>
              <w:bottom w:val="single" w:color="C9D2DA" w:sz="4"/>
              <w:right w:val="single" w:color="C9D2DA" w:sz="4"/>
            </w:tcBorders>
            <w:tcMar>
              <w:top w:type="dxa" w:w="60"/>
              <w:left w:type="dxa" w:w="90"/>
              <w:bottom w:type="dxa" w:w="60"/>
              <w:right w:type="dxa" w:w="90"/>
            </w:tcMar>
            <w:vAlign w:val="center"/>
          </w:tcPr>
          <w:p>
            <w:pPr>
              <w:bidi w:val="false"/>
              <w:spacing w:after="0" w:before="0" w:line="252"/>
            </w:pPr>
            <w:r>
              <w:rPr>
                <w:rFonts w:ascii="Calibri" w:cs="Calibri" w:eastAsia="Calibri" w:hAnsi="Calibri"/>
                <w:sz w:val="18"/>
                <w:szCs w:val="18"/>
              </w:rPr>
              <w:t xml:space="preserve">Earthq. Eng. Struct. Dyn.; J. Vib. Control</w:t>
            </w:r>
          </w:p>
        </w:tc>
      </w:tr>
    </w:tbl>
    <w:p>
      <w:pPr>
        <w:spacing w:after="100"/>
      </w:pPr>
    </w:p>
    <w:p>
      <w:pPr>
        <w:pStyle w:val="Heading1"/>
        <w:keepNext/>
        <w:pBdr>
          <w:bottom w:val="single" w:color="3E7C7A" w:sz="6" w:space="3"/>
        </w:pBdr>
        <w:spacing w:after="100" w:before="280"/>
      </w:pPr>
      <w:r>
        <w:rPr>
          <w:rFonts w:ascii="Georgia" w:cs="Georgia" w:eastAsia="Georgia" w:hAnsi="Georgia"/>
          <w:color w:val="1F2A44"/>
          <w:sz w:val="26"/>
          <w:szCs w:val="26"/>
        </w:rPr>
        <w:t xml:space="preserve">Independence and minimum requirements</w:t>
      </w:r>
    </w:p>
    <w:p>
      <w:pPr>
        <w:pStyle w:val="ListParagraph"/>
        <w:numPr>
          <w:ilvl w:val="0"/>
          <w:numId w:val="2"/>
        </w:numPr>
        <w:spacing w:after="50" w:line="264"/>
      </w:pPr>
      <w:r>
        <w:rPr>
          <w:rFonts w:ascii="Calibri" w:cs="Calibri" w:eastAsia="Calibri" w:hAnsi="Calibri"/>
          <w:color w:val="262B33"/>
          <w:sz w:val="21"/>
          <w:szCs w:val="21"/>
        </w:rPr>
        <w:t xml:space="preserve">Uses its </w:t>
      </w:r>
      <w:r>
        <w:rPr>
          <w:rFonts w:ascii="Calibri" w:cs="Calibri" w:eastAsia="Calibri" w:hAnsi="Calibri"/>
          <w:b/>
          <w:bCs/>
          <w:color w:val="262B33"/>
          <w:sz w:val="21"/>
          <w:szCs w:val="21"/>
        </w:rPr>
        <w:t xml:space="preserve">own flexible specimen, accelerometers and EMA</w:t>
      </w:r>
      <w:r>
        <w:rPr>
          <w:rFonts w:ascii="Calibri" w:cs="Calibri" w:eastAsia="Calibri" w:hAnsi="Calibri"/>
          <w:color w:val="262B33"/>
          <w:sz w:val="21"/>
          <w:szCs w:val="21"/>
        </w:rPr>
        <w:t xml:space="preserve">, and </w:t>
      </w:r>
      <w:r>
        <w:rPr>
          <w:rFonts w:ascii="Calibri" w:cs="Calibri" w:eastAsia="Calibri" w:hAnsi="Calibri"/>
          <w:b/>
          <w:bCs/>
          <w:color w:val="262B33"/>
          <w:sz w:val="21"/>
          <w:szCs w:val="21"/>
        </w:rPr>
        <w:t xml:space="preserve">synthetic loads</w:t>
      </w:r>
      <w:r>
        <w:rPr>
          <w:rFonts w:ascii="Calibri" w:cs="Calibri" w:eastAsia="Calibri" w:hAnsi="Calibri"/>
          <w:color w:val="262B33"/>
          <w:sz w:val="21"/>
          <w:szCs w:val="21"/>
        </w:rPr>
        <w:t xml:space="preserve">. It does not need Jamal's pressure or load results.</w:t>
      </w:r>
    </w:p>
    <w:p>
      <w:pPr>
        <w:pStyle w:val="ListParagraph"/>
        <w:numPr>
          <w:ilvl w:val="0"/>
          <w:numId w:val="2"/>
        </w:numPr>
        <w:spacing w:after="50" w:line="264"/>
      </w:pPr>
      <w:r>
        <w:rPr>
          <w:rFonts w:ascii="Calibri" w:cs="Calibri" w:eastAsia="Calibri" w:hAnsi="Calibri"/>
          <w:color w:val="262B33"/>
          <w:sz w:val="21"/>
          <w:szCs w:val="21"/>
        </w:rPr>
        <w:t xml:space="preserve">Year 1 (theory and FE) needs no laboratory. Paper Z3 uses public records. If Jamal is delayed by a year, this thesis can still finish.</w:t>
      </w:r>
    </w:p>
    <w:p>
      <w:pPr>
        <w:pStyle w:val="ListParagraph"/>
        <w:numPr>
          <w:ilvl w:val="0"/>
          <w:numId w:val="2"/>
        </w:numPr>
        <w:spacing w:after="50" w:line="264"/>
      </w:pPr>
      <w:r>
        <w:rPr>
          <w:rFonts w:ascii="Calibri" w:cs="Calibri" w:eastAsia="Calibri" w:hAnsi="Calibri"/>
          <w:b/>
          <w:bCs/>
          <w:color w:val="262B33"/>
          <w:sz w:val="21"/>
          <w:szCs w:val="21"/>
        </w:rPr>
        <w:t xml:space="preserve">Essential:</w:t>
      </w:r>
      <w:r>
        <w:rPr>
          <w:rFonts w:ascii="Calibri" w:cs="Calibri" w:eastAsia="Calibri" w:hAnsi="Calibri"/>
          <w:color w:val="262B33"/>
          <w:sz w:val="21"/>
          <w:szCs w:val="21"/>
        </w:rPr>
        <w:t xml:space="preserve"> flume able to hold still water at several levels and run several flow states; one flexible gate specimen; 6–8 accelerometers; impact hammer with force sensor; synchronised DAQ (≥8 channels). Useful: strain gauges. Optional: laser vibrometer; field test on a regulator gate.</w:t>
      </w:r>
    </w:p>
    <w:p>
      <w:pPr>
        <w:spacing w:after="40"/>
      </w:pPr>
    </w:p>
    <w:p>
      <w:pPr>
        <w:pStyle w:val="Heading1"/>
        <w:keepNext/>
        <w:pBdr>
          <w:bottom w:val="single" w:color="3E7C7A" w:sz="6" w:space="3"/>
        </w:pBdr>
        <w:spacing w:after="100" w:before="280"/>
      </w:pPr>
      <w:r>
        <w:rPr>
          <w:rFonts w:ascii="Georgia" w:cs="Georgia" w:eastAsia="Georgia" w:hAnsi="Georgia"/>
          <w:color w:val="1F2A44"/>
          <w:sz w:val="26"/>
          <w:szCs w:val="26"/>
        </w:rPr>
        <w:t xml:space="preserve">Title options</w:t>
      </w:r>
    </w:p>
    <w:tbl>
      <w:tblPr>
        <w:tblW w:type="dxa" w:w="96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5"/>
        <w:gridCol w:w="7301"/>
      </w:tblGrid>
      <w:tr>
        <w:trPr>
          <w:cantSplit/>
        </w:trPr>
        <w:tc>
          <w:tcPr>
            <w:tcW w:type="dxa" w:w="2305"/>
            <w:tcBorders>
              <w:top w:val="single" w:color="C9D2DA" w:sz="4"/>
              <w:left w:val="single" w:color="C9D2DA" w:sz="4"/>
              <w:bottom w:val="single" w:color="C9D2DA" w:sz="4"/>
              <w:right w:val="single" w:color="C9D2DA" w:sz="4"/>
            </w:tcBorders>
            <w:shd w:fill="E7F0EF" w:color="auto" w:val="clear"/>
            <w:tcMar>
              <w:top w:type="dxa" w:w="60"/>
              <w:left w:type="dxa" w:w="90"/>
              <w:bottom w:type="dxa" w:w="60"/>
              <w:right w:type="dxa" w:w="90"/>
            </w:tcMar>
            <w:vAlign w:val="center"/>
          </w:tcPr>
          <w:p>
            <w:pPr>
              <w:bidi w:val="false"/>
              <w:spacing w:after="0" w:before="0" w:line="252"/>
            </w:pPr>
            <w:r>
              <w:rPr>
                <w:rFonts w:ascii="Calibri" w:cs="Calibri" w:eastAsia="Calibri" w:hAnsi="Calibri"/>
                <w:b/>
                <w:bCs/>
                <w:sz w:val="18"/>
                <w:szCs w:val="18"/>
              </w:rPr>
              <w:t xml:space="preserve">A. Discussion</w:t>
            </w:r>
          </w:p>
        </w:tc>
        <w:tc>
          <w:tcPr>
            <w:tcW w:type="dxa" w:w="7301"/>
            <w:tcBorders>
              <w:top w:val="single" w:color="C9D2DA" w:sz="4"/>
              <w:left w:val="single" w:color="C9D2DA" w:sz="4"/>
              <w:bottom w:val="single" w:color="C9D2DA" w:sz="4"/>
              <w:right w:val="single" w:color="C9D2DA" w:sz="4"/>
            </w:tcBorders>
            <w:tcMar>
              <w:top w:type="dxa" w:w="60"/>
              <w:left w:type="dxa" w:w="90"/>
              <w:bottom w:type="dxa" w:w="60"/>
              <w:right w:type="dxa" w:w="90"/>
            </w:tcMar>
            <w:vAlign w:val="center"/>
          </w:tcPr>
          <w:p>
            <w:pPr>
              <w:bidi w:val="false"/>
              <w:spacing w:after="0" w:before="0" w:line="252"/>
            </w:pPr>
            <w:r>
              <w:rPr>
                <w:rFonts w:ascii="Calibri" w:cs="Calibri" w:eastAsia="Calibri" w:hAnsi="Calibri"/>
                <w:b w:val="false"/>
                <w:bCs w:val="false"/>
                <w:sz w:val="18"/>
                <w:szCs w:val="18"/>
              </w:rPr>
              <w:t xml:space="preserve">Operational Modal Identification of Hydraulic Gates under Varying Flow Conditions</w:t>
            </w:r>
          </w:p>
        </w:tc>
      </w:tr>
      <w:tr>
        <w:trPr>
          <w:cantSplit/>
        </w:trPr>
        <w:tc>
          <w:tcPr>
            <w:tcW w:type="dxa" w:w="2305"/>
            <w:tcBorders>
              <w:top w:val="single" w:color="C9D2DA" w:sz="4"/>
              <w:left w:val="single" w:color="C9D2DA" w:sz="4"/>
              <w:bottom w:val="single" w:color="C9D2DA" w:sz="4"/>
              <w:right w:val="single" w:color="C9D2DA" w:sz="4"/>
            </w:tcBorders>
            <w:shd w:fill="E7F0EF" w:color="auto" w:val="clear"/>
            <w:tcMar>
              <w:top w:type="dxa" w:w="60"/>
              <w:left w:type="dxa" w:w="90"/>
              <w:bottom w:type="dxa" w:w="60"/>
              <w:right w:type="dxa" w:w="90"/>
            </w:tcMar>
            <w:vAlign w:val="center"/>
          </w:tcPr>
          <w:p>
            <w:pPr>
              <w:bidi w:val="false"/>
              <w:spacing w:after="0" w:before="0" w:line="252"/>
            </w:pPr>
            <w:r>
              <w:rPr>
                <w:rFonts w:ascii="Calibri" w:cs="Calibri" w:eastAsia="Calibri" w:hAnsi="Calibri"/>
                <w:b/>
                <w:bCs/>
                <w:sz w:val="18"/>
                <w:szCs w:val="18"/>
              </w:rPr>
              <w:t xml:space="preserve">B. Formal PhD</w:t>
            </w:r>
          </w:p>
        </w:tc>
        <w:tc>
          <w:tcPr>
            <w:tcW w:type="dxa" w:w="7301"/>
            <w:tcBorders>
              <w:top w:val="single" w:color="C9D2DA" w:sz="4"/>
              <w:left w:val="single" w:color="C9D2DA" w:sz="4"/>
              <w:bottom w:val="single" w:color="C9D2DA" w:sz="4"/>
              <w:right w:val="single" w:color="C9D2DA" w:sz="4"/>
            </w:tcBorders>
            <w:shd w:fill="F3F7F7" w:color="auto" w:val="clear"/>
            <w:tcMar>
              <w:top w:type="dxa" w:w="60"/>
              <w:left w:type="dxa" w:w="90"/>
              <w:bottom w:type="dxa" w:w="60"/>
              <w:right w:type="dxa" w:w="90"/>
            </w:tcMar>
            <w:vAlign w:val="center"/>
          </w:tcPr>
          <w:p>
            <w:pPr>
              <w:bidi w:val="false"/>
              <w:spacing w:after="0" w:before="0" w:line="252"/>
            </w:pPr>
            <w:r>
              <w:rPr>
                <w:rFonts w:ascii="Calibri" w:cs="Calibri" w:eastAsia="Calibri" w:hAnsi="Calibri"/>
                <w:b w:val="false"/>
                <w:bCs w:val="false"/>
                <w:sz w:val="18"/>
                <w:szCs w:val="18"/>
              </w:rPr>
              <w:t xml:space="preserve">Operating-State-Dependent Operational Modal Analysis of Flow-Excited Hydraulic Gates Using Transmissibility Functions</w:t>
            </w:r>
          </w:p>
        </w:tc>
      </w:tr>
      <w:tr>
        <w:trPr>
          <w:cantSplit/>
        </w:trPr>
        <w:tc>
          <w:tcPr>
            <w:tcW w:type="dxa" w:w="2305"/>
            <w:tcBorders>
              <w:top w:val="single" w:color="C9D2DA" w:sz="4"/>
              <w:left w:val="single" w:color="C9D2DA" w:sz="4"/>
              <w:bottom w:val="single" w:color="C9D2DA" w:sz="4"/>
              <w:right w:val="single" w:color="C9D2DA" w:sz="4"/>
            </w:tcBorders>
            <w:shd w:fill="E7F0EF" w:color="auto" w:val="clear"/>
            <w:tcMar>
              <w:top w:type="dxa" w:w="60"/>
              <w:left w:type="dxa" w:w="90"/>
              <w:bottom w:type="dxa" w:w="60"/>
              <w:right w:type="dxa" w:w="90"/>
            </w:tcMar>
            <w:vAlign w:val="center"/>
          </w:tcPr>
          <w:p>
            <w:pPr>
              <w:bidi w:val="false"/>
              <w:spacing w:after="0" w:before="0" w:line="252"/>
            </w:pPr>
            <w:r>
              <w:rPr>
                <w:rFonts w:ascii="Calibri" w:cs="Calibri" w:eastAsia="Calibri" w:hAnsi="Calibri"/>
                <w:b/>
                <w:bCs/>
                <w:sz w:val="18"/>
                <w:szCs w:val="18"/>
              </w:rPr>
              <w:t xml:space="preserve">C. Publication</w:t>
            </w:r>
          </w:p>
        </w:tc>
        <w:tc>
          <w:tcPr>
            <w:tcW w:type="dxa" w:w="7301"/>
            <w:tcBorders>
              <w:top w:val="single" w:color="C9D2DA" w:sz="4"/>
              <w:left w:val="single" w:color="C9D2DA" w:sz="4"/>
              <w:bottom w:val="single" w:color="C9D2DA" w:sz="4"/>
              <w:right w:val="single" w:color="C9D2DA" w:sz="4"/>
            </w:tcBorders>
            <w:tcMar>
              <w:top w:type="dxa" w:w="60"/>
              <w:left w:type="dxa" w:w="90"/>
              <w:bottom w:type="dxa" w:w="60"/>
              <w:right w:type="dxa" w:w="90"/>
            </w:tcMar>
            <w:vAlign w:val="center"/>
          </w:tcPr>
          <w:p>
            <w:pPr>
              <w:bidi w:val="false"/>
              <w:spacing w:after="0" w:before="0" w:line="252"/>
            </w:pPr>
            <w:r>
              <w:rPr>
                <w:rFonts w:ascii="Calibri" w:cs="Calibri" w:eastAsia="Calibri" w:hAnsi="Calibri"/>
                <w:b w:val="false"/>
                <w:bCs w:val="false"/>
                <w:sz w:val="18"/>
                <w:szCs w:val="18"/>
              </w:rPr>
              <w:t xml:space="preserve">Parameter-varying transmissibility-based identification of hydraulic gates with water-level-dependent added mass</w:t>
            </w:r>
          </w:p>
        </w:tc>
      </w:tr>
    </w:tbl>
    <w:p>
      <w:pPr>
        <w:spacing w:after="100"/>
      </w:pPr>
    </w:p>
    <w:p>
      <w:pPr>
        <w:pStyle w:val="Heading1"/>
        <w:keepNext/>
        <w:pBdr>
          <w:bottom w:val="single" w:color="3E7C7A" w:sz="6" w:space="3"/>
        </w:pBdr>
        <w:spacing w:after="100" w:before="280"/>
      </w:pPr>
      <w:r>
        <w:rPr>
          <w:rFonts w:ascii="Georgia" w:cs="Georgia" w:eastAsia="Georgia" w:hAnsi="Georgia"/>
          <w:color w:val="1F2A44"/>
          <w:sz w:val="26"/>
          <w:szCs w:val="26"/>
        </w:rPr>
        <w:t xml:space="preserve">Verified references (supervisor's publications)</w:t>
      </w:r>
    </w:p>
    <w:p>
      <w:pPr>
        <w:spacing w:after="50" w:line="252"/>
        <w:ind w:left="420" w:hanging="420"/>
      </w:pPr>
      <w:r>
        <w:rPr>
          <w:rFonts w:ascii="Calibri" w:cs="Calibri" w:eastAsia="Calibri" w:hAnsi="Calibri"/>
          <w:b/>
          <w:bCs/>
          <w:color w:val="3E7C7A"/>
          <w:sz w:val="19"/>
          <w:szCs w:val="19"/>
        </w:rPr>
        <w:t xml:space="preserve">[1] </w:t>
      </w:r>
      <w:r>
        <w:rPr>
          <w:rFonts w:ascii="Calibri" w:cs="Calibri" w:eastAsia="Calibri" w:hAnsi="Calibri"/>
          <w:color w:val="262B33"/>
          <w:sz w:val="19"/>
          <w:szCs w:val="19"/>
        </w:rPr>
        <w:t xml:space="preserve">Damadipour M., Tarinejad R., Aminfar M.H. (2021). Seismic modal identification using a new approach based on weighted transmissibility. </w:t>
      </w:r>
      <w:r>
        <w:rPr>
          <w:rFonts w:ascii="Calibri" w:cs="Calibri" w:eastAsia="Calibri" w:hAnsi="Calibri"/>
          <w:i/>
          <w:iCs/>
          <w:color w:val="262B33"/>
          <w:sz w:val="19"/>
          <w:szCs w:val="19"/>
        </w:rPr>
        <w:t xml:space="preserve">Earthquake Engineering &amp; Structural Dynamics</w:t>
      </w:r>
      <w:r>
        <w:rPr>
          <w:rFonts w:ascii="Calibri" w:cs="Calibri" w:eastAsia="Calibri" w:hAnsi="Calibri"/>
          <w:color w:val="262B33"/>
          <w:sz w:val="19"/>
          <w:szCs w:val="19"/>
        </w:rPr>
        <w:t xml:space="preserve"> 50(7). doi:10.1002/eqe.3435 [T07]</w:t>
      </w:r>
    </w:p>
    <w:p>
      <w:pPr>
        <w:spacing w:after="50" w:line="252"/>
        <w:ind w:left="420" w:hanging="420"/>
      </w:pPr>
      <w:r>
        <w:rPr>
          <w:rFonts w:ascii="Calibri" w:cs="Calibri" w:eastAsia="Calibri" w:hAnsi="Calibri"/>
          <w:b/>
          <w:bCs/>
          <w:color w:val="3E7C7A"/>
          <w:sz w:val="19"/>
          <w:szCs w:val="19"/>
        </w:rPr>
        <w:t xml:space="preserve">[2] </w:t>
      </w:r>
      <w:r>
        <w:rPr>
          <w:rFonts w:ascii="Calibri" w:cs="Calibri" w:eastAsia="Calibri" w:hAnsi="Calibri"/>
          <w:color w:val="262B33"/>
          <w:sz w:val="19"/>
          <w:szCs w:val="19"/>
        </w:rPr>
        <w:t xml:space="preserve">Damadipour M., Tarinejad R., Aminfar M.H. (2022). Structural system identification based on combining weighted transmissibility and wavelet transform. </w:t>
      </w:r>
      <w:r>
        <w:rPr>
          <w:rFonts w:ascii="Calibri" w:cs="Calibri" w:eastAsia="Calibri" w:hAnsi="Calibri"/>
          <w:i/>
          <w:iCs/>
          <w:color w:val="262B33"/>
          <w:sz w:val="19"/>
          <w:szCs w:val="19"/>
        </w:rPr>
        <w:t xml:space="preserve">Structural Control and Health Monitoring</w:t>
      </w:r>
      <w:r>
        <w:rPr>
          <w:rFonts w:ascii="Calibri" w:cs="Calibri" w:eastAsia="Calibri" w:hAnsi="Calibri"/>
          <w:color w:val="262B33"/>
          <w:sz w:val="19"/>
          <w:szCs w:val="19"/>
        </w:rPr>
        <w:t xml:space="preserve"> 29(2), e2868. doi:10.1002/stc.2868 [T08]</w:t>
      </w:r>
    </w:p>
    <w:p>
      <w:pPr>
        <w:spacing w:after="50" w:line="252"/>
        <w:ind w:left="420" w:hanging="420"/>
      </w:pPr>
      <w:r>
        <w:rPr>
          <w:rFonts w:ascii="Calibri" w:cs="Calibri" w:eastAsia="Calibri" w:hAnsi="Calibri"/>
          <w:b/>
          <w:bCs/>
          <w:color w:val="3E7C7A"/>
          <w:sz w:val="19"/>
          <w:szCs w:val="19"/>
        </w:rPr>
        <w:t xml:space="preserve">[3] </w:t>
      </w:r>
      <w:r>
        <w:rPr>
          <w:rFonts w:ascii="Calibri" w:cs="Calibri" w:eastAsia="Calibri" w:hAnsi="Calibri"/>
          <w:color w:val="262B33"/>
          <w:sz w:val="19"/>
          <w:szCs w:val="19"/>
        </w:rPr>
        <w:t xml:space="preserve">Tarinejad R., Hafezi A., Pourgholi M. (2025). Automated modal analysis of an arch dam using a hybrid SSI framework based on error analysis and fuzzy clustering. </w:t>
      </w:r>
      <w:r>
        <w:rPr>
          <w:rFonts w:ascii="Calibri" w:cs="Calibri" w:eastAsia="Calibri" w:hAnsi="Calibri"/>
          <w:i/>
          <w:iCs/>
          <w:color w:val="262B33"/>
          <w:sz w:val="19"/>
          <w:szCs w:val="19"/>
        </w:rPr>
        <w:t xml:space="preserve">Journal of Vibration and Control</w:t>
      </w:r>
      <w:r>
        <w:rPr>
          <w:rFonts w:ascii="Calibri" w:cs="Calibri" w:eastAsia="Calibri" w:hAnsi="Calibri"/>
          <w:color w:val="262B33"/>
          <w:sz w:val="19"/>
          <w:szCs w:val="19"/>
        </w:rPr>
        <w:t xml:space="preserve">. [T10]</w:t>
      </w:r>
    </w:p>
    <w:p>
      <w:pPr>
        <w:spacing w:after="50" w:line="252"/>
        <w:ind w:left="420" w:hanging="420"/>
      </w:pPr>
      <w:r>
        <w:rPr>
          <w:rFonts w:ascii="Calibri" w:cs="Calibri" w:eastAsia="Calibri" w:hAnsi="Calibri"/>
          <w:b/>
          <w:bCs/>
          <w:color w:val="3E7C7A"/>
          <w:sz w:val="19"/>
          <w:szCs w:val="19"/>
        </w:rPr>
        <w:t xml:space="preserve">[4] </w:t>
      </w:r>
      <w:r>
        <w:rPr>
          <w:rFonts w:ascii="Calibri" w:cs="Calibri" w:eastAsia="Calibri" w:hAnsi="Calibri"/>
          <w:color w:val="262B33"/>
          <w:sz w:val="19"/>
          <w:szCs w:val="19"/>
        </w:rPr>
        <w:t xml:space="preserve">Tarinejad R., Amanzad F. (2025). Identification of operational modal parameters using multi-reference weighted Hermitian transmissibility functions. </w:t>
      </w:r>
      <w:r>
        <w:rPr>
          <w:rFonts w:ascii="Calibri" w:cs="Calibri" w:eastAsia="Calibri" w:hAnsi="Calibri"/>
          <w:i/>
          <w:iCs/>
          <w:color w:val="262B33"/>
          <w:sz w:val="19"/>
          <w:szCs w:val="19"/>
        </w:rPr>
        <w:t xml:space="preserve">Journal of Sound and Vibration</w:t>
      </w:r>
      <w:r>
        <w:rPr>
          <w:rFonts w:ascii="Calibri" w:cs="Calibri" w:eastAsia="Calibri" w:hAnsi="Calibri"/>
          <w:color w:val="262B33"/>
          <w:sz w:val="19"/>
          <w:szCs w:val="19"/>
        </w:rPr>
        <w:t xml:space="preserve"> 615, 119212. doi:10.1016/j.jsv.2025.119212 [T11]</w:t>
      </w:r>
    </w:p>
    <w:p>
      <w:pPr>
        <w:spacing w:after="50" w:line="252"/>
        <w:ind w:left="420" w:hanging="420"/>
      </w:pPr>
      <w:r>
        <w:rPr>
          <w:rFonts w:ascii="Calibri" w:cs="Calibri" w:eastAsia="Calibri" w:hAnsi="Calibri"/>
          <w:b/>
          <w:bCs/>
          <w:color w:val="3E7C7A"/>
          <w:sz w:val="19"/>
          <w:szCs w:val="19"/>
        </w:rPr>
        <w:t xml:space="preserve">[5] </w:t>
      </w:r>
      <w:r>
        <w:rPr>
          <w:rFonts w:ascii="Calibri" w:cs="Calibri" w:eastAsia="Calibri" w:hAnsi="Calibri"/>
          <w:color w:val="262B33"/>
          <w:sz w:val="19"/>
          <w:szCs w:val="19"/>
        </w:rPr>
        <w:t xml:space="preserve">Tarinejad R., Amanzad F. (2026). A novel complex frequency-domain approach using power spectral density transmissibility to extract dynamic characteristics. </w:t>
      </w:r>
      <w:r>
        <w:rPr>
          <w:rFonts w:ascii="Calibri" w:cs="Calibri" w:eastAsia="Calibri" w:hAnsi="Calibri"/>
          <w:i/>
          <w:iCs/>
          <w:color w:val="262B33"/>
          <w:sz w:val="19"/>
          <w:szCs w:val="19"/>
        </w:rPr>
        <w:t xml:space="preserve">Journal of Vibration Engineering &amp; Technologies</w:t>
      </w:r>
      <w:r>
        <w:rPr>
          <w:rFonts w:ascii="Calibri" w:cs="Calibri" w:eastAsia="Calibri" w:hAnsi="Calibri"/>
          <w:color w:val="262B33"/>
          <w:sz w:val="19"/>
          <w:szCs w:val="19"/>
        </w:rPr>
        <w:t xml:space="preserve">. doi:10.1007/s42417-026-02569-7 [S01; author list from search summaries — medium confidence]</w:t>
      </w:r>
    </w:p>
    <w:sectPr>
      <w:headerReference w:type="default" r:id="rId7"/>
      <w:footerReference w:type="default" r:id="rId8"/>
      <w:pgSz w:w="11906" w:h="16838" w:orient="portrait"/>
      <w:pgMar w:top="1050" w:right="1150" w:bottom="1000" w:left="1150" w:header="560" w:footer="5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06"/>
      </w:tabs>
    </w:pPr>
    <w:r>
      <w:rPr>
        <w:rFonts w:ascii="Calibri" w:cs="Calibri" w:eastAsia="Calibri" w:hAnsi="Calibri"/>
        <w:color w:val="5F6B7A"/>
        <w:sz w:val="15"/>
        <w:szCs w:val="15"/>
      </w:rPr>
      <w:t xml:space="preserve">Faculty of Civil Engineering, University of Tabriz</w:t>
    </w:r>
    <w:r>
      <w:rPr>
        <w:rFonts w:ascii="Calibri" w:cs="Calibri" w:eastAsia="Calibri" w:hAnsi="Calibri"/>
        <w:color w:val="5F6B7A"/>
        <w:sz w:val="15"/>
        <w:szCs w:val="15"/>
      </w:rPr>
      <w:t xml:space="preserve">	Page </w:t>
    </w:r>
    <w:r>
      <w:rPr>
        <w:rFonts w:ascii="Calibri" w:cs="Calibri" w:eastAsia="Calibri" w:hAnsi="Calibri"/>
        <w:color w:val="5F6B7A"/>
        <w:sz w:val="15"/>
        <w:szCs w:val="15"/>
      </w:rPr>
      <w:fldChar w:fldCharType="begin"/>
      <w:instrText xml:space="preserve">PAGE</w:instrText>
      <w:fldChar w:fldCharType="separate"/>
      <w:fldChar w:fldCharType="end"/>
    </w:r>
    <w:r>
      <w:rPr>
        <w:rFonts w:ascii="Calibri" w:cs="Calibri" w:eastAsia="Calibri" w:hAnsi="Calibri"/>
        <w:color w:val="5F6B7A"/>
        <w:sz w:val="15"/>
        <w:szCs w:val="15"/>
      </w:rPr>
      <w:t xml:space="preserve"> of </w:t>
    </w:r>
    <w:r>
      <w:rPr>
        <w:rFonts w:ascii="Calibri" w:cs="Calibri" w:eastAsia="Calibri" w:hAnsi="Calibri"/>
        <w:color w:val="5F6B7A"/>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E7C7A" w:sz="4" w:space="4"/>
      </w:pBdr>
      <w:jc w:val="right"/>
    </w:pPr>
    <w:r>
      <w:rPr>
        <w:rFonts w:ascii="Calibri" w:cs="Calibri" w:eastAsia="Calibri" w:hAnsi="Calibri"/>
        <w:color w:val="5F6B7A"/>
        <w:sz w:val="15"/>
        <w:szCs w:val="15"/>
      </w:rPr>
      <w:t xml:space="preserve">Preliminary doctoral concept — Zina · Subject to supervisor confirmation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rPr>
        <w:color w:val="3E7C7A"/>
      </w:rPr>
    </w:lvl>
  </w:abstractNum>
  <w:abstractNum w:abstractNumId="3" w15:restartNumberingAfterBreak="0">
    <w:multiLevelType w:val="hybridMultilevel"/>
    <w:lvl w:ilvl="0" w15:tentative="1">
      <w:start w:val="1"/>
      <w:numFmt w:val="decimal"/>
      <w:lvlText w:val="%1."/>
      <w:lvlJc w:val="left"/>
      <w:pPr>
        <w:ind w:left="420" w:hanging="300"/>
      </w:pPr>
      <w:rPr>
        <w:b/>
        <w:bCs/>
        <w:color w:val="3E7C7A"/>
      </w:rPr>
    </w:lvl>
  </w:abstractNum>
  <w:abstractNum w:abstractNumId="4" w15:restartNumberingAfterBreak="0">
    <w:multiLevelType w:val="hybridMultilevel"/>
    <w:lvl w:ilvl="0" w15:tentative="1">
      <w:start w:val="1"/>
      <w:numFmt w:val="decimal"/>
      <w:lvlText w:val="%1."/>
      <w:lvlJc w:val="left"/>
      <w:pPr>
        <w:ind w:left="420" w:hanging="300"/>
      </w:pPr>
      <w:rPr>
        <w:b/>
        <w:bCs/>
        <w:color w:val="3E7C7A"/>
      </w:rPr>
    </w:lvl>
  </w:abstractNum>
  <w:abstractNum w:abstractNumId="5" w15:restartNumberingAfterBreak="0">
    <w:multiLevelType w:val="hybridMultilevel"/>
    <w:lvl w:ilvl="0" w15:tentative="1">
      <w:start w:val="1"/>
      <w:numFmt w:val="decimal"/>
      <w:lvlText w:val="%1."/>
      <w:lvlJc w:val="left"/>
      <w:pPr>
        <w:ind w:left="420" w:hanging="300"/>
      </w:pPr>
      <w:rPr>
        <w:b/>
        <w:bCs/>
        <w:color w:val="3E7C7A"/>
      </w:rPr>
    </w:lvl>
  </w:abstractNum>
  <w:abstractNum w:abstractNumId="6" w15:restartNumberingAfterBreak="0">
    <w:multiLevelType w:val="hybridMultilevel"/>
    <w:lvl w:ilvl="0" w15:tentative="1">
      <w:start w:val="1"/>
      <w:numFmt w:val="decimal"/>
      <w:lvlText w:val="%1."/>
      <w:lvlJc w:val="left"/>
      <w:pPr>
        <w:ind w:left="420" w:hanging="300"/>
      </w:pPr>
      <w:rPr>
        <w:b/>
        <w:bCs/>
        <w:color w:val="3E7C7A"/>
      </w:rPr>
    </w:lvl>
  </w:abstractNum>
  <w:abstractNum w:abstractNumId="7" w15:restartNumberingAfterBreak="0">
    <w:multiLevelType w:val="hybridMultilevel"/>
    <w:lvl w:ilvl="0" w15:tentative="1">
      <w:start w:val="1"/>
      <w:numFmt w:val="decimal"/>
      <w:lvlText w:val="%1."/>
      <w:lvlJc w:val="left"/>
      <w:pPr>
        <w:ind w:left="420" w:hanging="300"/>
      </w:pPr>
      <w:rPr>
        <w:b/>
        <w:bCs/>
        <w:color w:val="3E7C7A"/>
      </w:rPr>
    </w:lvl>
  </w:abstractNum>
  <w:abstractNum w:abstractNumId="8" w15:restartNumberingAfterBreak="0">
    <w:multiLevelType w:val="hybridMultilevel"/>
    <w:lvl w:ilvl="0" w15:tentative="1">
      <w:start w:val="1"/>
      <w:numFmt w:val="decimal"/>
      <w:lvlText w:val="%1."/>
      <w:lvlJc w:val="left"/>
      <w:pPr>
        <w:ind w:left="420" w:hanging="300"/>
      </w:pPr>
      <w:rPr>
        <w:b/>
        <w:bCs/>
        <w:color w:val="3E7C7A"/>
      </w:rPr>
    </w:lvl>
  </w:abstractNum>
  <w:abstractNum w:abstractNumId="9" w15:restartNumberingAfterBreak="0">
    <w:multiLevelType w:val="hybridMultilevel"/>
    <w:lvl w:ilvl="0" w15:tentative="1">
      <w:start w:val="1"/>
      <w:numFmt w:val="decimal"/>
      <w:lvlText w:val="%1."/>
      <w:lvlJc w:val="left"/>
      <w:pPr>
        <w:ind w:left="420" w:hanging="300"/>
      </w:pPr>
      <w:rPr>
        <w:b/>
        <w:bCs/>
        <w:color w:val="3E7C7A"/>
      </w:rPr>
    </w:lvl>
  </w:abstractNum>
  <w:abstractNum w:abstractNumId="10" w15:restartNumberingAfterBreak="0">
    <w:multiLevelType w:val="hybridMultilevel"/>
    <w:lvl w:ilvl="0" w15:tentative="1">
      <w:start w:val="1"/>
      <w:numFmt w:val="decimal"/>
      <w:lvlText w:val="%1."/>
      <w:lvlJc w:val="left"/>
      <w:pPr>
        <w:ind w:left="420" w:hanging="300"/>
      </w:pPr>
      <w:rPr>
        <w:b/>
        <w:bCs/>
        <w:color w:val="3E7C7A"/>
      </w:rPr>
    </w:lvl>
  </w:abstractNum>
  <w:abstractNum w:abstractNumId="11" w15:restartNumberingAfterBreak="0">
    <w:multiLevelType w:val="hybridMultilevel"/>
    <w:lvl w:ilvl="0" w15:tentative="1">
      <w:start w:val="1"/>
      <w:numFmt w:val="decimal"/>
      <w:lvlText w:val="%1."/>
      <w:lvlJc w:val="left"/>
      <w:pPr>
        <w:ind w:left="420" w:hanging="300"/>
      </w:pPr>
      <w:rPr>
        <w:b/>
        <w:bCs/>
        <w:color w:val="3E7C7A"/>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B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Georgia" w:cs="Georgia" w:eastAsia="Georgia" w:hAnsi="Georgia"/>
      <w:color w:val="1F2A44"/>
      <w:sz w:val="26"/>
      <w:szCs w:val="26"/>
    </w:rPr>
  </w:style>
  <w:style w:type="paragraph" w:styleId="Heading2">
    <w:name w:val="Heading 2"/>
    <w:basedOn w:val="Normal"/>
    <w:next w:val="Normal"/>
    <w:qFormat/>
    <w:pPr>
      <w:outlineLvl w:val="1"/>
    </w:pPr>
    <w:rPr>
      <w:rFonts w:ascii="Georgia" w:cs="Georgia" w:eastAsia="Georgia" w:hAnsi="Georgia"/>
      <w:color w:val="3E7C7A"/>
      <w:sz w:val="23"/>
      <w:szCs w:val="23"/>
    </w:rPr>
  </w:style>
  <w:style w:type="paragraph" w:styleId="Heading3">
    <w:name w:val="Heading 3"/>
    <w:basedOn w:val="Normal"/>
    <w:next w:val="Normal"/>
    <w:qFormat/>
    <w:pPr>
      <w:outlineLvl w:val="2"/>
    </w:pPr>
    <w:rPr>
      <w:rFonts w:ascii="Georgia" w:cs="Georgia" w:eastAsia="Georgia" w:hAnsi="Georgia"/>
      <w:color w:val="262B33"/>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Zina — Preliminary Doctoral Concept</dc:title>
  <dc:creator>Paired PhD research program</dc:creator>
  <cp:lastModifiedBy>Un-named</cp:lastModifiedBy>
  <cp:revision>1</cp:revision>
  <dcterms:created xsi:type="dcterms:W3CDTF">2026-10-05T18:20:14.310Z</dcterms:created>
  <dcterms:modified xsi:type="dcterms:W3CDTF">2026-10-05T18:20:14.311Z</dcterms:modified>
</cp:coreProperties>
</file>

<file path=docProps/custom.xml><?xml version="1.0" encoding="utf-8"?>
<Properties xmlns="http://schemas.openxmlformats.org/officeDocument/2006/custom-properties" xmlns:vt="http://schemas.openxmlformats.org/officeDocument/2006/docPropsVTypes"/>
</file>