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2F75B5"/>
          <w:sz w:val="20"/>
        </w:rPr>
        <w:t>FIELD-BASED CAPSTONE SCENARIO</w:t>
      </w:r>
    </w:p>
    <w:p>
      <w:pPr>
        <w:pStyle w:val="Title"/>
        <w:jc w:val="center"/>
      </w:pPr>
      <w:r>
        <w:t>MED-01 — Hospital Appointment No-Show Prediction</w:t>
      </w:r>
    </w:p>
    <w:p>
      <w:pPr>
        <w:jc w:val="center"/>
      </w:pPr>
      <w:r>
        <w:rPr>
          <w:rFonts w:ascii="Aptos" w:hAnsi="Aptos" w:eastAsia="Aptos"/>
          <w:b w:val="0"/>
          <w:color w:val="595959"/>
          <w:sz w:val="22"/>
        </w:rPr>
        <w:t>MedTech | Technical Project Brief</w:t>
      </w:r>
    </w:p>
    <w:p/>
    <w:tbl>
      <w:tblPr>
        <w:tblStyle w:val="TableGrid"/>
        <w:tblW w:type="auto" w:w="0"/>
        <w:jc w:val="center"/>
        <w:tblLook w:firstColumn="1" w:firstRow="1" w:lastColumn="0" w:lastRow="0" w:noHBand="0" w:noVBand="1" w:val="04A0"/>
      </w:tblPr>
      <w:tblGrid>
        <w:gridCol w:w="5100"/>
        <w:gridCol w:w="5100"/>
      </w:tblGrid>
      <w:tr>
        <w:tc>
          <w:tcPr>
            <w:tcW w:type="dxa" w:w="2721"/>
            <w:vAlign w:val="center"/>
            <w:tcMar>
              <w:top w:w="90" w:type="dxa"/>
              <w:start w:w="100" w:type="dxa"/>
              <w:bottom w:w="90" w:type="dxa"/>
              <w:end w:w="100" w:type="dxa"/>
            </w:tcMar>
            <w:shd w:fill="DCE6F1"/>
          </w:tcPr>
          <w:p>
            <w:pPr>
              <w:jc w:val="left"/>
            </w:pPr>
            <w:r/>
            <w:r>
              <w:rPr>
                <w:rFonts w:ascii="Aptos" w:hAnsi="Aptos" w:eastAsia="Aptos"/>
                <w:b/>
                <w:color w:val="183153"/>
                <w:sz w:val="19"/>
              </w:rPr>
              <w:t>Field</w:t>
            </w:r>
          </w:p>
        </w:tc>
        <w:tc>
          <w:tcPr>
            <w:tcW w:type="dxa" w:w="6576"/>
            <w:vAlign w:val="center"/>
            <w:tcMar>
              <w:top w:w="90" w:type="dxa"/>
              <w:start w:w="100" w:type="dxa"/>
              <w:bottom w:w="90" w:type="dxa"/>
              <w:end w:w="100" w:type="dxa"/>
            </w:tcMar>
          </w:tcPr>
          <w:p>
            <w:pPr>
              <w:jc w:val="left"/>
            </w:pPr>
            <w:r/>
            <w:r>
              <w:rPr>
                <w:rFonts w:ascii="Aptos" w:hAnsi="Aptos" w:eastAsia="Aptos"/>
                <w:b w:val="0"/>
                <w:sz w:val="19"/>
              </w:rPr>
              <w:t>MedTech</w:t>
            </w:r>
          </w:p>
        </w:tc>
      </w:tr>
      <w:tr>
        <w:tc>
          <w:tcPr>
            <w:tcW w:type="dxa" w:w="2721"/>
            <w:vAlign w:val="center"/>
            <w:tcMar>
              <w:top w:w="90" w:type="dxa"/>
              <w:start w:w="100" w:type="dxa"/>
              <w:bottom w:w="90" w:type="dxa"/>
              <w:end w:w="100" w:type="dxa"/>
            </w:tcMar>
            <w:shd w:fill="DCE6F1"/>
          </w:tcPr>
          <w:p>
            <w:pPr>
              <w:jc w:val="left"/>
            </w:pPr>
            <w:r/>
            <w:r>
              <w:rPr>
                <w:rFonts w:ascii="Aptos" w:hAnsi="Aptos" w:eastAsia="Aptos"/>
                <w:b/>
                <w:color w:val="183153"/>
                <w:sz w:val="19"/>
              </w:rPr>
              <w:t>Client</w:t>
            </w:r>
          </w:p>
        </w:tc>
        <w:tc>
          <w:tcPr>
            <w:tcW w:type="dxa" w:w="6576"/>
            <w:vAlign w:val="center"/>
            <w:tcMar>
              <w:top w:w="90" w:type="dxa"/>
              <w:start w:w="100" w:type="dxa"/>
              <w:bottom w:w="90" w:type="dxa"/>
              <w:end w:w="100" w:type="dxa"/>
            </w:tcMar>
          </w:tcPr>
          <w:p>
            <w:pPr>
              <w:jc w:val="left"/>
            </w:pPr>
            <w:r/>
            <w:r>
              <w:rPr>
                <w:rFonts w:ascii="Aptos" w:hAnsi="Aptos" w:eastAsia="Aptos"/>
                <w:b w:val="0"/>
                <w:sz w:val="19"/>
              </w:rPr>
              <w:t>Private Healthcare Network</w:t>
            </w:r>
          </w:p>
        </w:tc>
      </w:tr>
      <w:tr>
        <w:tc>
          <w:tcPr>
            <w:tcW w:type="dxa" w:w="2721"/>
            <w:vAlign w:val="center"/>
            <w:tcMar>
              <w:top w:w="90" w:type="dxa"/>
              <w:start w:w="100" w:type="dxa"/>
              <w:bottom w:w="90" w:type="dxa"/>
              <w:end w:w="100" w:type="dxa"/>
            </w:tcMar>
            <w:shd w:fill="DCE6F1"/>
          </w:tcPr>
          <w:p>
            <w:pPr>
              <w:jc w:val="left"/>
            </w:pPr>
            <w:r/>
            <w:r>
              <w:rPr>
                <w:rFonts w:ascii="Aptos" w:hAnsi="Aptos" w:eastAsia="Aptos"/>
                <w:b/>
                <w:color w:val="183153"/>
                <w:sz w:val="19"/>
              </w:rPr>
              <w:t>Track</w:t>
            </w:r>
          </w:p>
        </w:tc>
        <w:tc>
          <w:tcPr>
            <w:tcW w:type="dxa" w:w="6576"/>
            <w:vAlign w:val="center"/>
            <w:tcMar>
              <w:top w:w="90" w:type="dxa"/>
              <w:start w:w="100" w:type="dxa"/>
              <w:bottom w:w="90" w:type="dxa"/>
              <w:end w:w="100" w:type="dxa"/>
            </w:tcMar>
          </w:tcPr>
          <w:p>
            <w:pPr>
              <w:jc w:val="left"/>
            </w:pPr>
            <w:r/>
            <w:r>
              <w:rPr>
                <w:rFonts w:ascii="Aptos" w:hAnsi="Aptos" w:eastAsia="Aptos"/>
                <w:b w:val="0"/>
                <w:sz w:val="19"/>
              </w:rPr>
              <w:t>Field-Based Scenario</w:t>
            </w:r>
          </w:p>
        </w:tc>
      </w:tr>
      <w:tr>
        <w:tc>
          <w:tcPr>
            <w:tcW w:type="dxa" w:w="2721"/>
            <w:vAlign w:val="center"/>
            <w:tcMar>
              <w:top w:w="90" w:type="dxa"/>
              <w:start w:w="100" w:type="dxa"/>
              <w:bottom w:w="90" w:type="dxa"/>
              <w:end w:w="100" w:type="dxa"/>
            </w:tcMar>
            <w:shd w:fill="DCE6F1"/>
          </w:tcPr>
          <w:p>
            <w:pPr>
              <w:jc w:val="left"/>
            </w:pPr>
            <w:r/>
            <w:r>
              <w:rPr>
                <w:rFonts w:ascii="Aptos" w:hAnsi="Aptos" w:eastAsia="Aptos"/>
                <w:b/>
                <w:color w:val="183153"/>
                <w:sz w:val="19"/>
              </w:rPr>
              <w:t>Purpose</w:t>
            </w:r>
          </w:p>
        </w:tc>
        <w:tc>
          <w:tcPr>
            <w:tcW w:type="dxa" w:w="6576"/>
            <w:vAlign w:val="center"/>
            <w:tcMar>
              <w:top w:w="90" w:type="dxa"/>
              <w:start w:w="100" w:type="dxa"/>
              <w:bottom w:w="90" w:type="dxa"/>
              <w:end w:w="100" w:type="dxa"/>
            </w:tcMar>
          </w:tcPr>
          <w:p>
            <w:pPr>
              <w:jc w:val="left"/>
            </w:pPr>
            <w:r/>
            <w:r>
              <w:rPr>
                <w:rFonts w:ascii="Aptos" w:hAnsi="Aptos" w:eastAsia="Aptos"/>
                <w:b w:val="0"/>
                <w:sz w:val="19"/>
              </w:rPr>
              <w:t>Use this brief as the business requirement. You are responsible for the technical formulation and implementation decisions.</w:t>
            </w:r>
          </w:p>
        </w:tc>
      </w:tr>
    </w:tbl>
    <w:p/>
    <w:tbl>
      <w:tblPr>
        <w:tblStyle w:val="TableGrid"/>
        <w:tblW w:type="auto" w:w="0"/>
        <w:jc w:val="center"/>
        <w:tblLook w:firstColumn="1" w:firstRow="1" w:lastColumn="0" w:lastRow="0" w:noHBand="0" w:noVBand="1" w:val="04A0"/>
      </w:tblPr>
      <w:tblGrid>
        <w:gridCol w:w="10200"/>
      </w:tblGrid>
      <w:tr>
        <w:tc>
          <w:tcPr>
            <w:tcW w:type="dxa" w:w="9298"/>
            <w:shd w:fill="F2F8EE"/>
            <w:tcMar>
              <w:top w:w="120" w:type="dxa"/>
              <w:start w:w="140" w:type="dxa"/>
              <w:bottom w:w="120" w:type="dxa"/>
              <w:end w:w="140" w:type="dxa"/>
            </w:tcMar>
          </w:tcPr>
          <w:p>
            <w:r>
              <w:rPr>
                <w:rFonts w:ascii="Aptos" w:hAnsi="Aptos" w:eastAsia="Aptos"/>
                <w:b/>
                <w:color w:val="183153"/>
                <w:sz w:val="20"/>
              </w:rPr>
              <w:t>How to use this brief</w:t>
            </w:r>
            <w:r>
              <w:rPr>
                <w:rFonts w:ascii="Aptos" w:hAnsi="Aptos" w:eastAsia="Aptos"/>
                <w:b w:val="0"/>
                <w:sz w:val="19"/>
              </w:rPr>
              <w:br/>
              <w:t>Treat the scenario as a client request, not as a step-by-step assignment. Complete the Data &amp; Problem Discovery and Technical Proposal sections before full implementation and be ready to justify your decisions to the mentors.</w:t>
            </w:r>
          </w:p>
        </w:tc>
      </w:tr>
    </w:tbl>
    <w:p>
      <w:pPr>
        <w:pStyle w:val="Heading1"/>
        <w:keepNext/>
      </w:pPr>
      <w:r>
        <w:t>1. Client Background</w:t>
      </w:r>
    </w:p>
    <w:p>
      <w:r>
        <w:t>A private healthcare network operates several outpatient clinics and schedules thousands of appointments each month. A recurring operational problem is that some patients do not attend and do not cancel in advance, leaving unused doctor capacity and increasing waiting times for other patients.</w:t>
      </w:r>
    </w:p>
    <w:p>
      <w:pPr>
        <w:pStyle w:val="Heading1"/>
        <w:keepNext/>
      </w:pPr>
      <w:r>
        <w:t>2. Business Problem</w:t>
      </w:r>
    </w:p>
    <w:p>
      <w:r>
        <w:t>The clinic currently has no reliable way to identify which scheduled appointments are more likely to become no-shows. Reminder and confirmation efforts are therefore applied broadly rather than prioritized where they may have the greatest operational value.</w:t>
      </w:r>
    </w:p>
    <w:p>
      <w:pPr>
        <w:pStyle w:val="Heading1"/>
        <w:keepNext/>
      </w:pPr>
      <w:r>
        <w:t>3. Requested Solution</w:t>
      </w:r>
    </w:p>
    <w:p>
      <w:r>
        <w:t>Develop an ML-based solution that estimates the likelihood of a scheduled appointment resulting in a no-show before the appointment takes place. The output should be usable by clinic operations staff to prioritize reminders, confirmations or manual follow-up.</w:t>
      </w:r>
    </w:p>
    <w:p>
      <w:pPr>
        <w:pStyle w:val="Heading1"/>
        <w:keepNext/>
      </w:pPr>
      <w:r>
        <w:t>4. Available Information</w:t>
      </w:r>
    </w:p>
    <w:p>
      <w:r>
        <w:t>The organization may have access to information such as:</w:t>
      </w:r>
    </w:p>
    <w:p>
      <w:pPr>
        <w:pStyle w:val="ListBullet"/>
        <w:spacing w:after="30"/>
        <w:ind w:left="369" w:hanging="142"/>
      </w:pPr>
      <w:r>
        <w:t>Appointment scheduling records and appointment dates.</w:t>
      </w:r>
    </w:p>
    <w:p>
      <w:pPr>
        <w:pStyle w:val="ListBullet"/>
        <w:spacing w:after="30"/>
        <w:ind w:left="369" w:hanging="142"/>
      </w:pPr>
      <w:r>
        <w:t>Patient demographic or administrative information available before the appointment.</w:t>
      </w:r>
    </w:p>
    <w:p>
      <w:pPr>
        <w:pStyle w:val="ListBullet"/>
        <w:spacing w:after="30"/>
        <w:ind w:left="369" w:hanging="142"/>
      </w:pPr>
      <w:r>
        <w:t>Previous attendance / no-show history, if present in the selected dataset.</w:t>
      </w:r>
    </w:p>
    <w:p>
      <w:pPr>
        <w:pStyle w:val="ListBullet"/>
        <w:spacing w:after="30"/>
        <w:ind w:left="369" w:hanging="142"/>
      </w:pPr>
      <w:r>
        <w:t>Reminder status, location, specialty or other appointment context, if available.</w:t>
      </w:r>
    </w:p>
    <w:p>
      <w:r>
        <w:t xml:space="preserve">You are responsible for </w:t>
      </w:r>
      <w:r>
        <w:rPr>
          <w:b/>
        </w:rPr>
        <w:t>selecting a suitable public dataset</w:t>
      </w:r>
      <w:r>
        <w:t>, determining which variables are appropriate, and documenting any important limitations of the data.</w:t>
      </w:r>
    </w:p>
    <w:p>
      <w:pPr>
        <w:pStyle w:val="Heading1"/>
        <w:keepNext/>
      </w:pPr>
      <w:r>
        <w:t>5. Data &amp; Problem Discovery — Complete Before Modeling</w:t>
      </w:r>
    </w:p>
    <w:tbl>
      <w:tblPr>
        <w:tblStyle w:val="TableGrid"/>
        <w:tblW w:type="auto" w:w="0"/>
        <w:jc w:val="center"/>
        <w:tblLook w:firstColumn="1" w:firstRow="1" w:lastColumn="0" w:lastRow="0" w:noHBand="0" w:noVBand="1" w:val="04A0"/>
      </w:tblPr>
      <w:tblGrid>
        <w:gridCol w:w="5100"/>
        <w:gridCol w:w="5100"/>
      </w:tblGrid>
      <w:tr>
        <w:tc>
          <w:tcPr>
            <w:tcW w:type="dxa" w:w="3515"/>
            <w:vAlign w:val="center"/>
            <w:tcMar>
              <w:top w:w="90" w:type="dxa"/>
              <w:start w:w="100" w:type="dxa"/>
              <w:bottom w:w="90" w:type="dxa"/>
              <w:end w:w="100" w:type="dxa"/>
            </w:tcMar>
            <w:shd w:fill="2F75B5"/>
          </w:tcPr>
          <w:p>
            <w:pPr>
              <w:jc w:val="left"/>
            </w:pPr>
            <w:r/>
            <w:r>
              <w:rPr>
                <w:rFonts w:ascii="Aptos" w:hAnsi="Aptos" w:eastAsia="Aptos"/>
                <w:b/>
                <w:color w:val="FFFFFF"/>
                <w:sz w:val="19"/>
              </w:rPr>
              <w:t>Decision / Question</w:t>
            </w:r>
          </w:p>
        </w:tc>
        <w:tc>
          <w:tcPr>
            <w:tcW w:type="dxa" w:w="5783"/>
            <w:vAlign w:val="center"/>
            <w:tcMar>
              <w:top w:w="90" w:type="dxa"/>
              <w:start w:w="100" w:type="dxa"/>
              <w:bottom w:w="90" w:type="dxa"/>
              <w:end w:w="100" w:type="dxa"/>
            </w:tcMar>
            <w:shd w:fill="2F75B5"/>
          </w:tcPr>
          <w:p>
            <w:pPr>
              <w:jc w:val="left"/>
            </w:pPr>
            <w:r/>
            <w:r>
              <w:rPr>
                <w:rFonts w:ascii="Aptos" w:hAnsi="Aptos" w:eastAsia="Aptos"/>
                <w:b/>
                <w:color w:val="FFFFFF"/>
                <w:sz w:val="19"/>
              </w:rPr>
              <w:t>Student Response</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Selected dataset and source</w:t>
            </w:r>
          </w:p>
        </w:tc>
        <w:tc>
          <w:tcPr>
            <w:tcW w:type="dxa" w:w="5783"/>
            <w:vAlign w:val="center"/>
            <w:tcMar>
              <w:top w:w="90" w:type="dxa"/>
              <w:start w:w="100" w:type="dxa"/>
              <w:bottom w:w="90" w:type="dxa"/>
              <w:end w:w="100" w:type="dxa"/>
            </w:tcMar>
          </w:tcPr>
          <w:p>
            <w:r>
              <w:t>Kaggle — "Medical Appointment No Shows" by Joni Hoppen (https://www.kaggle.com/datasets/joniarroba/noshowappointments). Public dataset, CC0/open license, ~110,527 appointment records from public clinics in Vitoria, Espirito Santo, Brazil (2016). 14 columns, no missing values reported.</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What does one record / sample represent?</w:t>
            </w:r>
          </w:p>
        </w:tc>
        <w:tc>
          <w:tcPr>
            <w:tcW w:type="dxa" w:w="5783"/>
            <w:vAlign w:val="center"/>
            <w:tcMar>
              <w:top w:w="90" w:type="dxa"/>
              <w:start w:w="100" w:type="dxa"/>
              <w:bottom w:w="90" w:type="dxa"/>
              <w:end w:w="100" w:type="dxa"/>
            </w:tcMar>
          </w:tcPr>
          <w:p>
            <w:r>
              <w:t>One record = one scheduled medical appointment for a patient, with the patient's demographic/administrative attributes, appointment metadata (scheduled date, appointment date, neighbourhood), select health flags (hypertension, diabetes, alcoholism, handicap, welfare scholarship), whether an SMS reminder was sent, and whether the patient ultimately showed up.</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Proposed target or ML objective</w:t>
            </w:r>
          </w:p>
        </w:tc>
        <w:tc>
          <w:tcPr>
            <w:tcW w:type="dxa" w:w="5783"/>
            <w:vAlign w:val="center"/>
            <w:tcMar>
              <w:top w:w="90" w:type="dxa"/>
              <w:start w:w="100" w:type="dxa"/>
              <w:bottom w:w="90" w:type="dxa"/>
              <w:end w:w="100" w:type="dxa"/>
            </w:tcMar>
          </w:tcPr>
          <w:p>
            <w:r>
              <w:t>Binary classification target derived from the 'No-show' column: 1 = patient did NOT attend the appointment (no-show), 0 = patient attended. ML objective: estimate P(no-show) for a scheduled appointment using only information known before the appointment occurs, output as a probability/risk score for prioritizing reminders.</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Key information available at prediction / inference time</w:t>
            </w:r>
          </w:p>
        </w:tc>
        <w:tc>
          <w:tcPr>
            <w:tcW w:type="dxa" w:w="5783"/>
            <w:vAlign w:val="center"/>
            <w:tcMar>
              <w:top w:w="90" w:type="dxa"/>
              <w:start w:w="100" w:type="dxa"/>
              <w:bottom w:w="90" w:type="dxa"/>
              <w:end w:w="100" w:type="dxa"/>
            </w:tcMar>
          </w:tcPr>
          <w:p>
            <w:r>
              <w:t>Available pre-appointment: Gender, Age, Neighbourhood, Scholarship, Hipertension, Diabetes, Alcoholism, Handcap, SMS_received, ScheduledDay, AppointmentDay, and derived features such as lead time (AppointmentDay - ScheduledDay), day-of-week of appointment, and patient appointment history (past no-show rate) computed strictly from prior appointments only.</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Main data quality issues</w:t>
            </w:r>
          </w:p>
        </w:tc>
        <w:tc>
          <w:tcPr>
            <w:tcW w:type="dxa" w:w="5783"/>
            <w:vAlign w:val="center"/>
            <w:tcMar>
              <w:top w:w="90" w:type="dxa"/>
              <w:start w:w="100" w:type="dxa"/>
              <w:bottom w:w="90" w:type="dxa"/>
              <w:end w:w="100" w:type="dxa"/>
            </w:tcMar>
          </w:tcPr>
          <w:p>
            <w:r>
              <w:t>Known issues to audit and handle: a small number of negative/zero and unrealistic Age values (e.g., -1, 0, 115+); AppointmentID is unique per row but PatientId repeats (~62k unique patients across ~110k appointments, so records are not fully independent); some ScheduledDay timestamps occur after the AppointmentDay date (logically invalid, needs cleaning/removal); inconsistent column naming (Hipertension, Handcap, No-show) to standardize; class imbalance (~20% no-show vs ~80% show).</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Potential leakage risks</w:t>
            </w:r>
          </w:p>
        </w:tc>
        <w:tc>
          <w:tcPr>
            <w:tcW w:type="dxa" w:w="5783"/>
            <w:vAlign w:val="center"/>
            <w:tcMar>
              <w:top w:w="90" w:type="dxa"/>
              <w:start w:w="100" w:type="dxa"/>
              <w:bottom w:w="90" w:type="dxa"/>
              <w:end w:w="100" w:type="dxa"/>
            </w:tcMar>
          </w:tcPr>
          <w:p>
            <w:r>
              <w:t>Main leakage risk: SMS_received can be sent at various times relative to the appointment and its timing relative to prediction time must be checked; using AppointmentID/PatientId as a feature; computing patient no-show history using future appointments (must only use appointments strictly before the one being predicted); and any post-appointment information accidentally included through the split when the same patient appears in both train and test sets.</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Privacy / fairness / licensing concerns</w:t>
            </w:r>
          </w:p>
        </w:tc>
        <w:tc>
          <w:tcPr>
            <w:tcW w:type="dxa" w:w="5783"/>
            <w:vAlign w:val="center"/>
            <w:tcMar>
              <w:top w:w="90" w:type="dxa"/>
              <w:start w:w="100" w:type="dxa"/>
              <w:bottom w:w="90" w:type="dxa"/>
              <w:end w:w="100" w:type="dxa"/>
            </w:tcMar>
          </w:tcPr>
          <w:p>
            <w:r>
              <w:t>Data is de-identified/pseudonymous (numeric PatientId, no names) and publicly released for research/education, so no direct privacy violation, but Neighbourhood and welfare Scholarship status are socioeconomic proxies that could introduce fairness concerns (e.g., systematically higher predicted risk for lower-income neighbourhoods). The model will be documented as a decision-support/prioritization tool only, not a clinical or punitive decision-maker, and neighbourhood-level performance will be checked for disparities.</w:t>
            </w:r>
          </w:p>
        </w:tc>
      </w:tr>
    </w:tbl>
    <w:p>
      <w:pPr>
        <w:pStyle w:val="Heading1"/>
        <w:keepNext/>
      </w:pPr>
      <w:r>
        <w:t>6. Technical Proposal — Complete Before Full Implementation</w:t>
      </w:r>
    </w:p>
    <w:tbl>
      <w:tblPr>
        <w:tblStyle w:val="TableGrid"/>
        <w:tblW w:type="auto" w:w="0"/>
        <w:jc w:val="center"/>
        <w:tblLook w:firstColumn="1" w:firstRow="1" w:lastColumn="0" w:lastRow="0" w:noHBand="0" w:noVBand="1" w:val="04A0"/>
      </w:tblPr>
      <w:tblGrid>
        <w:gridCol w:w="5100"/>
        <w:gridCol w:w="5100"/>
      </w:tblGrid>
      <w:tr>
        <w:tc>
          <w:tcPr>
            <w:tcW w:type="dxa" w:w="3515"/>
            <w:vAlign w:val="center"/>
            <w:tcMar>
              <w:top w:w="90" w:type="dxa"/>
              <w:start w:w="100" w:type="dxa"/>
              <w:bottom w:w="90" w:type="dxa"/>
              <w:end w:w="100" w:type="dxa"/>
            </w:tcMar>
            <w:shd w:fill="2F75B5"/>
          </w:tcPr>
          <w:p>
            <w:pPr>
              <w:jc w:val="left"/>
            </w:pPr>
            <w:r/>
            <w:r>
              <w:rPr>
                <w:rFonts w:ascii="Aptos" w:hAnsi="Aptos" w:eastAsia="Aptos"/>
                <w:b/>
                <w:color w:val="FFFFFF"/>
                <w:sz w:val="19"/>
              </w:rPr>
              <w:t>Decision / Question</w:t>
            </w:r>
          </w:p>
        </w:tc>
        <w:tc>
          <w:tcPr>
            <w:tcW w:type="dxa" w:w="5783"/>
            <w:vAlign w:val="center"/>
            <w:tcMar>
              <w:top w:w="90" w:type="dxa"/>
              <w:start w:w="100" w:type="dxa"/>
              <w:bottom w:w="90" w:type="dxa"/>
              <w:end w:w="100" w:type="dxa"/>
            </w:tcMar>
            <w:shd w:fill="2F75B5"/>
          </w:tcPr>
          <w:p>
            <w:pPr>
              <w:jc w:val="left"/>
            </w:pPr>
            <w:r/>
            <w:r>
              <w:rPr>
                <w:rFonts w:ascii="Aptos" w:hAnsi="Aptos" w:eastAsia="Aptos"/>
                <w:b/>
                <w:color w:val="FFFFFF"/>
                <w:sz w:val="19"/>
              </w:rPr>
              <w:t>Student Response</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ML problem formulation</w:t>
            </w:r>
          </w:p>
        </w:tc>
        <w:tc>
          <w:tcPr>
            <w:tcW w:type="dxa" w:w="5783"/>
            <w:vAlign w:val="center"/>
            <w:tcMar>
              <w:top w:w="90" w:type="dxa"/>
              <w:start w:w="100" w:type="dxa"/>
              <w:bottom w:w="90" w:type="dxa"/>
              <w:end w:w="100" w:type="dxa"/>
            </w:tcMar>
          </w:tcPr>
          <w:p>
            <w:r>
              <w:t>Supervised binary classification. Input: pre-appointment features for one scheduled appointment. Output: probability that the patient will not show up. Decision layer: probability is bucketed into Low/Medium/High risk tiers using thresholds chosen from validation-set precision/recall trade-offs.</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Proposed baseline</w:t>
            </w:r>
          </w:p>
        </w:tc>
        <w:tc>
          <w:tcPr>
            <w:tcW w:type="dxa" w:w="5783"/>
            <w:vAlign w:val="center"/>
            <w:tcMar>
              <w:top w:w="90" w:type="dxa"/>
              <w:start w:w="100" w:type="dxa"/>
              <w:bottom w:w="90" w:type="dxa"/>
              <w:end w:w="100" w:type="dxa"/>
            </w:tcMar>
          </w:tcPr>
          <w:p>
            <w:r>
              <w:t>Naive baseline: majority-class predictor (always predict 'show', reflecting the ~80% base rate) to establish a floor. Simple-model baseline: Logistic Regression on cleaned features with basic preprocessing (scaling + one-hot encoding), used as the reference every later model must beat.</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Main modeling approach(es) to investigate</w:t>
            </w:r>
          </w:p>
        </w:tc>
        <w:tc>
          <w:tcPr>
            <w:tcW w:type="dxa" w:w="5783"/>
            <w:vAlign w:val="center"/>
            <w:tcMar>
              <w:top w:w="90" w:type="dxa"/>
              <w:start w:w="100" w:type="dxa"/>
              <w:bottom w:w="90" w:type="dxa"/>
              <w:end w:w="100" w:type="dxa"/>
            </w:tcMar>
          </w:tcPr>
          <w:p>
            <w:r>
              <w:t>At least two meaningful approaches beyond the baseline will be trained and compared: (1) Logistic Regression with engineered features (lead time, day-of-week, prior no-show rate) as a stronger interpretable model, and (2) a tree-based ensemble (Random Forest or Gradient Boosting/XGBoost) to capture non-linear interactions. Class weighting or resampling (e.g., class_weight='balanced') will be tested to address the ~20/80 imbalance.</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Data splitting / validation strategy</w:t>
            </w:r>
          </w:p>
        </w:tc>
        <w:tc>
          <w:tcPr>
            <w:tcW w:type="dxa" w:w="5783"/>
            <w:vAlign w:val="center"/>
            <w:tcMar>
              <w:top w:w="90" w:type="dxa"/>
              <w:start w:w="100" w:type="dxa"/>
              <w:bottom w:w="90" w:type="dxa"/>
              <w:end w:w="100" w:type="dxa"/>
            </w:tcMar>
          </w:tcPr>
          <w:p>
            <w:r>
              <w:t>Stratified train/validation/test split (e.g., 70/15/15) stratified on the No-show target to preserve class balance. Because ~62k unique patients generate ~110k appointments, the split will be patient-grouped (GroupShuffleSplit on PatientId) so the same patient's appointments do not appear in both train and test, preventing leakage through repeated patients. The test set is held out and untouched until final evaluation.</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Primary evaluation metric(s) and why</w:t>
            </w:r>
          </w:p>
        </w:tc>
        <w:tc>
          <w:tcPr>
            <w:tcW w:type="dxa" w:w="5783"/>
            <w:vAlign w:val="center"/>
            <w:tcMar>
              <w:top w:w="90" w:type="dxa"/>
              <w:start w:w="100" w:type="dxa"/>
              <w:bottom w:w="90" w:type="dxa"/>
              <w:end w:w="100" w:type="dxa"/>
            </w:tcMar>
          </w:tcPr>
          <w:p>
            <w:r>
              <w:t>Primary metric: F1-score (harmonic mean of precision and recall) on the no-show class, since the client stated missed no-shows and unnecessary reminder flags are roughly equally costly, so neither precision nor recall alone should be optimized in isolation. Supporting metrics: PR-AUC (informative under class imbalance), ROC-AUC, and a full confusion matrix to inspect the precision/recall trade-off at the chosen decision threshold.</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Expected inference input</w:t>
            </w:r>
          </w:p>
        </w:tc>
        <w:tc>
          <w:tcPr>
            <w:tcW w:type="dxa" w:w="5783"/>
            <w:vAlign w:val="center"/>
            <w:tcMar>
              <w:top w:w="90" w:type="dxa"/>
              <w:start w:w="100" w:type="dxa"/>
              <w:bottom w:w="90" w:type="dxa"/>
              <w:end w:w="100" w:type="dxa"/>
            </w:tcMar>
          </w:tcPr>
          <w:p>
            <w:r>
              <w:t>A JSON/form-style record for one new scheduled appointment: Gender, Age, Neighbourhood, Scholarship, Hipertension, Diabetes, Alcoholism, Handcap, SMS_received (if already known), ScheduledDay, AppointmentDay (or lead time directly), and optionally the patient's prior appointment history if available.</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Expected inference output</w:t>
            </w:r>
          </w:p>
        </w:tc>
        <w:tc>
          <w:tcPr>
            <w:tcW w:type="dxa" w:w="5783"/>
            <w:vAlign w:val="center"/>
            <w:tcMar>
              <w:top w:w="90" w:type="dxa"/>
              <w:start w:w="100" w:type="dxa"/>
              <w:bottom w:w="90" w:type="dxa"/>
              <w:end w:w="100" w:type="dxa"/>
            </w:tcMar>
          </w:tcPr>
          <w:p>
            <w:r>
              <w:t>A no-show risk probability (0-100%) plus a categorical risk tier (Low / Medium / High) derived from validation-tuned thresholds, displayed visually (e.g., a risk gauge/bar for a single appointment, and a sortable risk table/bar chart for a batch of upcoming appointments) so clinic staff can prioritize confirmation calls or reminders.</w:t>
            </w:r>
          </w:p>
        </w:tc>
      </w:tr>
      <w:tr>
        <w:tc>
          <w:tcPr>
            <w:tcW w:type="dxa" w:w="3515"/>
            <w:vAlign w:val="center"/>
            <w:tcMar>
              <w:top w:w="90" w:type="dxa"/>
              <w:start w:w="100" w:type="dxa"/>
              <w:bottom w:w="90" w:type="dxa"/>
              <w:end w:w="100" w:type="dxa"/>
            </w:tcMar>
            <w:shd w:fill="DCE6F1"/>
          </w:tcPr>
          <w:p>
            <w:pPr>
              <w:jc w:val="left"/>
            </w:pPr>
            <w:r/>
            <w:r>
              <w:rPr>
                <w:rFonts w:ascii="Aptos" w:hAnsi="Aptos" w:eastAsia="Aptos"/>
                <w:b/>
                <w:color w:val="183153"/>
                <w:sz w:val="19"/>
              </w:rPr>
              <w:t>Main technical risks / assumptions</w:t>
            </w:r>
          </w:p>
        </w:tc>
        <w:tc>
          <w:tcPr>
            <w:tcW w:type="dxa" w:w="5783"/>
            <w:vAlign w:val="center"/>
            <w:tcMar>
              <w:top w:w="90" w:type="dxa"/>
              <w:start w:w="100" w:type="dxa"/>
              <w:bottom w:w="90" w:type="dxa"/>
              <w:end w:w="100" w:type="dxa"/>
            </w:tcMar>
          </w:tcPr>
          <w:p>
            <w:r>
              <w:t>Risks/assumptions: (1) the dataset is from a single Brazilian city in 2016, so generalization to other clinics/regions is not guaranteed and will be stated as a limitation; (2) SMS_received timing relative to the appointment needs verification to avoid leakage; (3) repeated patients across appointments require group-aware splitting; (4) class imbalance requires threshold tuning rather than relying on default 0.5 cutoff or accuracy; (5) the model is a prioritization aid only and requires human review before any operational action, consistent with the brief's constraint against clinical decision-making.</w:t>
            </w:r>
          </w:p>
        </w:tc>
      </w:tr>
    </w:tbl>
    <w:p>
      <w:pPr>
        <w:pStyle w:val="Heading1"/>
        <w:keepNext/>
      </w:pPr>
      <w:r>
        <w:t>7. Functional Requirements</w:t>
      </w:r>
    </w:p>
    <w:p>
      <w:pPr>
        <w:pStyle w:val="ListBullet"/>
        <w:spacing w:after="30"/>
        <w:ind w:left="369" w:hanging="142"/>
      </w:pPr>
      <w:r>
        <w:t>The solution must accept information about a new scheduled appointment.</w:t>
      </w:r>
    </w:p>
    <w:p>
      <w:pPr>
        <w:pStyle w:val="ListBullet"/>
        <w:spacing w:after="30"/>
        <w:ind w:left="369" w:hanging="142"/>
      </w:pPr>
      <w:r>
        <w:t>The prediction must use only information available before the appointment occurs.</w:t>
      </w:r>
    </w:p>
    <w:p>
      <w:pPr>
        <w:pStyle w:val="ListBullet"/>
        <w:spacing w:after="30"/>
        <w:ind w:left="369" w:hanging="142"/>
      </w:pPr>
      <w:r>
        <w:t>The output must communicate no-show risk in a form that can support an operational decision.</w:t>
      </w:r>
    </w:p>
    <w:p>
      <w:pPr>
        <w:pStyle w:val="ListBullet"/>
        <w:spacing w:after="30"/>
        <w:ind w:left="369" w:hanging="142"/>
      </w:pPr>
      <w:r>
        <w:t>Invalid or incomplete inputs must be handled appropriately.</w:t>
      </w:r>
    </w:p>
    <w:p>
      <w:pPr>
        <w:pStyle w:val="ListBullet"/>
        <w:spacing w:after="30"/>
        <w:ind w:left="369" w:hanging="142"/>
      </w:pPr>
      <w:r>
        <w:t>The solution must not make clinical decisions or automatically cancel appointments.</w:t>
      </w:r>
    </w:p>
    <w:p>
      <w:pPr>
        <w:pStyle w:val="Heading1"/>
        <w:keepNext/>
      </w:pPr>
      <w:r>
        <w:t>8. Expected Deliverables</w:t>
      </w:r>
    </w:p>
    <w:p>
      <w:pPr>
        <w:pStyle w:val="ListBullet"/>
        <w:spacing w:after="30"/>
        <w:ind w:left="369" w:hanging="142"/>
      </w:pPr>
      <w:r>
        <w:t>A working ML solution that addresses the requested business problem.</w:t>
      </w:r>
    </w:p>
    <w:p>
      <w:pPr>
        <w:pStyle w:val="ListBullet"/>
        <w:spacing w:after="30"/>
        <w:ind w:left="369" w:hanging="142"/>
      </w:pPr>
      <w:r>
        <w:t>A trained model or ML pipeline with documented methodology.</w:t>
      </w:r>
    </w:p>
    <w:p>
      <w:pPr>
        <w:pStyle w:val="ListBullet"/>
        <w:spacing w:after="30"/>
        <w:ind w:left="369" w:hanging="142"/>
      </w:pPr>
      <w:r>
        <w:t>Documented dataset source, assumptions and important preprocessing decisions.</w:t>
      </w:r>
    </w:p>
    <w:p>
      <w:pPr>
        <w:pStyle w:val="ListBullet"/>
        <w:spacing w:after="30"/>
        <w:ind w:left="369" w:hanging="142"/>
      </w:pPr>
      <w:r>
        <w:t>Evaluation results on appropriate unseen/held-out data.</w:t>
      </w:r>
    </w:p>
    <w:p>
      <w:pPr>
        <w:pStyle w:val="ListBullet"/>
        <w:spacing w:after="30"/>
        <w:ind w:left="369" w:hanging="142"/>
      </w:pPr>
      <w:r>
        <w:t>A usable inference interface or service appropriate to the project.</w:t>
      </w:r>
    </w:p>
    <w:p>
      <w:pPr>
        <w:pStyle w:val="ListBullet"/>
        <w:spacing w:after="30"/>
        <w:ind w:left="369" w:hanging="142"/>
      </w:pPr>
      <w:r>
        <w:t>A reproducible repository with clear run instructions.</w:t>
      </w:r>
    </w:p>
    <w:p>
      <w:pPr>
        <w:pStyle w:val="ListBullet"/>
        <w:spacing w:after="30"/>
        <w:ind w:left="369" w:hanging="142"/>
      </w:pPr>
      <w:r>
        <w:t>A concise statement of limitations, risks and recommended next steps.</w:t>
      </w:r>
    </w:p>
    <w:p>
      <w:r>
        <w:rPr>
          <w:b/>
        </w:rPr>
        <w:t xml:space="preserve">Note: </w:t>
      </w:r>
      <w:r>
        <w:t>General capstone requirements for experiment tracking, API/deployment, Docker, documentation and grading are defined in the official Capstone Evaluation Criteria and Helper documents.</w:t>
      </w:r>
    </w:p>
    <w:p>
      <w:pPr>
        <w:pStyle w:val="Heading1"/>
        <w:keepNext/>
      </w:pPr>
      <w:r>
        <w:t>9. Acceptance Criteria</w:t>
      </w:r>
    </w:p>
    <w:p>
      <w:pPr>
        <w:pStyle w:val="ListBullet"/>
        <w:spacing w:after="30"/>
        <w:ind w:left="369" w:hanging="142"/>
      </w:pPr>
      <w:r>
        <w:t>The solution can process previously unseen input in the intended project format.</w:t>
      </w:r>
    </w:p>
    <w:p>
      <w:pPr>
        <w:pStyle w:val="ListBullet"/>
        <w:spacing w:after="30"/>
        <w:ind w:left="369" w:hanging="142"/>
      </w:pPr>
      <w:r>
        <w:t>The output is meaningful for the client use case described in this brief.</w:t>
      </w:r>
    </w:p>
    <w:p>
      <w:pPr>
        <w:pStyle w:val="ListBullet"/>
        <w:spacing w:after="30"/>
        <w:ind w:left="369" w:hanging="142"/>
      </w:pPr>
      <w:r>
        <w:t>The methodology and evaluation can be explained and defended.</w:t>
      </w:r>
    </w:p>
    <w:p>
      <w:pPr>
        <w:pStyle w:val="ListBullet"/>
        <w:spacing w:after="30"/>
        <w:ind w:left="369" w:hanging="142"/>
      </w:pPr>
      <w:r>
        <w:t>The prediction/analysis process is reproducible from the submitted repository.</w:t>
      </w:r>
    </w:p>
    <w:p>
      <w:pPr>
        <w:pStyle w:val="ListBullet"/>
        <w:spacing w:after="30"/>
        <w:ind w:left="369" w:hanging="142"/>
      </w:pPr>
      <w:r>
        <w:t>Known limitations, risks and important assumptions are documented.</w:t>
      </w:r>
    </w:p>
    <w:p>
      <w:pPr>
        <w:pStyle w:val="ListBullet"/>
        <w:spacing w:after="30"/>
        <w:ind w:left="369" w:hanging="142"/>
      </w:pPr>
      <w:r>
        <w:t>The implementation can be run according to its documentation.</w:t>
      </w:r>
    </w:p>
    <w:p>
      <w:pPr>
        <w:pStyle w:val="Heading1"/>
        <w:keepNext/>
      </w:pPr>
      <w:r>
        <w:t>10. Constraints</w:t>
      </w:r>
    </w:p>
    <w:tbl>
      <w:tblPr>
        <w:tblStyle w:val="TableGrid"/>
        <w:tblW w:type="auto" w:w="0"/>
        <w:jc w:val="center"/>
        <w:tblLook w:firstColumn="1" w:firstRow="1" w:lastColumn="0" w:lastRow="0" w:noHBand="0" w:noVBand="1" w:val="04A0"/>
      </w:tblPr>
      <w:tblGrid>
        <w:gridCol w:w="5100"/>
        <w:gridCol w:w="5100"/>
      </w:tblGrid>
      <w:tr>
        <w:tc>
          <w:tcPr>
            <w:tcW w:type="dxa" w:w="4649"/>
            <w:vAlign w:val="center"/>
            <w:tcMar>
              <w:top w:w="90" w:type="dxa"/>
              <w:start w:w="100" w:type="dxa"/>
              <w:bottom w:w="90" w:type="dxa"/>
              <w:end w:w="100" w:type="dxa"/>
            </w:tcMar>
            <w:shd w:fill="70AD47"/>
          </w:tcPr>
          <w:p>
            <w:pPr>
              <w:jc w:val="center"/>
            </w:pPr>
            <w:r/>
            <w:r>
              <w:rPr>
                <w:rFonts w:ascii="Aptos" w:hAnsi="Aptos" w:eastAsia="Aptos"/>
                <w:b/>
                <w:color w:val="FFFFFF"/>
                <w:sz w:val="19"/>
              </w:rPr>
              <w:t>IN SCOPE</w:t>
            </w:r>
          </w:p>
        </w:tc>
        <w:tc>
          <w:tcPr>
            <w:tcW w:type="dxa" w:w="4649"/>
            <w:vAlign w:val="center"/>
            <w:tcMar>
              <w:top w:w="90" w:type="dxa"/>
              <w:start w:w="100" w:type="dxa"/>
              <w:bottom w:w="90" w:type="dxa"/>
              <w:end w:w="100" w:type="dxa"/>
            </w:tcMar>
            <w:shd w:fill="C55A11"/>
          </w:tcPr>
          <w:p>
            <w:pPr>
              <w:jc w:val="center"/>
            </w:pPr>
            <w:r/>
            <w:r>
              <w:rPr>
                <w:rFonts w:ascii="Aptos" w:hAnsi="Aptos" w:eastAsia="Aptos"/>
                <w:b/>
                <w:color w:val="FFFFFF"/>
                <w:sz w:val="19"/>
              </w:rPr>
              <w:t>OUT OF SCOPE</w:t>
            </w:r>
          </w:p>
        </w:tc>
      </w:tr>
      <w:tr>
        <w:tc>
          <w:tcPr>
            <w:tcW w:type="dxa" w:w="4649"/>
            <w:vAlign w:val="center"/>
            <w:tcMar>
              <w:top w:w="90" w:type="dxa"/>
              <w:start w:w="100" w:type="dxa"/>
              <w:bottom w:w="90" w:type="dxa"/>
              <w:end w:w="100" w:type="dxa"/>
            </w:tcMar>
          </w:tcPr>
          <w:p>
            <w:pPr>
              <w:jc w:val="left"/>
            </w:pPr>
            <w:r/>
            <w:r>
              <w:rPr>
                <w:rFonts w:ascii="Aptos" w:hAnsi="Aptos" w:eastAsia="Aptos"/>
                <w:b w:val="0"/>
                <w:sz w:val="19"/>
              </w:rPr>
              <w:t>• Prototype ML solution</w:t>
            </w:r>
          </w:p>
        </w:tc>
        <w:tc>
          <w:tcPr>
            <w:tcW w:type="dxa" w:w="4649"/>
            <w:vAlign w:val="center"/>
            <w:tcMar>
              <w:top w:w="90" w:type="dxa"/>
              <w:start w:w="100" w:type="dxa"/>
              <w:bottom w:w="90" w:type="dxa"/>
              <w:end w:w="100" w:type="dxa"/>
            </w:tcMar>
          </w:tcPr>
          <w:p>
            <w:pPr>
              <w:jc w:val="left"/>
            </w:pPr>
            <w:r/>
            <w:r>
              <w:rPr>
                <w:rFonts w:ascii="Aptos" w:hAnsi="Aptos" w:eastAsia="Aptos"/>
                <w:b w:val="0"/>
                <w:sz w:val="19"/>
              </w:rPr>
              <w:t>• Direct production integration</w:t>
            </w:r>
          </w:p>
        </w:tc>
      </w:tr>
      <w:tr>
        <w:tc>
          <w:tcPr>
            <w:tcW w:type="dxa" w:w="4649"/>
            <w:vAlign w:val="center"/>
            <w:tcMar>
              <w:top w:w="90" w:type="dxa"/>
              <w:start w:w="100" w:type="dxa"/>
              <w:bottom w:w="90" w:type="dxa"/>
              <w:end w:w="100" w:type="dxa"/>
            </w:tcMar>
          </w:tcPr>
          <w:p>
            <w:pPr>
              <w:jc w:val="left"/>
            </w:pPr>
            <w:r/>
            <w:r>
              <w:rPr>
                <w:rFonts w:ascii="Aptos" w:hAnsi="Aptos" w:eastAsia="Aptos"/>
                <w:b w:val="0"/>
                <w:sz w:val="19"/>
              </w:rPr>
              <w:t>• Public / legally usable data</w:t>
            </w:r>
          </w:p>
        </w:tc>
        <w:tc>
          <w:tcPr>
            <w:tcW w:type="dxa" w:w="4649"/>
            <w:vAlign w:val="center"/>
            <w:tcMar>
              <w:top w:w="90" w:type="dxa"/>
              <w:start w:w="100" w:type="dxa"/>
              <w:bottom w:w="90" w:type="dxa"/>
              <w:end w:w="100" w:type="dxa"/>
            </w:tcMar>
          </w:tcPr>
          <w:p>
            <w:pPr>
              <w:jc w:val="left"/>
            </w:pPr>
            <w:r/>
            <w:r>
              <w:rPr>
                <w:rFonts w:ascii="Aptos" w:hAnsi="Aptos" w:eastAsia="Aptos"/>
                <w:b w:val="0"/>
                <w:sz w:val="19"/>
              </w:rPr>
              <w:t>• Use of unauthorized private data</w:t>
            </w:r>
          </w:p>
        </w:tc>
      </w:tr>
      <w:tr>
        <w:tc>
          <w:tcPr>
            <w:tcW w:type="dxa" w:w="4649"/>
            <w:vAlign w:val="center"/>
            <w:tcMar>
              <w:top w:w="90" w:type="dxa"/>
              <w:start w:w="100" w:type="dxa"/>
              <w:bottom w:w="90" w:type="dxa"/>
              <w:end w:w="100" w:type="dxa"/>
            </w:tcMar>
          </w:tcPr>
          <w:p>
            <w:pPr>
              <w:jc w:val="left"/>
            </w:pPr>
            <w:r/>
            <w:r>
              <w:rPr>
                <w:rFonts w:ascii="Aptos" w:hAnsi="Aptos" w:eastAsia="Aptos"/>
                <w:b w:val="0"/>
                <w:sz w:val="19"/>
              </w:rPr>
              <w:t>• Reproducible inference workflow</w:t>
            </w:r>
          </w:p>
        </w:tc>
        <w:tc>
          <w:tcPr>
            <w:tcW w:type="dxa" w:w="4649"/>
            <w:vAlign w:val="center"/>
            <w:tcMar>
              <w:top w:w="90" w:type="dxa"/>
              <w:start w:w="100" w:type="dxa"/>
              <w:bottom w:w="90" w:type="dxa"/>
              <w:end w:w="100" w:type="dxa"/>
            </w:tcMar>
          </w:tcPr>
          <w:p>
            <w:pPr>
              <w:jc w:val="left"/>
            </w:pPr>
            <w:r/>
            <w:r>
              <w:rPr>
                <w:rFonts w:ascii="Aptos" w:hAnsi="Aptos" w:eastAsia="Aptos"/>
                <w:b w:val="0"/>
                <w:sz w:val="19"/>
              </w:rPr>
              <w:t>• Enterprise-scale infrastructure</w:t>
            </w:r>
          </w:p>
        </w:tc>
      </w:tr>
      <w:tr>
        <w:tc>
          <w:tcPr>
            <w:tcW w:type="dxa" w:w="4649"/>
            <w:vAlign w:val="center"/>
            <w:tcMar>
              <w:top w:w="90" w:type="dxa"/>
              <w:start w:w="100" w:type="dxa"/>
              <w:bottom w:w="90" w:type="dxa"/>
              <w:end w:w="100" w:type="dxa"/>
            </w:tcMar>
          </w:tcPr>
          <w:p>
            <w:pPr>
              <w:jc w:val="left"/>
            </w:pPr>
            <w:r/>
            <w:r>
              <w:rPr>
                <w:rFonts w:ascii="Aptos" w:hAnsi="Aptos" w:eastAsia="Aptos"/>
                <w:b w:val="0"/>
                <w:sz w:val="19"/>
              </w:rPr>
              <w:t>• Reasonable student-scale deployment</w:t>
            </w:r>
          </w:p>
        </w:tc>
        <w:tc>
          <w:tcPr>
            <w:tcW w:type="dxa" w:w="4649"/>
            <w:vAlign w:val="center"/>
            <w:tcMar>
              <w:top w:w="90" w:type="dxa"/>
              <w:start w:w="100" w:type="dxa"/>
              <w:bottom w:w="90" w:type="dxa"/>
              <w:end w:w="100" w:type="dxa"/>
            </w:tcMar>
          </w:tcPr>
          <w:p>
            <w:pPr>
              <w:jc w:val="left"/>
            </w:pPr>
            <w:r/>
            <w:r>
              <w:rPr>
                <w:rFonts w:ascii="Aptos" w:hAnsi="Aptos" w:eastAsia="Aptos"/>
                <w:b w:val="0"/>
                <w:sz w:val="19"/>
              </w:rPr>
              <w:t>• Claims beyond what the model can validly support</w:t>
            </w:r>
          </w:p>
        </w:tc>
      </w:tr>
    </w:tbl>
    <w:p>
      <w:pPr>
        <w:pStyle w:val="Heading1"/>
        <w:keepNext/>
      </w:pPr>
      <w:r>
        <w:t>11. Questions You Must Resolve</w:t>
      </w:r>
    </w:p>
    <w:p>
      <w:pPr>
        <w:pStyle w:val="ListNumber"/>
        <w:spacing w:after="40"/>
      </w:pPr>
      <w:r>
        <w:t>How will you define a no-show in your selected dataset?</w:t>
      </w:r>
    </w:p>
    <w:p>
      <w:pPr>
        <w:pStyle w:val="ListNumber"/>
        <w:spacing w:after="40"/>
      </w:pPr>
      <w:r>
        <w:t>Which information is genuinely available at prediction time, and which fields could cause leakage?</w:t>
      </w:r>
    </w:p>
    <w:p>
      <w:pPr>
        <w:pStyle w:val="ListNumber"/>
        <w:spacing w:after="40"/>
      </w:pPr>
      <w:r>
        <w:t>Which error is more costly for the clinic: missing a likely no-show or flagging an attending patient as high risk?</w:t>
      </w:r>
    </w:p>
    <w:p>
      <w:pPr>
        <w:pStyle w:val="ListNumber"/>
        <w:spacing w:after="40"/>
      </w:pPr>
      <w:r>
        <w:t>What output is most useful: class, probability, risk score, or another format?</w:t>
      </w:r>
    </w:p>
    <w:p>
      <w:pPr>
        <w:pStyle w:val="ListNumber"/>
        <w:spacing w:after="40"/>
      </w:pPr>
      <w:r>
        <w:t>How will you choose and justify the evaluation metric and decision threshold?</w:t>
      </w:r>
    </w:p>
    <w:p>
      <w:pPr>
        <w:pStyle w:val="ListNumber"/>
        <w:spacing w:after="40"/>
      </w:pPr>
      <w:r>
        <w:t>Are there groups for which model performance should be checked separately?</w:t>
      </w:r>
    </w:p>
    <w:p>
      <w:pPr>
        <w:pStyle w:val="Heading1"/>
        <w:keepNext/>
      </w:pPr>
      <w:r>
        <w:t>12. Optional Directions</w:t>
      </w:r>
    </w:p>
    <w:p>
      <w:r>
        <w:t>These are optional ideas, not mandatory requirements and not substitutes for missing core deliverables.</w:t>
      </w:r>
    </w:p>
    <w:p>
      <w:pPr>
        <w:pStyle w:val="ListBullet"/>
        <w:spacing w:after="30"/>
        <w:ind w:left="369" w:hanging="142"/>
      </w:pPr>
      <w:r>
        <w:t>Risk-level grouping</w:t>
      </w:r>
    </w:p>
    <w:p>
      <w:pPr>
        <w:pStyle w:val="ListBullet"/>
        <w:spacing w:after="30"/>
        <w:ind w:left="369" w:hanging="142"/>
      </w:pPr>
      <w:r>
        <w:t>Explainability for individual predictions</w:t>
      </w:r>
    </w:p>
    <w:p>
      <w:pPr>
        <w:pStyle w:val="ListBullet"/>
        <w:spacing w:after="30"/>
        <w:ind w:left="369" w:hanging="142"/>
      </w:pPr>
      <w:r>
        <w:t>Probability calibration</w:t>
      </w:r>
    </w:p>
    <w:p>
      <w:pPr>
        <w:pStyle w:val="ListBullet"/>
        <w:spacing w:after="30"/>
        <w:ind w:left="369" w:hanging="142"/>
      </w:pPr>
      <w:r>
        <w:t>Simple operations dashboard</w:t>
      </w:r>
    </w:p>
    <w:sectPr w:rsidR="00FC693F" w:rsidRPr="0006063C" w:rsidSect="00034616">
      <w:footerReference w:type="default" r:id="rId9"/>
      <w:pgSz w:w="12240" w:h="15840"/>
      <w:pgMar w:top="879" w:right="1020" w:bottom="879"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color w:val="595959"/>
        <w:sz w:val="16"/>
      </w:rPr>
      <w:t>MED-01 | Hospital Appointment No-Show Prediction | AI/ML Fundamentals Capstone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eastAsia="Aptos Display"/>
      <w:b/>
      <w:bCs/>
      <w:color w:val="183153"/>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eastAsia="Aptos Display"/>
      <w:b/>
      <w:bCs/>
      <w:color w:val="2F75B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83153"/>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