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promote-inclusive-broadband"/>
      <w:bookmarkEnd w:id="21"/>
      <w:r>
        <w:t xml:space="preserve">Promote Inclusive Broadband</w:t>
      </w:r>
    </w:p>
    <w:p>
      <w:pPr>
        <w:pStyle w:val="Heading1"/>
      </w:pPr>
      <w:bookmarkStart w:id="22" w:name="th-recommendation-of-the-technology-task-force"/>
      <w:bookmarkEnd w:id="22"/>
      <w:r>
        <w:t xml:space="preserve">4th Recommendation of the Technology Task Force</w:t>
      </w:r>
    </w:p>
    <w:p>
      <w:pPr>
        <w:pStyle w:val="Heading1"/>
      </w:pPr>
      <w:bookmarkStart w:id="23" w:name="disability-action-for-hillary"/>
      <w:bookmarkEnd w:id="23"/>
      <w:r>
        <w:t xml:space="preserve">Disability Action for Hillary</w:t>
      </w:r>
    </w:p>
    <w:p>
      <w:pPr>
        <w:pStyle w:val="Heading1"/>
      </w:pPr>
      <w:bookmarkStart w:id="24" w:name="may-13-2016"/>
      <w:bookmarkEnd w:id="24"/>
      <w:r>
        <w:t xml:space="preserve">May 13, 2016</w:t>
      </w:r>
    </w:p>
    <w:p>
      <w:r>
        <w:t xml:space="preserve">There is a growing recognition that for the last 15% of the population who are not online, the reasons and the dynamics of non-use are different from earlier adopters</w:t>
      </w:r>
      <w:r>
        <w:rPr>
          <w:rStyle w:val="FootnoteRef"/>
        </w:rPr>
        <w:footnoteReference w:id="25"/>
      </w:r>
      <w:r>
        <w:t xml:space="preserve">. It’s not only cost – even if it were free, millions still wouldn’t get online. Some of that is inevitable, but much is not. ‘Technological pessimism’ among PWD and seniors is part of it: “I tried this a while ago, and it didn’t work and was embarrassing, so I may not try it again.”</w:t>
      </w:r>
    </w:p>
    <w:p>
      <w:r>
        <w:t xml:space="preserve">In addition, the concept of digital literacy as a barrier is a form blaming the victim. If the last 20% find the most common digital tools too complicated and hard to use, isn’t the tool designer really to blame? Digital literacy should go both ways – providers (and digital literacy programs) must learn more about these last adopters, and change the way they do things.</w:t>
      </w:r>
    </w:p>
    <w:p>
      <w:r>
        <w:t xml:space="preserve">HFA should consider the inclusion of people with disabilities as a theme to elaborate the President’s new ConnectALL initiative, or any other broadband program. We recommend the following actions:</w:t>
      </w:r>
    </w:p>
    <w:p>
      <w:pPr>
        <w:numPr>
          <w:numId w:val="1001"/>
          <w:ilvl w:val="0"/>
        </w:numPr>
      </w:pPr>
      <w:r>
        <w:t xml:space="preserve">Development and dissemination of community-based digital literacy &gt; materials that cover accessibility/usability. Train-the-trainer &gt; materials and programs should be similarly modified.</w:t>
      </w:r>
    </w:p>
    <w:p>
      <w:pPr>
        <w:numPr>
          <w:numId w:val="1001"/>
          <w:ilvl w:val="0"/>
        </w:numPr>
      </w:pPr>
      <w:r>
        <w:t xml:space="preserve">Identification of best practices in outreach and engagement of &gt; broadband non-users with disabilities, including working with &gt; advocacy organizations.</w:t>
      </w:r>
    </w:p>
    <w:p>
      <w:pPr>
        <w:numPr>
          <w:numId w:val="1001"/>
          <w:ilvl w:val="0"/>
        </w:numPr>
      </w:pPr>
      <w:r>
        <w:t xml:space="preserve">Identification of people with disabilities as an especially &gt; jeopardized group in communities that do not have broadband &gt; available yet.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id="25">
    <w:p>
      <w:pPr>
        <w:pStyle w:val="FootnoteText"/>
      </w:pPr>
      <w:r>
        <w:rPr>
          <w:rStyle w:val="FootnoteRef"/>
        </w:rPr>
        <w:footnoteRef/>
      </w:r>
      <w:r>
        <w:t xml:space="preserve">“Decreasing numbers, increasing problems: Non-users have more barriers to Internet adoption to overcome than ever before” Bianca C. Reisdorf, PhD., Benton Foundation, 2016.</w:t>
      </w:r>
      <w:r>
        <w:t xml:space="preserve"> </w:t>
      </w:r>
      <w:hyperlink r:id="rId26">
        <w:r>
          <w:rPr>
            <w:i/>
            <w:rStyle w:val="Link"/>
          </w:rPr>
          <w:t xml:space="preserve">https://www.benton.org/blog/decreasing-numbers-increasing-problems-non-users-have-more-barriers-internet-adoption-overcome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286a014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e6c9add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6" Target="https://www.benton.org/blog/decreasing-numbers-increasing-problems-non-users-have-more-barriers-internet-adoption-overcom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s://www.benton.org/blog/decreasing-numbers-increasing-problems-non-users-have-more-barriers-internet-adoption-overc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