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Title"/>
        <w:contextualSpacing w:val="0"/>
      </w:pPr>
      <w:bookmarkStart w:colFirst="0" w:colLast="0" w:name="h.ejq7m59fq53o" w:id="0"/>
      <w:bookmarkEnd w:id="0"/>
      <w:r w:rsidDel="00000000" w:rsidR="00000000" w:rsidRPr="00000000">
        <w:rPr>
          <w:rtl w:val="0"/>
        </w:rPr>
        <w:t xml:space="preserve">Inclusive Broadband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V. 2 Jim Tobias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There is a growing recognition that for the last 15% of the population who are not online, the reasons and the dynamics of non-use are different from earlier adopters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rtl w:val="0"/>
        </w:rPr>
        <w:t xml:space="preserve">. It’s not only cost – even if it were free, millions still wouldn’t get online. Some of that is inevitable, but much is not. ‘Technological pessimism’ among PWD and seniors is part of it: “I tried this a while ago, and it didn’t work and was embarrassing, so I may not try it again.”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In addition, the concept of digital literacy as a barrier is a form blaming the victim. If the last 20% find the most common digital tools too complicated and hard to use, isn’t the tool designer really to blame? Digital literacy should go both ways – providers (and digital literacy programs) must learn more about these last adopters, and change the way they do things.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HFA should consider the inclusion of people with disabilities as a theme to elaborate the President’s new ConnectALL initiative, or any other broadband program. We recommend the following actions: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Development and dissemination of</w:t>
      </w:r>
      <w:r w:rsidDel="00000000" w:rsidR="00000000" w:rsidRPr="00000000">
        <w:rPr>
          <w:sz w:val="24"/>
          <w:szCs w:val="24"/>
          <w:rtl w:val="0"/>
        </w:rPr>
        <w:t xml:space="preserve"> community-based digital literacy materials that cover accessibility/usability. Train-the-trainer materials and programs should be similarly modified.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Identification of best practices in outreach and engagement of broadband non-users with disabilities, including working with advocacy organizations.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Identification of people with disabilities as an especially jeopardized group in communities that do not have broadband available yet.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otnote w:id="0"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“Decreasing numbers, increasing problems: Non-users have more barriers to Internet adoption to overcome than ever before” Bianca C. Reisdorf, PhD., Benton Foundation, 2016.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https://www.benton.org/blog/decreasing-numbers-increasing-problems-non-users-have-more-barriers-internet-adoption-overcome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benton.org/blog/decreasing-numbers-increasing-problems-non-users-have-more-barriers-internet-adoption-overcome" TargetMode="External"/></Relationships>
</file>