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0770A"/>
          <w:spacing w:val="60"/>
          <w:sz w:val="20"/>
          <w:szCs w:val="20"/>
        </w:rPr>
        <w:t xml:space="preserve">SPATIAL MATH</w:t>
      </w:r>
    </w:p>
    <w:p>
      <w:pPr>
        <w:spacing w:after="60"/>
      </w:pPr>
      <w:r>
        <w:rPr>
          <w:rFonts w:ascii="Calibri" w:cs="Calibri" w:eastAsia="Calibri" w:hAnsi="Calibri"/>
          <w:b/>
          <w:bCs/>
          <w:color w:val="1A2332"/>
          <w:sz w:val="52"/>
          <w:szCs w:val="52"/>
        </w:rPr>
        <w:t xml:space="preserve">AR Math Interpreter</w:t>
      </w:r>
    </w:p>
    <w:p>
      <w:pPr>
        <w:pBdr>
          <w:bottom w:val="single" w:color="B0770A" w:sz="12" w:space="8"/>
        </w:pBdr>
        <w:spacing w:after="200"/>
      </w:pPr>
      <w:r>
        <w:rPr>
          <w:rFonts w:ascii="Calibri" w:cs="Calibri" w:eastAsia="Calibri" w:hAnsi="Calibri"/>
          <w:color w:val="5A6672"/>
          <w:sz w:val="26"/>
          <w:szCs w:val="26"/>
        </w:rPr>
        <w:t xml:space="preserve">AWS setup guide — starting from nothing</w:t>
      </w:r>
    </w:p>
    <w:p>
      <w:pPr>
        <w:spacing w:after="120" w:line="276"/>
      </w:pPr>
      <w:r>
        <w:rPr>
          <w:rFonts w:ascii="Calibri" w:cs="Calibri" w:eastAsia="Calibri" w:hAnsi="Calibri"/>
          <w:b w:val="false"/>
          <w:bCs w:val="false"/>
          <w:i w:val="false"/>
          <w:iCs w:val="false"/>
          <w:color w:val="242A31"/>
          <w:sz w:val="22"/>
          <w:szCs w:val="22"/>
        </w:rPr>
        <w:t xml:space="preserve">This assumes you have no AWS account and none of the tooling installed. Work through it in order, with the AWS console open in a browser. It is Phase 0 of the roadmap — the part that has to happen before any of the backend code can run.</w:t>
      </w:r>
    </w:p>
    <w:p>
      <w:pPr>
        <w:spacing w:after="120" w:line="276"/>
      </w:pPr>
      <w:r>
        <w:rPr>
          <w:rFonts w:ascii="Calibri" w:cs="Calibri" w:eastAsia="Calibri" w:hAnsi="Calibri"/>
          <w:b w:val="false"/>
          <w:bCs w:val="false"/>
          <w:i w:val="false"/>
          <w:iCs w:val="false"/>
          <w:color w:val="242A31"/>
          <w:sz w:val="22"/>
          <w:szCs w:val="22"/>
        </w:rPr>
        <w:t xml:space="preserve">Budget about two hours, most of which is waiting.</w:t>
      </w:r>
    </w:p>
    <w:p>
      <w:pPr>
        <w:spacing w:after="6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3A6FA5" w:sz="18"/>
              <w:bottom w:val="none" w:color="FFFFFF" w:sz="0"/>
              <w:right w:val="none" w:color="FFFFFF" w:sz="0"/>
            </w:tcBorders>
            <w:shd w:fill="EDF3F9" w:val="clear"/>
            <w:tcMar>
              <w:top w:type="dxa" w:w="130"/>
              <w:left w:type="dxa" w:w="200"/>
              <w:bottom w:type="dxa" w:w="130"/>
              <w:right w:type="dxa" w:w="200"/>
            </w:tcMar>
          </w:tcPr>
          <w:p>
            <w:pPr>
              <w:spacing w:after="60"/>
            </w:pPr>
            <w:r>
              <w:rPr>
                <w:rFonts w:ascii="Calibri" w:cs="Calibri" w:eastAsia="Calibri" w:hAnsi="Calibri"/>
                <w:b/>
                <w:bCs/>
                <w:color w:val="3A6FA5"/>
                <w:spacing w:val="30"/>
                <w:sz w:val="17"/>
                <w:szCs w:val="17"/>
              </w:rPr>
              <w:t xml:space="preserve">WHAT CHANGED RECENTLY</w:t>
            </w:r>
          </w:p>
          <w:p>
            <w:pPr>
              <w:spacing w:after="0" w:line="268"/>
            </w:pPr>
            <w:r>
              <w:rPr>
                <w:rFonts w:ascii="Calibri" w:cs="Calibri" w:eastAsia="Calibri" w:hAnsi="Calibri"/>
                <w:b w:val="false"/>
                <w:bCs w:val="false"/>
                <w:i w:val="false"/>
                <w:iCs w:val="false"/>
                <w:color w:val="2A2F35"/>
                <w:sz w:val="21"/>
                <w:szCs w:val="21"/>
              </w:rPr>
              <w:t xml:space="preserve">AWS has </w:t>
            </w:r>
            <w:r>
              <w:rPr>
                <w:rFonts w:ascii="Calibri" w:cs="Calibri" w:eastAsia="Calibri" w:hAnsi="Calibri"/>
                <w:b/>
                <w:bCs/>
                <w:i w:val="false"/>
                <w:iCs w:val="false"/>
                <w:color w:val="2A2F35"/>
                <w:sz w:val="21"/>
                <w:szCs w:val="21"/>
              </w:rPr>
              <w:t xml:space="preserve">retired the Model access page</w:t>
            </w:r>
            <w:r>
              <w:rPr>
                <w:rFonts w:ascii="Calibri" w:cs="Calibri" w:eastAsia="Calibri" w:hAnsi="Calibri"/>
                <w:b w:val="false"/>
                <w:bCs w:val="false"/>
                <w:i w:val="false"/>
                <w:iCs w:val="false"/>
                <w:color w:val="2A2F35"/>
                <w:sz w:val="21"/>
                <w:szCs w:val="21"/>
              </w:rPr>
              <w:t xml:space="preserve">. Serverless foundation models now enable themselves the first time your account invokes them, so there is no approval to wait for. Step 3 is a ninety-second call in the Bedrock Playground — but do it deliberately, because Anthropic models may still ask a first-time user for use-case details, and meeting that form as a Lambda error later is the slow way to find out.</w:t>
            </w:r>
          </w:p>
        </w:tc>
      </w:tr>
    </w:tbl>
    <w:p>
      <w:pPr>
        <w:spacing w:after="140"/>
      </w:pPr>
    </w:p>
    <w:p>
      <w:pPr>
        <w:pStyle w:val="Heading2"/>
        <w:spacing w:after="90" w:before="260"/>
      </w:pPr>
      <w:r>
        <w:rPr>
          <w:rFonts w:ascii="Calibri" w:cs="Calibri" w:eastAsia="Calibri" w:hAnsi="Calibri"/>
          <w:b/>
          <w:bCs/>
          <w:color w:val="1A2332"/>
          <w:sz w:val="24"/>
          <w:szCs w:val="24"/>
        </w:rPr>
        <w:t xml:space="preserve">At a glance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760"/>
        <w:gridCol w:w="4400"/>
        <w:gridCol w:w="4632"/>
      </w:tblGrid>
      <w:tr>
        <w:trPr>
          <w:tblHeader/>
        </w:trPr>
        <w:tc>
          <w:tcPr>
            <w:tcW w:type="dxa" w:w="760"/>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Step</w:t>
            </w:r>
          </w:p>
        </w:tc>
        <w:tc>
          <w:tcPr>
            <w:tcW w:type="dxa" w:w="4400"/>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What</w:t>
            </w:r>
          </w:p>
        </w:tc>
        <w:tc>
          <w:tcPr>
            <w:tcW w:type="dxa" w:w="4632"/>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Done when</w:t>
            </w:r>
          </w:p>
        </w:tc>
      </w:tr>
      <w:tr>
        <w:tc>
          <w:tcPr>
            <w:tcW w:type="dxa" w:w="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1</w:t>
            </w:r>
          </w:p>
        </w:tc>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Create the AWS account, set a budget alarm, stop using root</w:t>
            </w:r>
          </w:p>
        </w:tc>
        <w:tc>
          <w:tcPr>
            <w:tcW w:type="dxa" w:w="4632"/>
            <w:shd w:fill="FFFFFF"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aws sts get-caller-identity</w:t>
            </w:r>
          </w:p>
          <w:p>
            <w:pPr>
              <w:spacing w:after="0" w:line="264"/>
            </w:pPr>
            <w:r>
              <w:rPr>
                <w:rFonts w:ascii="Calibri" w:cs="Calibri" w:eastAsia="Calibri" w:hAnsi="Calibri"/>
                <w:b w:val="false"/>
                <w:bCs w:val="false"/>
                <w:color w:val="242A31"/>
                <w:sz w:val="19"/>
                <w:szCs w:val="19"/>
              </w:rPr>
              <w:t xml:space="preserve">prints your account id</w:t>
            </w:r>
          </w:p>
        </w:tc>
      </w:tr>
      <w:tr>
        <w:tc>
          <w:tcPr>
            <w:tcW w:type="dxa" w:w="76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2</w:t>
            </w:r>
          </w:p>
        </w:tc>
        <w:tc>
          <w:tcPr>
            <w:tcW w:type="dxa" w:w="440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Install Python, AWS CLI, SAM CLI, Docker, Git</w:t>
            </w:r>
          </w:p>
        </w:tc>
        <w:tc>
          <w:tcPr>
            <w:tcW w:type="dxa" w:w="463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All five report a version</w:t>
            </w:r>
          </w:p>
        </w:tc>
      </w:tr>
      <w:tr>
        <w:tc>
          <w:tcPr>
            <w:tcW w:type="dxa" w:w="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3</w:t>
            </w:r>
          </w:p>
        </w:tc>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Enable the model — send one message in the Bedrock Playground</w:t>
            </w:r>
          </w:p>
        </w:tc>
        <w:tc>
          <w:tcPr>
            <w:tcW w:type="dxa" w:w="463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A Claude model replies to you, in your deploy region</w:t>
            </w:r>
          </w:p>
        </w:tc>
      </w:tr>
      <w:tr>
        <w:tc>
          <w:tcPr>
            <w:tcW w:type="dxa" w:w="76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4</w:t>
            </w:r>
          </w:p>
        </w:tc>
        <w:tc>
          <w:tcPr>
            <w:tcW w:type="dxa" w:w="440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Deploy the stack</w:t>
            </w:r>
          </w:p>
        </w:tc>
        <w:tc>
          <w:tcPr>
            <w:tcW w:type="dxa" w:w="4632"/>
            <w:shd w:fill="F7F9FA"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smoke-test.sh</w:t>
            </w:r>
          </w:p>
          <w:p>
            <w:pPr>
              <w:spacing w:after="0" w:line="264"/>
            </w:pPr>
            <w:r>
              <w:rPr>
                <w:rFonts w:ascii="Calibri" w:cs="Calibri" w:eastAsia="Calibri" w:hAnsi="Calibri"/>
                <w:b w:val="false"/>
                <w:bCs w:val="false"/>
                <w:color w:val="242A31"/>
                <w:sz w:val="19"/>
                <w:szCs w:val="19"/>
              </w:rPr>
              <w:t xml:space="preserve">returns a real explanation</w:t>
            </w:r>
          </w:p>
        </w:tc>
      </w:tr>
      <w:tr>
        <w:tc>
          <w:tcPr>
            <w:tcW w:type="dxa" w:w="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5</w:t>
            </w:r>
          </w:p>
        </w:tc>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Wire up Unity</w:t>
            </w:r>
          </w:p>
        </w:tc>
        <w:tc>
          <w:tcPr>
            <w:tcW w:type="dxa" w:w="463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Right-clicking the surface shows a panel</w:t>
            </w:r>
          </w:p>
        </w:tc>
      </w:tr>
    </w:tbl>
    <w:p>
      <w:pPr>
        <w:spacing w:after="200"/>
      </w:pPr>
    </w:p>
    <w:p>
      <w:pPr>
        <w:pStyle w:val="Heading1"/>
        <w:pBdr>
          <w:bottom w:val="single" w:color="B0770A" w:sz="8" w:space="6"/>
        </w:pBdr>
        <w:spacing w:after="140" w:before="380"/>
      </w:pPr>
      <w:r>
        <w:rPr>
          <w:rFonts w:ascii="Calibri" w:cs="Calibri" w:eastAsia="Calibri" w:hAnsi="Calibri"/>
          <w:b/>
          <w:bCs/>
          <w:color w:val="1A2332"/>
          <w:sz w:val="30"/>
          <w:szCs w:val="30"/>
        </w:rPr>
        <w:t xml:space="preserve">1.  What you actually need to sign up for</w:t>
      </w:r>
    </w:p>
    <w:p>
      <w:pPr>
        <w:spacing w:after="120" w:line="276"/>
      </w:pPr>
      <w:r>
        <w:rPr>
          <w:rFonts w:ascii="Calibri" w:cs="Calibri" w:eastAsia="Calibri" w:hAnsi="Calibri"/>
          <w:b w:val="false"/>
          <w:bCs w:val="false"/>
          <w:i w:val="false"/>
          <w:iCs w:val="false"/>
          <w:color w:val="242A31"/>
          <w:sz w:val="22"/>
          <w:szCs w:val="22"/>
        </w:rPr>
        <w:t xml:space="preserve">Only one account: </w:t>
      </w:r>
      <w:r>
        <w:rPr>
          <w:rFonts w:ascii="Calibri" w:cs="Calibri" w:eastAsia="Calibri" w:hAnsi="Calibri"/>
          <w:b/>
          <w:bCs/>
          <w:i w:val="false"/>
          <w:iCs w:val="false"/>
          <w:color w:val="242A31"/>
          <w:sz w:val="22"/>
          <w:szCs w:val="22"/>
        </w:rPr>
        <w:t xml:space="preserve">AWS</w:t>
      </w:r>
      <w:r>
        <w:rPr>
          <w:rFonts w:ascii="Calibri" w:cs="Calibri" w:eastAsia="Calibri" w:hAnsi="Calibri"/>
          <w:b w:val="false"/>
          <w:bCs w:val="false"/>
          <w:i w:val="false"/>
          <w:iCs w:val="false"/>
          <w:color w:val="242A31"/>
          <w:sz w:val="22"/>
          <w:szCs w:val="22"/>
        </w:rPr>
        <w:t xml:space="preserve">.</w:t>
      </w:r>
    </w:p>
    <w:p>
      <w:pPr>
        <w:spacing w:after="120" w:line="276"/>
      </w:pPr>
      <w:r>
        <w:rPr>
          <w:rFonts w:ascii="Calibri" w:cs="Calibri" w:eastAsia="Calibri" w:hAnsi="Calibri"/>
          <w:b w:val="false"/>
          <w:bCs w:val="false"/>
          <w:i w:val="false"/>
          <w:iCs w:val="false"/>
          <w:color w:val="242A31"/>
          <w:sz w:val="22"/>
          <w:szCs w:val="22"/>
        </w:rPr>
        <w:t xml:space="preserve">That is worth stating plainly, because it is a common point of confusion. Amazon Bedrock is a service inside AWS that hosts Claude. You do not need a separate Anthropic account, an Anthropic API key, or a Claude subscription — the models are billed through your AWS bill, and the Lambda authenticates to them with its IAM role rather than with any key you have to manage.</w:t>
      </w:r>
    </w:p>
    <w:p>
      <w:pPr>
        <w:spacing w:after="120" w:line="276"/>
      </w:pPr>
      <w:r>
        <w:rPr>
          <w:rFonts w:ascii="Calibri" w:cs="Calibri" w:eastAsia="Calibri" w:hAnsi="Calibri"/>
          <w:b w:val="false"/>
          <w:bCs w:val="false"/>
          <w:i w:val="false"/>
          <w:iCs w:val="false"/>
          <w:color w:val="242A31"/>
          <w:sz w:val="22"/>
          <w:szCs w:val="22"/>
        </w:rPr>
        <w:t xml:space="preserve">You will also want a </w:t>
      </w:r>
      <w:r>
        <w:rPr>
          <w:rFonts w:ascii="Calibri" w:cs="Calibri" w:eastAsia="Calibri" w:hAnsi="Calibri"/>
          <w:b/>
          <w:bCs/>
          <w:i w:val="false"/>
          <w:iCs w:val="false"/>
          <w:color w:val="242A31"/>
          <w:sz w:val="22"/>
          <w:szCs w:val="22"/>
        </w:rPr>
        <w:t xml:space="preserve">GitHub</w:t>
      </w:r>
      <w:r>
        <w:rPr>
          <w:rFonts w:ascii="Calibri" w:cs="Calibri" w:eastAsia="Calibri" w:hAnsi="Calibri"/>
          <w:b w:val="false"/>
          <w:bCs w:val="false"/>
          <w:i w:val="false"/>
          <w:iCs w:val="false"/>
          <w:color w:val="242A31"/>
          <w:sz w:val="22"/>
          <w:szCs w:val="22"/>
        </w:rPr>
        <w:t xml:space="preserve"> account if you want this backend on a remote, but nothing here depends on it.</w:t>
      </w:r>
    </w:p>
    <w:p>
      <w:pPr>
        <w:pStyle w:val="Heading2"/>
        <w:spacing w:after="90" w:before="260"/>
      </w:pPr>
      <w:r>
        <w:rPr>
          <w:rFonts w:ascii="Calibri" w:cs="Calibri" w:eastAsia="Calibri" w:hAnsi="Calibri"/>
          <w:b/>
          <w:bCs/>
          <w:color w:val="1A2332"/>
          <w:sz w:val="24"/>
          <w:szCs w:val="24"/>
        </w:rPr>
        <w:t xml:space="preserve">Creating the AWS account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Go to aws.amazon.com and choose Create an AWS Account.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Have a credit or debit card ready — it is required even though almost everything here sits in the free tier. AWS places a small temporary authorisation (usually about $1) to verify the card, which drops off.</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Pick the Basic support plan. It is free. Do not take a paid support plan.</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Verify by phone and email.</w:t>
      </w:r>
    </w:p>
    <w:p>
      <w:pPr>
        <w:spacing w:after="6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D9A407" w:sz="18"/>
              <w:bottom w:val="none" w:color="FFFFFF" w:sz="0"/>
              <w:right w:val="none" w:color="FFFFFF" w:sz="0"/>
            </w:tcBorders>
            <w:shd w:fill="FFF7E3" w:val="clear"/>
            <w:tcMar>
              <w:top w:type="dxa" w:w="130"/>
              <w:left w:type="dxa" w:w="200"/>
              <w:bottom w:type="dxa" w:w="130"/>
              <w:right w:type="dxa" w:w="200"/>
            </w:tcMar>
          </w:tcPr>
          <w:p>
            <w:pPr>
              <w:spacing w:after="60"/>
            </w:pPr>
            <w:r>
              <w:rPr>
                <w:rFonts w:ascii="Calibri" w:cs="Calibri" w:eastAsia="Calibri" w:hAnsi="Calibri"/>
                <w:b/>
                <w:bCs/>
                <w:color w:val="D9A407"/>
                <w:spacing w:val="30"/>
                <w:sz w:val="17"/>
                <w:szCs w:val="17"/>
              </w:rPr>
              <w:t xml:space="preserve">SET A BUDGET ALARM BEFORE ANYTHING ELSE</w:t>
            </w:r>
          </w:p>
          <w:p>
            <w:pPr>
              <w:spacing w:after="0" w:line="268"/>
            </w:pPr>
            <w:r>
              <w:rPr>
                <w:rFonts w:ascii="Calibri" w:cs="Calibri" w:eastAsia="Calibri" w:hAnsi="Calibri"/>
                <w:b w:val="false"/>
                <w:bCs w:val="false"/>
                <w:i w:val="false"/>
                <w:iCs w:val="false"/>
                <w:color w:val="2A2F35"/>
                <w:sz w:val="21"/>
                <w:szCs w:val="21"/>
              </w:rPr>
              <w:t xml:space="preserve">This is the single most useful ten minutes you will spend. Bedrock is billed per use, and a mistake in a loop is otherwise invisible until the bill arrives. Console → Billing and Cost Management → Budgets → Create budget. Choose </w:t>
            </w:r>
            <w:r>
              <w:rPr>
                <w:rFonts w:ascii="Calibri" w:cs="Calibri" w:eastAsia="Calibri" w:hAnsi="Calibri"/>
                <w:b/>
                <w:bCs/>
                <w:i w:val="false"/>
                <w:iCs w:val="false"/>
                <w:color w:val="2A2F35"/>
                <w:sz w:val="21"/>
                <w:szCs w:val="21"/>
              </w:rPr>
              <w:t xml:space="preserve">Zero spend budget</w:t>
            </w:r>
            <w:r>
              <w:rPr>
                <w:rFonts w:ascii="Calibri" w:cs="Calibri" w:eastAsia="Calibri" w:hAnsi="Calibri"/>
                <w:b w:val="false"/>
                <w:bCs w:val="false"/>
                <w:i w:val="false"/>
                <w:iCs w:val="false"/>
                <w:color w:val="2A2F35"/>
                <w:sz w:val="21"/>
                <w:szCs w:val="21"/>
              </w:rPr>
              <w:t xml:space="preserve"> for an email at the first cent, or a monthly cost budget of about $10 with alerts at 50% / 80% / 100%.</w:t>
            </w:r>
          </w:p>
        </w:tc>
      </w:tr>
    </w:tbl>
    <w:p>
      <w:pPr>
        <w:spacing w:after="140"/>
      </w:pPr>
    </w:p>
    <w:p>
      <w:pPr>
        <w:pStyle w:val="Heading2"/>
        <w:spacing w:after="90" w:before="260"/>
      </w:pPr>
      <w:r>
        <w:rPr>
          <w:rFonts w:ascii="Calibri" w:cs="Calibri" w:eastAsia="Calibri" w:hAnsi="Calibri"/>
          <w:b/>
          <w:bCs/>
          <w:color w:val="1A2332"/>
          <w:sz w:val="24"/>
          <w:szCs w:val="24"/>
        </w:rPr>
        <w:t xml:space="preserve">Stop using the root user</w:t>
      </w:r>
    </w:p>
    <w:p>
      <w:pPr>
        <w:spacing w:after="120" w:line="276"/>
      </w:pPr>
      <w:r>
        <w:rPr>
          <w:rFonts w:ascii="Calibri" w:cs="Calibri" w:eastAsia="Calibri" w:hAnsi="Calibri"/>
          <w:b w:val="false"/>
          <w:bCs w:val="false"/>
          <w:i w:val="false"/>
          <w:iCs w:val="false"/>
          <w:color w:val="242A31"/>
          <w:sz w:val="22"/>
          <w:szCs w:val="22"/>
        </w:rPr>
        <w:t xml:space="preserve">The email address you signed up with is the root user, and it can do anything including closing the account. Do not create access keys for it.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Console → IAM → Users → Create user.</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Name it something like jake-dev. Tick "Provide user access to the AWS Management Console" if you want to sign in as it.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Attach the AdministratorAccess policy. Broader than this project strictly needs, but the alternative for a solo project is fighting permissions errors all semester.</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Security credentials → Create access key → choose Command Line Interface (CLI). Save the access key id and secret.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Turn on MFA for both the root user and this one while you are in there.</w:t>
      </w:r>
    </w:p>
    <w:p>
      <w:r>
        <w:br w:type="page"/>
      </w:r>
    </w:p>
    <w:p>
      <w:pPr>
        <w:pStyle w:val="Heading1"/>
        <w:pBdr>
          <w:bottom w:val="single" w:color="B0770A" w:sz="8" w:space="6"/>
        </w:pBdr>
        <w:spacing w:after="140" w:before="380"/>
      </w:pPr>
      <w:r>
        <w:rPr>
          <w:rFonts w:ascii="Calibri" w:cs="Calibri" w:eastAsia="Calibri" w:hAnsi="Calibri"/>
          <w:b/>
          <w:bCs/>
          <w:color w:val="1A2332"/>
          <w:sz w:val="30"/>
          <w:szCs w:val="30"/>
        </w:rPr>
        <w:t xml:space="preserve">2.  Software to install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300"/>
        <w:gridCol w:w="4292"/>
        <w:gridCol w:w="3200"/>
      </w:tblGrid>
      <w:tr>
        <w:trPr>
          <w:tblHeader/>
        </w:trPr>
        <w:tc>
          <w:tcPr>
            <w:tcW w:type="dxa" w:w="2300"/>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Tool</w:t>
            </w:r>
          </w:p>
        </w:tc>
        <w:tc>
          <w:tcPr>
            <w:tcW w:type="dxa" w:w="4292"/>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Why</w:t>
            </w:r>
          </w:p>
        </w:tc>
        <w:tc>
          <w:tcPr>
            <w:tcW w:type="dxa" w:w="3200"/>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Windows install</w:t>
            </w:r>
          </w:p>
        </w:tc>
      </w:tr>
      <w:tr>
        <w:tc>
          <w:tcPr>
            <w:tcW w:type="dxa" w:w="2300"/>
            <w:shd w:fill="FFFFFF"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Python 3.12+</w:t>
            </w:r>
          </w:p>
        </w:tc>
        <w:tc>
          <w:tcPr>
            <w:tcW w:type="dxa" w:w="42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Runs the Lambda code and the tests</w:t>
            </w:r>
          </w:p>
        </w:tc>
        <w:tc>
          <w:tcPr>
            <w:tcW w:type="dxa" w:w="3200"/>
            <w:shd w:fill="FFFFFF"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winget install Python.Python.3.12</w:t>
            </w:r>
          </w:p>
        </w:tc>
      </w:tr>
      <w:tr>
        <w:tc>
          <w:tcPr>
            <w:tcW w:type="dxa" w:w="2300"/>
            <w:shd w:fill="F7F9FA"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AWS CLI v2</w:t>
            </w:r>
          </w:p>
        </w:tc>
        <w:tc>
          <w:tcPr>
            <w:tcW w:type="dxa" w:w="429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Everything in scripts/ is a wrapper over it</w:t>
            </w:r>
          </w:p>
        </w:tc>
        <w:tc>
          <w:tcPr>
            <w:tcW w:type="dxa" w:w="3200"/>
            <w:shd w:fill="F7F9FA"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winget install Amazon.AWSCLI</w:t>
            </w:r>
          </w:p>
        </w:tc>
      </w:tr>
      <w:tr>
        <w:tc>
          <w:tcPr>
            <w:tcW w:type="dxa" w:w="2300"/>
            <w:shd w:fill="FFFFFF"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AWS SAM CLI</w:t>
            </w:r>
          </w:p>
        </w:tc>
        <w:tc>
          <w:tcPr>
            <w:tcW w:type="dxa" w:w="42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Builds and deploys the stack</w:t>
            </w:r>
          </w:p>
        </w:tc>
        <w:tc>
          <w:tcPr>
            <w:tcW w:type="dxa" w:w="3200"/>
            <w:shd w:fill="FFFFFF"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winget install Amazon.SAM-CLI</w:t>
            </w:r>
          </w:p>
        </w:tc>
      </w:tr>
      <w:tr>
        <w:tc>
          <w:tcPr>
            <w:tcW w:type="dxa" w:w="2300"/>
            <w:shd w:fill="F7F9FA"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Docker Desktop</w:t>
            </w:r>
          </w:p>
        </w:tc>
        <w:tc>
          <w:tcPr>
            <w:tcW w:type="dxa" w:w="429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sam build --use-container and sam local invoke</w:t>
            </w:r>
          </w:p>
        </w:tc>
        <w:tc>
          <w:tcPr>
            <w:tcW w:type="dxa" w:w="320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docker.com/products/docker-desktop</w:t>
            </w:r>
          </w:p>
        </w:tc>
      </w:tr>
      <w:tr>
        <w:tc>
          <w:tcPr>
            <w:tcW w:type="dxa" w:w="2300"/>
            <w:shd w:fill="FFFFFF"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Git</w:t>
            </w:r>
          </w:p>
        </w:tc>
        <w:tc>
          <w:tcPr>
            <w:tcW w:type="dxa" w:w="42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Version control</w:t>
            </w:r>
          </w:p>
        </w:tc>
        <w:tc>
          <w:tcPr>
            <w:tcW w:type="dxa" w:w="3200"/>
            <w:shd w:fill="FFFFFF"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winget install Git.Git</w:t>
            </w:r>
          </w:p>
        </w:tc>
      </w:tr>
    </w:tbl>
    <w:p>
      <w:pPr>
        <w:spacing w:after="160"/>
      </w:pPr>
    </w:p>
    <w:p>
      <w:pPr>
        <w:spacing w:after="120" w:line="276"/>
      </w:pPr>
      <w:r>
        <w:rPr>
          <w:rFonts w:ascii="Calibri" w:cs="Calibri" w:eastAsia="Calibri" w:hAnsi="Calibri"/>
          <w:b w:val="false"/>
          <w:bCs w:val="false"/>
          <w:i w:val="false"/>
          <w:iCs w:val="false"/>
          <w:color w:val="242A31"/>
          <w:sz w:val="22"/>
          <w:szCs w:val="22"/>
        </w:rPr>
        <w:t xml:space="preserve">Docker is the one you can defer. It is needed because samconfig.toml sets use_container = true, which compiles the Python dependencies inside a Lambda-like Linux container.</w:t>
      </w:r>
    </w:p>
    <w:p>
      <w:pPr>
        <w:spacing w:after="120" w:line="276"/>
      </w:pPr>
      <w:r>
        <w:rPr>
          <w:rFonts w:ascii="Calibri" w:cs="Calibri" w:eastAsia="Calibri" w:hAnsi="Calibri"/>
          <w:b w:val="false"/>
          <w:bCs w:val="false"/>
          <w:i w:val="false"/>
          <w:iCs w:val="false"/>
          <w:color w:val="242A31"/>
          <w:sz w:val="22"/>
          <w:szCs w:val="22"/>
        </w:rPr>
        <w:t xml:space="preserve">That matters here specifically: the </w:t>
      </w:r>
      <w:r>
        <w:rPr>
          <w:rFonts w:ascii="Consolas" w:cs="Consolas" w:eastAsia="Consolas" w:hAnsi="Consolas"/>
          <w:b w:val="false"/>
          <w:bCs w:val="false"/>
          <w:i w:val="false"/>
          <w:iCs w:val="false"/>
          <w:color w:val="242A31"/>
          <w:sz w:val="22"/>
          <w:szCs w:val="22"/>
          <w:shd w:fill="F3F5F7" w:val="clear"/>
        </w:rPr>
        <w:t xml:space="preserve">anthropic</w:t>
      </w:r>
      <w:r>
        <w:rPr>
          <w:rFonts w:ascii="Calibri" w:cs="Calibri" w:eastAsia="Calibri" w:hAnsi="Calibri"/>
          <w:b w:val="false"/>
          <w:bCs w:val="false"/>
          <w:i w:val="false"/>
          <w:iCs w:val="false"/>
          <w:color w:val="242A31"/>
          <w:sz w:val="22"/>
          <w:szCs w:val="22"/>
        </w:rPr>
        <w:t xml:space="preserve"> SDK pulls in packages with compiled components, and a wheel built on Windows will not run on Amazon Linux. You can set </w:t>
      </w:r>
      <w:r>
        <w:rPr>
          <w:rFonts w:ascii="Consolas" w:cs="Consolas" w:eastAsia="Consolas" w:hAnsi="Consolas"/>
          <w:b w:val="false"/>
          <w:bCs w:val="false"/>
          <w:i w:val="false"/>
          <w:iCs w:val="false"/>
          <w:color w:val="242A31"/>
          <w:sz w:val="22"/>
          <w:szCs w:val="22"/>
          <w:shd w:fill="F3F5F7" w:val="clear"/>
        </w:rPr>
        <w:t xml:space="preserve">use_container = false</w:t>
      </w:r>
      <w:r>
        <w:rPr>
          <w:rFonts w:ascii="Calibri" w:cs="Calibri" w:eastAsia="Calibri" w:hAnsi="Calibri"/>
          <w:b w:val="false"/>
          <w:bCs w:val="false"/>
          <w:i w:val="false"/>
          <w:iCs w:val="false"/>
          <w:color w:val="242A31"/>
          <w:sz w:val="22"/>
          <w:szCs w:val="22"/>
        </w:rPr>
        <w:t xml:space="preserve"> and try your luck, but this is the failure mode that produces a confusing ImportError at runtime rather than a build error.</w:t>
      </w:r>
    </w:p>
    <w:p>
      <w:pPr>
        <w:spacing w:after="60"/>
      </w:pP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Close and reopen your terminal after installing, then check all five:</w:t>
      </w:r>
    </w:p>
    <w:p>
      <w:pPr>
        <w:shd w:fill="F3F5F7" w:val="clear"/>
        <w:spacing w:after="160" w:before="100" w:line="260"/>
        <w:ind w:left="300"/>
      </w:pPr>
      <w:r>
        <w:rPr>
          <w:rFonts w:ascii="Consolas" w:cs="Consolas" w:eastAsia="Consolas" w:hAnsi="Consolas"/>
          <w:color w:val="1C2733"/>
          <w:sz w:val="19"/>
          <w:szCs w:val="19"/>
        </w:rPr>
        <w:t xml:space="preserve">python --version &amp;&amp; aws --version &amp;&amp; sam --version &amp;&amp; docker --version</w:t>
      </w:r>
    </w:p>
    <w:p>
      <w:pPr>
        <w:pStyle w:val="Heading2"/>
        <w:spacing w:after="90" w:before="260"/>
      </w:pPr>
      <w:r>
        <w:rPr>
          <w:rFonts w:ascii="Calibri" w:cs="Calibri" w:eastAsia="Calibri" w:hAnsi="Calibri"/>
          <w:b/>
          <w:bCs/>
          <w:color w:val="1A2332"/>
          <w:sz w:val="24"/>
          <w:szCs w:val="24"/>
        </w:rPr>
        <w:t xml:space="preserve">Point the CLI at your account</w:t>
      </w:r>
    </w:p>
    <w:p>
      <w:pPr>
        <w:shd w:fill="F3F5F7" w:val="clear"/>
        <w:spacing w:after="160" w:before="100" w:line="260"/>
        <w:ind w:left="300"/>
      </w:pPr>
      <w:r>
        <w:rPr>
          <w:rFonts w:ascii="Consolas" w:cs="Consolas" w:eastAsia="Consolas" w:hAnsi="Consolas"/>
          <w:color w:val="1C2733"/>
          <w:sz w:val="19"/>
          <w:szCs w:val="19"/>
        </w:rPr>
        <w:t xml:space="preserve">aws configure</w:t>
      </w:r>
    </w:p>
    <w:p>
      <w:pPr>
        <w:spacing w:after="120" w:line="276"/>
      </w:pPr>
      <w:r>
        <w:rPr>
          <w:rFonts w:ascii="Calibri" w:cs="Calibri" w:eastAsia="Calibri" w:hAnsi="Calibri"/>
          <w:b w:val="false"/>
          <w:bCs w:val="false"/>
          <w:i w:val="false"/>
          <w:iCs w:val="false"/>
          <w:color w:val="242A31"/>
          <w:sz w:val="22"/>
          <w:szCs w:val="22"/>
        </w:rPr>
        <w:t xml:space="preserve">It asks for the access key id and secret from the IAM user above, a default region (use </w:t>
      </w:r>
      <w:r>
        <w:rPr>
          <w:rFonts w:ascii="Consolas" w:cs="Consolas" w:eastAsia="Consolas" w:hAnsi="Consolas"/>
          <w:b w:val="false"/>
          <w:bCs w:val="false"/>
          <w:i w:val="false"/>
          <w:iCs w:val="false"/>
          <w:color w:val="242A31"/>
          <w:sz w:val="22"/>
          <w:szCs w:val="22"/>
          <w:shd w:fill="F3F5F7" w:val="clear"/>
        </w:rPr>
        <w:t xml:space="preserve">us-east-1</w:t>
      </w:r>
      <w:r>
        <w:rPr>
          <w:rFonts w:ascii="Calibri" w:cs="Calibri" w:eastAsia="Calibri" w:hAnsi="Calibri"/>
          <w:b w:val="false"/>
          <w:bCs w:val="false"/>
          <w:i w:val="false"/>
          <w:iCs w:val="false"/>
          <w:color w:val="242A31"/>
          <w:sz w:val="22"/>
          <w:szCs w:val="22"/>
        </w:rPr>
        <w:t xml:space="preserve"> — it has the widest Bedrock model availability), and an output format (</w:t>
      </w:r>
      <w:r>
        <w:rPr>
          <w:rFonts w:ascii="Consolas" w:cs="Consolas" w:eastAsia="Consolas" w:hAnsi="Consolas"/>
          <w:b w:val="false"/>
          <w:bCs w:val="false"/>
          <w:i w:val="false"/>
          <w:iCs w:val="false"/>
          <w:color w:val="242A31"/>
          <w:sz w:val="22"/>
          <w:szCs w:val="22"/>
          <w:shd w:fill="F3F5F7" w:val="clear"/>
        </w:rPr>
        <w:t xml:space="preserve">json</w:t>
      </w:r>
      <w:r>
        <w:rPr>
          <w:rFonts w:ascii="Calibri" w:cs="Calibri" w:eastAsia="Calibri" w:hAnsi="Calibri"/>
          <w:b w:val="false"/>
          <w:bCs w:val="false"/>
          <w:i w:val="false"/>
          <w:iCs w:val="false"/>
          <w:color w:val="242A31"/>
          <w:sz w:val="22"/>
          <w:szCs w:val="22"/>
        </w:rPr>
        <w:t xml:space="preserve">).</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Confirm it worked:</w:t>
      </w:r>
    </w:p>
    <w:p>
      <w:pPr>
        <w:shd w:fill="F3F5F7" w:val="clear"/>
        <w:spacing w:after="160" w:before="100" w:line="260"/>
        <w:ind w:left="300"/>
      </w:pPr>
      <w:r>
        <w:rPr>
          <w:rFonts w:ascii="Consolas" w:cs="Consolas" w:eastAsia="Consolas" w:hAnsi="Consolas"/>
          <w:color w:val="1C2733"/>
          <w:sz w:val="19"/>
          <w:szCs w:val="19"/>
        </w:rPr>
        <w:t xml:space="preserve">aws sts get-caller-identity</w:t>
      </w:r>
    </w:p>
    <w:p>
      <w:pPr>
        <w:spacing w:after="120" w:line="276"/>
      </w:pPr>
      <w:r>
        <w:rPr>
          <w:rFonts w:ascii="Calibri" w:cs="Calibri" w:eastAsia="Calibri" w:hAnsi="Calibri"/>
          <w:b w:val="false"/>
          <w:bCs w:val="false"/>
          <w:i w:val="false"/>
          <w:iCs w:val="false"/>
          <w:color w:val="242A31"/>
          <w:sz w:val="22"/>
          <w:szCs w:val="22"/>
        </w:rPr>
        <w:t xml:space="preserve">That should print your account id and the ARN of the IAM user. If it prints an error, nothing further in this document will work.</w:t>
      </w:r>
    </w:p>
    <w:p>
      <w:r>
        <w:br w:type="page"/>
      </w:r>
    </w:p>
    <w:p>
      <w:pPr>
        <w:pStyle w:val="Heading1"/>
        <w:pBdr>
          <w:bottom w:val="single" w:color="B0770A" w:sz="8" w:space="6"/>
        </w:pBdr>
        <w:spacing w:after="140" w:before="380"/>
      </w:pPr>
      <w:r>
        <w:rPr>
          <w:rFonts w:ascii="Calibri" w:cs="Calibri" w:eastAsia="Calibri" w:hAnsi="Calibri"/>
          <w:b/>
          <w:bCs/>
          <w:color w:val="1A2332"/>
          <w:sz w:val="30"/>
          <w:szCs w:val="30"/>
        </w:rPr>
        <w:t xml:space="preserve">3.  Enable the model</w:t>
      </w:r>
    </w:p>
    <w:p>
      <w:pPr>
        <w:spacing w:after="120" w:line="276"/>
      </w:pPr>
      <w:r>
        <w:rPr>
          <w:rFonts w:ascii="Calibri" w:cs="Calibri" w:eastAsia="Calibri" w:hAnsi="Calibri"/>
          <w:b/>
          <w:bCs/>
          <w:i w:val="false"/>
          <w:iCs w:val="false"/>
          <w:color w:val="242A31"/>
          <w:sz w:val="22"/>
          <w:szCs w:val="22"/>
        </w:rPr>
        <w:t xml:space="preserve">AWS retired the Model access page.</w:t>
      </w:r>
      <w:r>
        <w:rPr>
          <w:rFonts w:ascii="Calibri" w:cs="Calibri" w:eastAsia="Calibri" w:hAnsi="Calibri"/>
          <w:b w:val="false"/>
          <w:bCs w:val="false"/>
          <w:i w:val="false"/>
          <w:iCs w:val="false"/>
          <w:color w:val="242A31"/>
          <w:sz w:val="22"/>
          <w:szCs w:val="22"/>
        </w:rPr>
        <w:t xml:space="preserve"> Serverless foundation models are now enabled automatically the first time your account invokes them, across all AWS commercial regions. There is no page to tick boxes on and no approval to wait for.</w:t>
      </w:r>
    </w:p>
    <w:p>
      <w:pPr>
        <w:spacing w:after="120" w:line="276"/>
      </w:pPr>
      <w:r>
        <w:rPr>
          <w:rFonts w:ascii="Calibri" w:cs="Calibri" w:eastAsia="Calibri" w:hAnsi="Calibri"/>
          <w:b w:val="false"/>
          <w:bCs w:val="false"/>
          <w:i w:val="false"/>
          <w:iCs w:val="false"/>
          <w:color w:val="242A31"/>
          <w:sz w:val="22"/>
          <w:szCs w:val="22"/>
        </w:rPr>
        <w:t xml:space="preserve">Two things still stand between a fresh account and a working call:</w:t>
      </w:r>
    </w:p>
    <w:p>
      <w:pPr>
        <w:spacing w:after="90" w:line="276"/>
        <w:ind w:left="400" w:hanging="260"/>
      </w:pPr>
      <w:r>
        <w:rPr>
          <w:rFonts w:ascii="Calibri" w:cs="Calibri" w:eastAsia="Calibri" w:hAnsi="Calibri"/>
          <w:color w:val="B0770A"/>
          <w:sz w:val="22"/>
          <w:szCs w:val="22"/>
        </w:rPr>
        <w:t xml:space="preserve">•  </w:t>
      </w:r>
      <w:r>
        <w:rPr>
          <w:rFonts w:ascii="Calibri" w:cs="Calibri" w:eastAsia="Calibri" w:hAnsi="Calibri"/>
          <w:color w:val="242A31"/>
          <w:sz w:val="22"/>
          <w:szCs w:val="22"/>
        </w:rPr>
        <w:t xml:space="preserve">Anthropic models may ask first-time users for use-case details. This is what survives of the old approval step — much quicker than before, but still a form that can appear.</w:t>
      </w:r>
    </w:p>
    <w:p>
      <w:pPr>
        <w:spacing w:after="90" w:line="276"/>
        <w:ind w:left="400" w:hanging="260"/>
      </w:pPr>
      <w:r>
        <w:rPr>
          <w:rFonts w:ascii="Calibri" w:cs="Calibri" w:eastAsia="Calibri" w:hAnsi="Calibri"/>
          <w:color w:val="B0770A"/>
          <w:sz w:val="22"/>
          <w:szCs w:val="22"/>
        </w:rPr>
        <w:t xml:space="preserve">•  </w:t>
      </w:r>
      <w:r>
        <w:rPr>
          <w:rFonts w:ascii="Calibri" w:cs="Calibri" w:eastAsia="Calibri" w:hAnsi="Calibri"/>
          <w:color w:val="242A31"/>
          <w:sz w:val="22"/>
          <w:szCs w:val="22"/>
        </w:rPr>
        <w:t xml:space="preserve">Marketplace-served models need one invocation by a user with AWS Marketplace permissions before they are enabled account-wide. On a solo admin account that is just you.</w:t>
      </w:r>
    </w:p>
    <w:p>
      <w:pPr>
        <w:spacing w:after="120" w:line="276"/>
      </w:pPr>
      <w:r>
        <w:rPr>
          <w:rFonts w:ascii="Calibri" w:cs="Calibri" w:eastAsia="Calibri" w:hAnsi="Calibri"/>
          <w:b w:val="false"/>
          <w:bCs w:val="false"/>
          <w:i w:val="false"/>
          <w:iCs w:val="false"/>
          <w:color w:val="242A31"/>
          <w:sz w:val="22"/>
          <w:szCs w:val="22"/>
        </w:rPr>
        <w:t xml:space="preserve">Both are best triggered deliberately, by invoking the model once by hand, rather than discovered later as a Lambda error.</w:t>
      </w:r>
    </w:p>
    <w:p>
      <w:pPr>
        <w:pStyle w:val="Heading2"/>
        <w:spacing w:after="90" w:before="260"/>
      </w:pPr>
      <w:r>
        <w:rPr>
          <w:rFonts w:ascii="Calibri" w:cs="Calibri" w:eastAsia="Calibri" w:hAnsi="Calibri"/>
          <w:b/>
          <w:bCs/>
          <w:color w:val="1A2332"/>
          <w:sz w:val="24"/>
          <w:szCs w:val="24"/>
        </w:rPr>
        <w:t xml:space="preserve">Invoke it once in the Playground</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Console → search Bedrock. Check the region selector (top right) says the region you plan to use, e.g. US East (N. Virginia).</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Left sidebar → Model catalog. Find the Claude model you want.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Open it in the Playground and send any message — "hello" is enough.</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If a use-case form appears, fill it in. A student project explanation is fine: an educational tool that turns pre-computed calculus results into plain-language explanations, which is exactly what it is.</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When you get a reply back, the model is enabled account-wide and you are done.</w:t>
      </w:r>
    </w:p>
    <w:p>
      <w:pPr>
        <w:spacing w:after="6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3A6FA5" w:sz="18"/>
              <w:bottom w:val="none" w:color="FFFFFF" w:sz="0"/>
              <w:right w:val="none" w:color="FFFFFF" w:sz="0"/>
            </w:tcBorders>
            <w:shd w:fill="EDF3F9" w:val="clear"/>
            <w:tcMar>
              <w:top w:type="dxa" w:w="130"/>
              <w:left w:type="dxa" w:w="200"/>
              <w:bottom w:type="dxa" w:w="130"/>
              <w:right w:type="dxa" w:w="200"/>
            </w:tcMar>
          </w:tcPr>
          <w:p>
            <w:pPr>
              <w:spacing w:after="60"/>
            </w:pPr>
            <w:r>
              <w:rPr>
                <w:rFonts w:ascii="Calibri" w:cs="Calibri" w:eastAsia="Calibri" w:hAnsi="Calibri"/>
                <w:b/>
                <w:bCs/>
                <w:color w:val="3A6FA5"/>
                <w:spacing w:val="30"/>
                <w:sz w:val="17"/>
                <w:szCs w:val="17"/>
              </w:rPr>
              <w:t xml:space="preserve">THAT REPLY IS THE THING WORTH WAITING FOR</w:t>
            </w:r>
          </w:p>
          <w:p>
            <w:pPr>
              <w:spacing w:after="0" w:line="268"/>
            </w:pPr>
            <w:r>
              <w:rPr>
                <w:rFonts w:ascii="Calibri" w:cs="Calibri" w:eastAsia="Calibri" w:hAnsi="Calibri"/>
                <w:b w:val="false"/>
                <w:bCs w:val="false"/>
                <w:i w:val="false"/>
                <w:iCs w:val="false"/>
                <w:color w:val="2A2F35"/>
                <w:sz w:val="21"/>
                <w:szCs w:val="21"/>
              </w:rPr>
              <w:t xml:space="preserve">It proves the exact combination that matters — this account, this region, this model — which is the same combination the Lambda will use.</w:t>
            </w:r>
          </w:p>
        </w:tc>
      </w:tr>
    </w:tbl>
    <w:p>
      <w:pPr>
        <w:spacing w:after="140"/>
      </w:pPr>
    </w:p>
    <w:p>
      <w:pPr>
        <w:pStyle w:val="Heading2"/>
        <w:spacing w:after="90" w:before="260"/>
      </w:pPr>
      <w:r>
        <w:rPr>
          <w:rFonts w:ascii="Calibri" w:cs="Calibri" w:eastAsia="Calibri" w:hAnsi="Calibri"/>
          <w:b/>
          <w:bCs/>
          <w:color w:val="1A2332"/>
          <w:sz w:val="24"/>
          <w:szCs w:val="24"/>
        </w:rPr>
        <w:t xml:space="preserve">Then note the model id</w:t>
      </w:r>
    </w:p>
    <w:p>
      <w:pPr>
        <w:spacing w:after="120" w:line="276"/>
      </w:pPr>
      <w:r>
        <w:rPr>
          <w:rFonts w:ascii="Calibri" w:cs="Calibri" w:eastAsia="Calibri" w:hAnsi="Calibri"/>
          <w:b w:val="false"/>
          <w:bCs w:val="false"/>
          <w:i w:val="false"/>
          <w:iCs w:val="false"/>
          <w:color w:val="242A31"/>
          <w:sz w:val="22"/>
          <w:szCs w:val="22"/>
        </w:rPr>
        <w:t xml:space="preserve">From Git Bash:</w:t>
      </w:r>
    </w:p>
    <w:p>
      <w:pPr>
        <w:shd w:fill="F3F5F7" w:val="clear"/>
        <w:spacing w:after="160" w:before="100" w:line="260"/>
        <w:ind w:left="300"/>
      </w:pPr>
      <w:r>
        <w:rPr>
          <w:rFonts w:ascii="Consolas" w:cs="Consolas" w:eastAsia="Consolas" w:hAnsi="Consolas"/>
          <w:color w:val="1C2733"/>
          <w:sz w:val="19"/>
          <w:szCs w:val="19"/>
        </w:rPr>
        <w:t xml:space="preserve">./scripts/list-models.sh us-east-1</w:t>
      </w:r>
    </w:p>
    <w:p>
      <w:pPr>
        <w:spacing w:after="120" w:line="276"/>
      </w:pPr>
      <w:r>
        <w:rPr>
          <w:rFonts w:ascii="Calibri" w:cs="Calibri" w:eastAsia="Calibri" w:hAnsi="Calibri"/>
          <w:b w:val="false"/>
          <w:bCs w:val="false"/>
          <w:i w:val="false"/>
          <w:iCs w:val="false"/>
          <w:color w:val="242A31"/>
          <w:sz w:val="22"/>
          <w:szCs w:val="22"/>
        </w:rPr>
        <w:t xml:space="preserve">Or from PowerShell:</w:t>
      </w:r>
    </w:p>
    <w:p>
      <w:pPr>
        <w:shd w:fill="F3F5F7" w:val="clear"/>
        <w:spacing w:after="0" w:before="100" w:line="260"/>
        <w:ind w:left="300"/>
      </w:pPr>
      <w:r>
        <w:rPr>
          <w:rFonts w:ascii="Consolas" w:cs="Consolas" w:eastAsia="Consolas" w:hAnsi="Consolas"/>
          <w:color w:val="1C2733"/>
          <w:sz w:val="19"/>
          <w:szCs w:val="19"/>
        </w:rPr>
        <w:t xml:space="preserve">. .\scripts\Spatial-Math.ps1</w:t>
      </w:r>
    </w:p>
    <w:p>
      <w:pPr>
        <w:shd w:fill="F3F5F7" w:val="clear"/>
        <w:spacing w:after="160" w:before="0" w:line="260"/>
        <w:ind w:left="300"/>
      </w:pPr>
      <w:r>
        <w:rPr>
          <w:rFonts w:ascii="Consolas" w:cs="Consolas" w:eastAsia="Consolas" w:hAnsi="Consolas"/>
          <w:color w:val="1C2733"/>
          <w:sz w:val="19"/>
          <w:szCs w:val="19"/>
        </w:rPr>
        <w:t xml:space="preserve">Get-SpatialMathModels</w:t>
      </w:r>
    </w:p>
    <w:p>
      <w:pPr>
        <w:spacing w:after="120" w:line="276"/>
      </w:pPr>
      <w:r>
        <w:rPr>
          <w:rFonts w:ascii="Calibri" w:cs="Calibri" w:eastAsia="Calibri" w:hAnsi="Calibri"/>
          <w:b w:val="false"/>
          <w:bCs w:val="false"/>
          <w:i w:val="false"/>
          <w:iCs w:val="false"/>
          <w:color w:val="242A31"/>
          <w:sz w:val="22"/>
          <w:szCs w:val="22"/>
        </w:rPr>
        <w:t xml:space="preserve">Whatever id you used in the Playground goes into </w:t>
      </w:r>
      <w:r>
        <w:rPr>
          <w:rFonts w:ascii="Consolas" w:cs="Consolas" w:eastAsia="Consolas" w:hAnsi="Consolas"/>
          <w:b w:val="false"/>
          <w:bCs w:val="false"/>
          <w:i w:val="false"/>
          <w:iCs w:val="false"/>
          <w:color w:val="242A31"/>
          <w:sz w:val="22"/>
          <w:szCs w:val="22"/>
          <w:shd w:fill="F3F5F7" w:val="clear"/>
        </w:rPr>
        <w:t xml:space="preserve">samconfig.toml</w:t>
      </w:r>
      <w:r>
        <w:rPr>
          <w:rFonts w:ascii="Calibri" w:cs="Calibri" w:eastAsia="Calibri" w:hAnsi="Calibri"/>
          <w:b w:val="false"/>
          <w:bCs w:val="false"/>
          <w:i w:val="false"/>
          <w:iCs w:val="false"/>
          <w:color w:val="242A31"/>
          <w:sz w:val="22"/>
          <w:szCs w:val="22"/>
        </w:rPr>
        <w:t xml:space="preserve"> as </w:t>
      </w:r>
      <w:r>
        <w:rPr>
          <w:rFonts w:ascii="Consolas" w:cs="Consolas" w:eastAsia="Consolas" w:hAnsi="Consolas"/>
          <w:b w:val="false"/>
          <w:bCs w:val="false"/>
          <w:i w:val="false"/>
          <w:iCs w:val="false"/>
          <w:color w:val="242A31"/>
          <w:sz w:val="22"/>
          <w:szCs w:val="22"/>
          <w:shd w:fill="F3F5F7" w:val="clear"/>
        </w:rPr>
        <w:t xml:space="preserve">ModelId</w:t>
      </w:r>
      <w:r>
        <w:rPr>
          <w:rFonts w:ascii="Calibri" w:cs="Calibri" w:eastAsia="Calibri" w:hAnsi="Calibri"/>
          <w:b w:val="false"/>
          <w:bCs w:val="false"/>
          <w:i w:val="false"/>
          <w:iCs w:val="false"/>
          <w:color w:val="242A31"/>
          <w:sz w:val="22"/>
          <w:szCs w:val="22"/>
        </w:rPr>
        <w:t xml:space="preserve">.</w:t>
      </w:r>
    </w:p>
    <w:p>
      <w:pPr>
        <w:spacing w:after="4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D9A407" w:sz="18"/>
              <w:bottom w:val="none" w:color="FFFFFF" w:sz="0"/>
              <w:right w:val="none" w:color="FFFFFF" w:sz="0"/>
            </w:tcBorders>
            <w:shd w:fill="FFF7E3" w:val="clear"/>
            <w:tcMar>
              <w:top w:type="dxa" w:w="130"/>
              <w:left w:type="dxa" w:w="200"/>
              <w:bottom w:type="dxa" w:w="130"/>
              <w:right w:type="dxa" w:w="200"/>
            </w:tcMar>
          </w:tcPr>
          <w:p>
            <w:pPr>
              <w:spacing w:after="60"/>
            </w:pPr>
            <w:r>
              <w:rPr>
                <w:rFonts w:ascii="Calibri" w:cs="Calibri" w:eastAsia="Calibri" w:hAnsi="Calibri"/>
                <w:b/>
                <w:bCs/>
                <w:color w:val="D9A407"/>
                <w:spacing w:val="30"/>
                <w:sz w:val="17"/>
                <w:szCs w:val="17"/>
              </w:rPr>
              <w:t xml:space="preserve">KNOW WHAT THAT LISTING PROVES</w:t>
            </w:r>
          </w:p>
          <w:p>
            <w:pPr>
              <w:spacing w:after="0" w:line="268"/>
            </w:pPr>
            <w:r>
              <w:rPr>
                <w:rFonts w:ascii="Calibri" w:cs="Calibri" w:eastAsia="Calibri" w:hAnsi="Calibri"/>
                <w:b w:val="false"/>
                <w:bCs w:val="false"/>
                <w:i w:val="false"/>
                <w:iCs w:val="false"/>
                <w:color w:val="2A2F35"/>
                <w:sz w:val="21"/>
                <w:szCs w:val="21"/>
              </w:rPr>
              <w:t xml:space="preserve">It reports the models the region </w:t>
            </w:r>
            <w:r>
              <w:rPr>
                <w:rFonts w:ascii="Calibri" w:cs="Calibri" w:eastAsia="Calibri" w:hAnsi="Calibri"/>
                <w:b/>
                <w:bCs/>
                <w:i w:val="false"/>
                <w:iCs w:val="false"/>
                <w:color w:val="2A2F35"/>
                <w:sz w:val="21"/>
                <w:szCs w:val="21"/>
              </w:rPr>
              <w:t xml:space="preserve">offers</w:t>
            </w:r>
            <w:r>
              <w:rPr>
                <w:rFonts w:ascii="Calibri" w:cs="Calibri" w:eastAsia="Calibri" w:hAnsi="Calibri"/>
                <w:b w:val="false"/>
                <w:bCs w:val="false"/>
                <w:i w:val="false"/>
                <w:iCs w:val="false"/>
                <w:color w:val="2A2F35"/>
                <w:sz w:val="21"/>
                <w:szCs w:val="21"/>
              </w:rPr>
              <w:t xml:space="preserve">. Because enablement now happens at first invoke, appearing on that list no longer means your account can call it — which is exactly why step 3 is a Playground message and not just a CLI listing. A model your account cannot invoke fails at </w:t>
            </w:r>
            <w:r>
              <w:rPr>
                <w:rFonts w:ascii="Calibri" w:cs="Calibri" w:eastAsia="Calibri" w:hAnsi="Calibri"/>
                <w:b/>
                <w:bCs/>
                <w:i w:val="false"/>
                <w:iCs w:val="false"/>
                <w:color w:val="2A2F35"/>
                <w:sz w:val="21"/>
                <w:szCs w:val="21"/>
              </w:rPr>
              <w:t xml:space="preserve">request</w:t>
            </w:r>
            <w:r>
              <w:rPr>
                <w:rFonts w:ascii="Calibri" w:cs="Calibri" w:eastAsia="Calibri" w:hAnsi="Calibri"/>
                <w:b w:val="false"/>
                <w:bCs w:val="false"/>
                <w:i w:val="false"/>
                <w:iCs w:val="false"/>
                <w:color w:val="2A2F35"/>
                <w:sz w:val="21"/>
                <w:szCs w:val="21"/>
              </w:rPr>
              <w:t xml:space="preserve"> time with a 404 or 403, not at deploy time, so the stack comes up healthy and then every click fails.</w:t>
            </w:r>
          </w:p>
        </w:tc>
      </w:tr>
    </w:tbl>
    <w:p>
      <w:pPr>
        <w:spacing w:after="140"/>
      </w:pPr>
    </w:p>
    <w:p>
      <w:pPr>
        <w:spacing w:after="120" w:line="276"/>
      </w:pPr>
      <w:r>
        <w:rPr>
          <w:rFonts w:ascii="Calibri" w:cs="Calibri" w:eastAsia="Calibri" w:hAnsi="Calibri"/>
          <w:b w:val="false"/>
          <w:bCs w:val="false"/>
          <w:i w:val="false"/>
          <w:iCs w:val="false"/>
          <w:color w:val="242A31"/>
          <w:sz w:val="22"/>
          <w:szCs w:val="22"/>
        </w:rPr>
        <w:t xml:space="preserve">Admins keep control of all this through IAM policies and Service Control Policies. With the AdministratorAccess user from step 1 there is nothing to configure — but it is why a locked-down corporate account can still refuse, and the Lambda reports that as model_access_denied.</w:t>
      </w:r>
    </w:p>
    <w:p>
      <w:r>
        <w:br w:type="page"/>
      </w:r>
    </w:p>
    <w:p>
      <w:pPr>
        <w:pStyle w:val="Heading1"/>
        <w:pBdr>
          <w:bottom w:val="single" w:color="B0770A" w:sz="8" w:space="6"/>
        </w:pBdr>
        <w:spacing w:after="140" w:before="380"/>
      </w:pPr>
      <w:r>
        <w:rPr>
          <w:rFonts w:ascii="Calibri" w:cs="Calibri" w:eastAsia="Calibri" w:hAnsi="Calibri"/>
          <w:b/>
          <w:bCs/>
          <w:color w:val="1A2332"/>
          <w:sz w:val="30"/>
          <w:szCs w:val="30"/>
        </w:rPr>
        <w:t xml:space="preserve">4.  Deploy</w:t>
      </w:r>
    </w:p>
    <w:p>
      <w:pPr>
        <w:shd w:fill="F3F5F7" w:val="clear"/>
        <w:spacing w:after="0" w:before="100" w:line="260"/>
        <w:ind w:left="300"/>
      </w:pPr>
      <w:r>
        <w:rPr>
          <w:rFonts w:ascii="Consolas" w:cs="Consolas" w:eastAsia="Consolas" w:hAnsi="Consolas"/>
          <w:color w:val="1C2733"/>
          <w:sz w:val="19"/>
          <w:szCs w:val="19"/>
        </w:rPr>
        <w:t xml:space="preserve">sam build</w:t>
      </w:r>
    </w:p>
    <w:p>
      <w:pPr>
        <w:shd w:fill="F3F5F7" w:val="clear"/>
        <w:spacing w:after="160" w:before="0" w:line="260"/>
        <w:ind w:left="300"/>
      </w:pPr>
      <w:r>
        <w:rPr>
          <w:rFonts w:ascii="Consolas" w:cs="Consolas" w:eastAsia="Consolas" w:hAnsi="Consolas"/>
          <w:color w:val="1C2733"/>
          <w:sz w:val="19"/>
          <w:szCs w:val="19"/>
        </w:rPr>
        <w:t xml:space="preserve">sam deploy</w:t>
      </w:r>
    </w:p>
    <w:p>
      <w:pPr>
        <w:spacing w:after="120" w:line="276"/>
      </w:pPr>
      <w:r>
        <w:rPr>
          <w:rFonts w:ascii="Calibri" w:cs="Calibri" w:eastAsia="Calibri" w:hAnsi="Calibri"/>
          <w:b w:val="false"/>
          <w:bCs w:val="false"/>
          <w:i w:val="false"/>
          <w:iCs w:val="false"/>
          <w:color w:val="242A31"/>
          <w:sz w:val="22"/>
          <w:szCs w:val="22"/>
        </w:rPr>
        <w:t xml:space="preserve">The first sam deploy prompts you to confirm the changeset — read it, it is showing you every resource it is about to create. Subsequent deploys reuse samconfig.toml.</w:t>
      </w:r>
    </w:p>
    <w:p>
      <w:pPr>
        <w:spacing w:after="120" w:line="276"/>
      </w:pPr>
      <w:r>
        <w:rPr>
          <w:rFonts w:ascii="Calibri" w:cs="Calibri" w:eastAsia="Calibri" w:hAnsi="Calibri"/>
          <w:b w:val="false"/>
          <w:bCs w:val="false"/>
          <w:i w:val="false"/>
          <w:iCs w:val="false"/>
          <w:color w:val="242A31"/>
          <w:sz w:val="22"/>
          <w:szCs w:val="22"/>
        </w:rPr>
        <w:t xml:space="preserve">When it finishes it prints the outputs. The one you need is </w:t>
      </w:r>
      <w:r>
        <w:rPr>
          <w:rFonts w:ascii="Consolas" w:cs="Consolas" w:eastAsia="Consolas" w:hAnsi="Consolas"/>
          <w:b w:val="false"/>
          <w:bCs w:val="false"/>
          <w:i w:val="false"/>
          <w:iCs w:val="false"/>
          <w:color w:val="242A31"/>
          <w:sz w:val="22"/>
          <w:szCs w:val="22"/>
          <w:shd w:fill="F3F5F7" w:val="clear"/>
        </w:rPr>
        <w:t xml:space="preserve">ApiEndpoint</w:t>
      </w:r>
      <w:r>
        <w:rPr>
          <w:rFonts w:ascii="Calibri" w:cs="Calibri" w:eastAsia="Calibri" w:hAnsi="Calibri"/>
          <w:b w:val="false"/>
          <w:bCs w:val="false"/>
          <w:i w:val="false"/>
          <w:iCs w:val="false"/>
          <w:color w:val="242A31"/>
          <w:sz w:val="22"/>
          <w:szCs w:val="22"/>
        </w:rPr>
        <w:t xml:space="preserve">.</w:t>
      </w:r>
    </w:p>
    <w:p>
      <w:pPr>
        <w:spacing w:after="40"/>
      </w:pP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Fetch the API key:</w:t>
      </w:r>
    </w:p>
    <w:p>
      <w:pPr>
        <w:shd w:fill="F3F5F7" w:val="clear"/>
        <w:spacing w:after="160" w:before="100" w:line="260"/>
        <w:ind w:left="300"/>
      </w:pPr>
      <w:r>
        <w:rPr>
          <w:rFonts w:ascii="Consolas" w:cs="Consolas" w:eastAsia="Consolas" w:hAnsi="Consolas"/>
          <w:color w:val="1C2733"/>
          <w:sz w:val="19"/>
          <w:szCs w:val="19"/>
        </w:rPr>
        <w:t xml:space="preserve">./scripts/get-api-key.sh</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Check the whole thing end to end:</w:t>
      </w:r>
    </w:p>
    <w:p>
      <w:pPr>
        <w:shd w:fill="F3F5F7" w:val="clear"/>
        <w:spacing w:after="160" w:before="100" w:line="260"/>
        <w:ind w:left="300"/>
      </w:pPr>
      <w:r>
        <w:rPr>
          <w:rFonts w:ascii="Consolas" w:cs="Consolas" w:eastAsia="Consolas" w:hAnsi="Consolas"/>
          <w:color w:val="1C2733"/>
          <w:sz w:val="19"/>
          <w:szCs w:val="19"/>
        </w:rPr>
        <w:t xml:space="preserve">./scripts/smoke-test.sh</w:t>
      </w:r>
    </w:p>
    <w:p>
      <w:pPr>
        <w:spacing w:after="4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3A6FA5" w:sz="18"/>
              <w:bottom w:val="none" w:color="FFFFFF" w:sz="0"/>
              <w:right w:val="none" w:color="FFFFFF" w:sz="0"/>
            </w:tcBorders>
            <w:shd w:fill="EDF3F9" w:val="clear"/>
            <w:tcMar>
              <w:top w:type="dxa" w:w="130"/>
              <w:left w:type="dxa" w:w="200"/>
              <w:bottom w:type="dxa" w:w="130"/>
              <w:right w:type="dxa" w:w="200"/>
            </w:tcMar>
          </w:tcPr>
          <w:p>
            <w:pPr>
              <w:spacing w:after="60"/>
            </w:pPr>
            <w:r>
              <w:rPr>
                <w:rFonts w:ascii="Calibri" w:cs="Calibri" w:eastAsia="Calibri" w:hAnsi="Calibri"/>
                <w:b/>
                <w:bCs/>
                <w:color w:val="3A6FA5"/>
                <w:spacing w:val="30"/>
                <w:sz w:val="17"/>
                <w:szCs w:val="17"/>
              </w:rPr>
              <w:t xml:space="preserve">RUN THE SMOKE TEST TWICE</w:t>
            </w:r>
          </w:p>
          <w:p>
            <w:pPr>
              <w:spacing w:after="0" w:line="268"/>
            </w:pPr>
            <w:r>
              <w:rPr>
                <w:rFonts w:ascii="Calibri" w:cs="Calibri" w:eastAsia="Calibri" w:hAnsi="Calibri"/>
                <w:b w:val="false"/>
                <w:bCs w:val="false"/>
                <w:i w:val="false"/>
                <w:iCs w:val="false"/>
                <w:color w:val="2A2F35"/>
                <w:sz w:val="21"/>
                <w:szCs w:val="21"/>
              </w:rPr>
              <w:t xml:space="preserve">The first response should say </w:t>
            </w:r>
            <w:r>
              <w:rPr>
                <w:rFonts w:ascii="Consolas" w:cs="Consolas" w:eastAsia="Consolas" w:hAnsi="Consolas"/>
                <w:b w:val="false"/>
                <w:bCs w:val="false"/>
                <w:i w:val="false"/>
                <w:iCs w:val="false"/>
                <w:color w:val="2A2F35"/>
                <w:sz w:val="21"/>
                <w:szCs w:val="21"/>
              </w:rPr>
              <w:t xml:space="preserve">"cached": false</w:t>
            </w:r>
            <w:r>
              <w:rPr>
                <w:rFonts w:ascii="Calibri" w:cs="Calibri" w:eastAsia="Calibri" w:hAnsi="Calibri"/>
                <w:b w:val="false"/>
                <w:bCs w:val="false"/>
                <w:i w:val="false"/>
                <w:iCs w:val="false"/>
                <w:color w:val="2A2F35"/>
                <w:sz w:val="21"/>
                <w:szCs w:val="21"/>
              </w:rPr>
              <w:t xml:space="preserve"> and the second </w:t>
            </w:r>
            <w:r>
              <w:rPr>
                <w:rFonts w:ascii="Consolas" w:cs="Consolas" w:eastAsia="Consolas" w:hAnsi="Consolas"/>
                <w:b w:val="false"/>
                <w:bCs w:val="false"/>
                <w:i w:val="false"/>
                <w:iCs w:val="false"/>
                <w:color w:val="2A2F35"/>
                <w:sz w:val="21"/>
                <w:szCs w:val="21"/>
              </w:rPr>
              <w:t xml:space="preserve">"cached": true</w:t>
            </w:r>
            <w:r>
              <w:rPr>
                <w:rFonts w:ascii="Calibri" w:cs="Calibri" w:eastAsia="Calibri" w:hAnsi="Calibri"/>
                <w:b w:val="false"/>
                <w:bCs w:val="false"/>
                <w:i w:val="false"/>
                <w:iCs w:val="false"/>
                <w:color w:val="2A2F35"/>
                <w:sz w:val="21"/>
                <w:szCs w:val="21"/>
              </w:rPr>
              <w:t xml:space="preserve">. That second run is the real test — it proves the DynamoDB layer is working, and every cache hit is a Bedrock call you did not pay for.</w:t>
            </w:r>
          </w:p>
        </w:tc>
      </w:tr>
    </w:tbl>
    <w:p>
      <w:pPr>
        <w:spacing w:after="180"/>
      </w:pPr>
    </w:p>
    <w:p>
      <w:pPr>
        <w:pStyle w:val="Heading2"/>
        <w:spacing w:after="90" w:before="260"/>
      </w:pPr>
      <w:r>
        <w:rPr>
          <w:rFonts w:ascii="Calibri" w:cs="Calibri" w:eastAsia="Calibri" w:hAnsi="Calibri"/>
          <w:b/>
          <w:bCs/>
          <w:color w:val="1A2332"/>
          <w:sz w:val="24"/>
          <w:szCs w:val="24"/>
        </w:rPr>
        <w:t xml:space="preserve">If it fails, the error code tells you where to look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900"/>
        <w:gridCol w:w="6892"/>
      </w:tblGrid>
      <w:tr>
        <w:trPr>
          <w:tblHeader/>
        </w:trPr>
        <w:tc>
          <w:tcPr>
            <w:tcW w:type="dxa" w:w="2900"/>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errorCode</w:t>
            </w:r>
          </w:p>
        </w:tc>
        <w:tc>
          <w:tcPr>
            <w:tcW w:type="dxa" w:w="6892"/>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Meaning</w:t>
            </w:r>
          </w:p>
        </w:tc>
      </w:tr>
      <w:tr>
        <w:tc>
          <w:tcPr>
            <w:tcW w:type="dxa" w:w="2900"/>
            <w:shd w:fill="FFFFFF"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model_access_denied</w:t>
            </w:r>
          </w:p>
        </w:tc>
        <w:tc>
          <w:tcPr>
            <w:tcW w:type="dxa" w:w="68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Never invoked by this account, a use-case form is outstanding, or an IAM/SCP policy forbids it. Send one message in the Bedrock Playground.</w:t>
            </w:r>
          </w:p>
        </w:tc>
      </w:tr>
      <w:tr>
        <w:tc>
          <w:tcPr>
            <w:tcW w:type="dxa" w:w="2900"/>
            <w:shd w:fill="F7F9FA"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model_not_found</w:t>
            </w:r>
          </w:p>
        </w:tc>
        <w:tc>
          <w:tcPr>
            <w:tcW w:type="dxa" w:w="689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ModelId in samconfig.toml is not one that list-models.sh printed.</w:t>
            </w:r>
          </w:p>
        </w:tc>
      </w:tr>
      <w:tr>
        <w:tc>
          <w:tcPr>
            <w:tcW w:type="dxa" w:w="2900"/>
            <w:shd w:fill="FFFFFF"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HTTP 403, no body</w:t>
            </w:r>
          </w:p>
        </w:tc>
        <w:tc>
          <w:tcPr>
            <w:tcW w:type="dxa" w:w="68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Missing or wrong API key.</w:t>
            </w:r>
          </w:p>
        </w:tc>
      </w:tr>
      <w:tr>
        <w:tc>
          <w:tcPr>
            <w:tcW w:type="dxa" w:w="2900"/>
            <w:shd w:fill="F7F9FA" w:val="clear"/>
            <w:tcMar>
              <w:top w:type="dxa" w:w="90"/>
              <w:left w:type="dxa" w:w="140"/>
              <w:bottom w:type="dxa" w:w="90"/>
              <w:right w:type="dxa" w:w="140"/>
            </w:tcMar>
          </w:tcPr>
          <w:p>
            <w:pPr>
              <w:spacing w:after="0" w:line="264"/>
            </w:pPr>
            <w:r>
              <w:rPr>
                <w:rFonts w:ascii="Consolas" w:cs="Consolas" w:eastAsia="Consolas" w:hAnsi="Consolas"/>
                <w:b w:val="false"/>
                <w:bCs w:val="false"/>
                <w:color w:val="242A31"/>
                <w:sz w:val="19"/>
                <w:szCs w:val="19"/>
              </w:rPr>
              <w:t xml:space="preserve">HTTP 400, no body</w:t>
            </w:r>
          </w:p>
        </w:tc>
        <w:tc>
          <w:tcPr>
            <w:tcW w:type="dxa" w:w="689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The request validator rejected the payload before Lambda saw it.</w:t>
            </w:r>
          </w:p>
        </w:tc>
      </w:tr>
    </w:tbl>
    <w:p>
      <w:r>
        <w:br w:type="page"/>
      </w:r>
    </w:p>
    <w:p>
      <w:pPr>
        <w:pStyle w:val="Heading1"/>
        <w:pBdr>
          <w:bottom w:val="single" w:color="B0770A" w:sz="8" w:space="6"/>
        </w:pBdr>
        <w:spacing w:after="140" w:before="380"/>
      </w:pPr>
      <w:r>
        <w:rPr>
          <w:rFonts w:ascii="Calibri" w:cs="Calibri" w:eastAsia="Calibri" w:hAnsi="Calibri"/>
          <w:b/>
          <w:bCs/>
          <w:color w:val="1A2332"/>
          <w:sz w:val="30"/>
          <w:szCs w:val="30"/>
        </w:rPr>
        <w:t xml:space="preserve">5.  Wire up Unity</w:t>
      </w:r>
    </w:p>
    <w:p>
      <w:pPr>
        <w:spacing w:after="120" w:line="276"/>
      </w:pPr>
      <w:r>
        <w:rPr>
          <w:rFonts w:ascii="Calibri" w:cs="Calibri" w:eastAsia="Calibri" w:hAnsi="Calibri"/>
          <w:b w:val="false"/>
          <w:bCs w:val="false"/>
          <w:i w:val="false"/>
          <w:iCs w:val="false"/>
          <w:color w:val="242A31"/>
          <w:sz w:val="22"/>
          <w:szCs w:val="22"/>
        </w:rPr>
        <w:t xml:space="preserve">Full detail is in </w:t>
      </w:r>
      <w:r>
        <w:rPr>
          <w:rFonts w:ascii="Consolas" w:cs="Consolas" w:eastAsia="Consolas" w:hAnsi="Consolas"/>
          <w:b w:val="false"/>
          <w:bCs w:val="false"/>
          <w:i w:val="false"/>
          <w:iCs w:val="false"/>
          <w:color w:val="242A31"/>
          <w:sz w:val="22"/>
          <w:szCs w:val="22"/>
          <w:shd w:fill="F3F5F7" w:val="clear"/>
        </w:rPr>
        <w:t xml:space="preserve">unity-client/README.md</w:t>
      </w:r>
      <w:r>
        <w:rPr>
          <w:rFonts w:ascii="Calibri" w:cs="Calibri" w:eastAsia="Calibri" w:hAnsi="Calibri"/>
          <w:b w:val="false"/>
          <w:bCs w:val="false"/>
          <w:i w:val="false"/>
          <w:iCs w:val="false"/>
          <w:color w:val="242A31"/>
          <w:sz w:val="22"/>
          <w:szCs w:val="22"/>
        </w:rPr>
        <w:t xml:space="preserve">. It is four files to copy and two fields to fill in.</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Copy the four .cs files from unity-client/ into Assets/Scripts/.</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Add the Math Interpreter Client component to any GameObject.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Add the Interpretation Panel component to any GameObject.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Paste the ApiEndpoint value into Endpoint.</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Paste the key from get-api-key.sh into Api Key.</w:t>
      </w:r>
    </w:p>
    <w:p>
      <w:pPr>
        <w:tabs>
          <w:tab w:val="left" w:pos="400"/>
        </w:tabs>
        <w:spacing w:after="110" w:line="276"/>
        <w:ind w:left="400" w:hanging="400"/>
      </w:pPr>
      <w:r>
        <w:rPr>
          <w:rFonts w:ascii="Segoe UI Symbol" w:cs="Segoe UI Symbol" w:eastAsia="Segoe UI Symbol" w:hAnsi="Segoe UI Symbol"/>
          <w:color w:val="B0770A"/>
          <w:sz w:val="26"/>
          <w:szCs w:val="26"/>
        </w:rPr>
        <w:t xml:space="preserve">☐</w:t>
      </w:r>
      <w:r>
        <w:rPr>
          <w:sz w:val="22"/>
          <w:szCs w:val="22"/>
        </w:rPr>
        <w:t xml:space="preserve">	</w:t>
      </w:r>
      <w:r>
        <w:rPr>
          <w:rFonts w:ascii="Calibri" w:cs="Calibri" w:eastAsia="Calibri" w:hAnsi="Calibri"/>
          <w:color w:val="242A31"/>
          <w:sz w:val="22"/>
          <w:szCs w:val="22"/>
        </w:rPr>
        <w:t xml:space="preserve">Press Play and right-click the surface.</w:t>
      </w:r>
    </w:p>
    <w:p>
      <w:pPr>
        <w:spacing w:after="6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3A6FA5" w:sz="18"/>
              <w:bottom w:val="none" w:color="FFFFFF" w:sz="0"/>
              <w:right w:val="none" w:color="FFFFFF" w:sz="0"/>
            </w:tcBorders>
            <w:shd w:fill="EDF3F9" w:val="clear"/>
            <w:tcMar>
              <w:top w:type="dxa" w:w="130"/>
              <w:left w:type="dxa" w:w="200"/>
              <w:bottom w:type="dxa" w:w="130"/>
              <w:right w:type="dxa" w:w="200"/>
            </w:tcMar>
          </w:tcPr>
          <w:p>
            <w:pPr>
              <w:spacing w:after="60"/>
            </w:pPr>
            <w:r>
              <w:rPr>
                <w:rFonts w:ascii="Calibri" w:cs="Calibri" w:eastAsia="Calibri" w:hAnsi="Calibri"/>
                <w:b/>
                <w:bCs/>
                <w:color w:val="3A6FA5"/>
                <w:spacing w:val="30"/>
                <w:sz w:val="17"/>
                <w:szCs w:val="17"/>
              </w:rPr>
              <w:t xml:space="preserve">THE CHECK THAT MATTERS MOST</w:t>
            </w:r>
          </w:p>
          <w:p>
            <w:pPr>
              <w:spacing w:after="0" w:line="268"/>
            </w:pPr>
            <w:r>
              <w:rPr>
                <w:rFonts w:ascii="Calibri" w:cs="Calibri" w:eastAsia="Calibri" w:hAnsi="Calibri"/>
                <w:b w:val="false"/>
                <w:bCs w:val="false"/>
                <w:i w:val="false"/>
                <w:iCs w:val="false"/>
                <w:color w:val="2A2F35"/>
                <w:sz w:val="21"/>
                <w:szCs w:val="21"/>
              </w:rPr>
              <w:t xml:space="preserve">On the surface </w:t>
            </w:r>
            <w:r>
              <w:rPr>
                <w:rFonts w:ascii="Consolas" w:cs="Consolas" w:eastAsia="Consolas" w:hAnsi="Consolas"/>
                <w:b w:val="false"/>
                <w:bCs w:val="false"/>
                <w:i w:val="false"/>
                <w:iCs w:val="false"/>
                <w:color w:val="2A2F35"/>
                <w:sz w:val="21"/>
                <w:szCs w:val="21"/>
              </w:rPr>
              <w:t xml:space="preserve">x^2 - y^2</w:t>
            </w:r>
            <w:r>
              <w:rPr>
                <w:rFonts w:ascii="Calibri" w:cs="Calibri" w:eastAsia="Calibri" w:hAnsi="Calibri"/>
                <w:b w:val="false"/>
                <w:bCs w:val="false"/>
                <w:i w:val="false"/>
                <w:iCs w:val="false"/>
                <w:color w:val="2A2F35"/>
                <w:sz w:val="21"/>
                <w:szCs w:val="21"/>
              </w:rPr>
              <w:t xml:space="preserve">, right-click the origin and then the point (1, 1). The origin should be described as a </w:t>
            </w:r>
            <w:r>
              <w:rPr>
                <w:rFonts w:ascii="Calibri" w:cs="Calibri" w:eastAsia="Calibri" w:hAnsi="Calibri"/>
                <w:b/>
                <w:bCs/>
                <w:i w:val="false"/>
                <w:iCs w:val="false"/>
                <w:color w:val="2A2F35"/>
                <w:sz w:val="21"/>
                <w:szCs w:val="21"/>
              </w:rPr>
              <w:t xml:space="preserve">saddle point</w:t>
            </w:r>
            <w:r>
              <w:rPr>
                <w:rFonts w:ascii="Calibri" w:cs="Calibri" w:eastAsia="Calibri" w:hAnsi="Calibri"/>
                <w:b w:val="false"/>
                <w:bCs w:val="false"/>
                <w:i w:val="false"/>
                <w:iCs w:val="false"/>
                <w:color w:val="2A2F35"/>
                <w:sz w:val="21"/>
                <w:szCs w:val="21"/>
              </w:rPr>
              <w:t xml:space="preserve">. The point (1, 1) should be described as </w:t>
            </w:r>
            <w:r>
              <w:rPr>
                <w:rFonts w:ascii="Calibri" w:cs="Calibri" w:eastAsia="Calibri" w:hAnsi="Calibri"/>
                <w:b/>
                <w:bCs/>
                <w:i w:val="false"/>
                <w:iCs w:val="false"/>
                <w:color w:val="2A2F35"/>
                <w:sz w:val="21"/>
                <w:szCs w:val="21"/>
              </w:rPr>
              <w:t xml:space="preserve">sloping</w:t>
            </w:r>
            <w:r>
              <w:rPr>
                <w:rFonts w:ascii="Calibri" w:cs="Calibri" w:eastAsia="Calibri" w:hAnsi="Calibri"/>
                <w:b w:val="false"/>
                <w:bCs w:val="false"/>
                <w:i w:val="false"/>
                <w:iCs w:val="false"/>
                <w:color w:val="2A2F35"/>
                <w:sz w:val="21"/>
                <w:szCs w:val="21"/>
              </w:rPr>
              <w:t xml:space="preserve"> and must not be called a maximum or minimum. That difference is the whole mathematical honesty argument, and it is the single best thing to verify by hand.</w:t>
            </w:r>
          </w:p>
        </w:tc>
      </w:tr>
    </w:tbl>
    <w:p>
      <w:r>
        <w:br w:type="page"/>
      </w:r>
    </w:p>
    <w:p>
      <w:pPr>
        <w:pStyle w:val="Heading1"/>
        <w:pBdr>
          <w:bottom w:val="single" w:color="B0770A" w:sz="8" w:space="6"/>
        </w:pBdr>
        <w:spacing w:after="140" w:before="380"/>
      </w:pPr>
      <w:r>
        <w:rPr>
          <w:rFonts w:ascii="Calibri" w:cs="Calibri" w:eastAsia="Calibri" w:hAnsi="Calibri"/>
          <w:b/>
          <w:bCs/>
          <w:color w:val="1A2332"/>
          <w:sz w:val="30"/>
          <w:szCs w:val="30"/>
        </w:rPr>
        <w:t xml:space="preserve">What this costs</w:t>
      </w:r>
    </w:p>
    <w:p>
      <w:pPr>
        <w:spacing w:after="120" w:line="276"/>
      </w:pPr>
      <w:r>
        <w:rPr>
          <w:rFonts w:ascii="Calibri" w:cs="Calibri" w:eastAsia="Calibri" w:hAnsi="Calibri"/>
          <w:b w:val="false"/>
          <w:bCs w:val="false"/>
          <w:i w:val="false"/>
          <w:iCs w:val="false"/>
          <w:color w:val="242A31"/>
          <w:sz w:val="22"/>
          <w:szCs w:val="22"/>
        </w:rPr>
        <w:t xml:space="preserve">Everything except Bedrock is effectively free at this scale.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00"/>
        <w:gridCol w:w="6792"/>
      </w:tblGrid>
      <w:tr>
        <w:trPr>
          <w:tblHeader/>
        </w:trPr>
        <w:tc>
          <w:tcPr>
            <w:tcW w:type="dxa" w:w="3000"/>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Service</w:t>
            </w:r>
          </w:p>
        </w:tc>
        <w:tc>
          <w:tcPr>
            <w:tcW w:type="dxa" w:w="6792"/>
            <w:shd w:fill="1A2332" w:val="clear"/>
            <w:tcMar>
              <w:top w:type="dxa" w:w="90"/>
              <w:left w:type="dxa" w:w="140"/>
              <w:bottom w:type="dxa" w:w="90"/>
              <w:right w:type="dxa" w:w="140"/>
            </w:tcMar>
          </w:tcPr>
          <w:p>
            <w:r>
              <w:rPr>
                <w:rFonts w:ascii="Calibri" w:cs="Calibri" w:eastAsia="Calibri" w:hAnsi="Calibri"/>
                <w:b/>
                <w:bCs/>
                <w:color w:val="FFFFFF"/>
                <w:sz w:val="19"/>
                <w:szCs w:val="19"/>
              </w:rPr>
              <w:t xml:space="preserve">At this scale</w:t>
            </w:r>
          </w:p>
        </w:tc>
      </w:tr>
      <w:tr>
        <w:tc>
          <w:tcPr>
            <w:tcW w:type="dxa" w:w="3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Lambda</w:t>
            </w:r>
          </w:p>
        </w:tc>
        <w:tc>
          <w:tcPr>
            <w:tcW w:type="dxa" w:w="67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Free tier covers 1M requests/month. Nothing.</w:t>
            </w:r>
          </w:p>
        </w:tc>
      </w:tr>
      <w:tr>
        <w:tc>
          <w:tcPr>
            <w:tcW w:type="dxa" w:w="300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API Gateway (REST)</w:t>
            </w:r>
          </w:p>
        </w:tc>
        <w:tc>
          <w:tcPr>
            <w:tcW w:type="dxa" w:w="679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About $3.50 per million requests. A few cents a month.</w:t>
            </w:r>
          </w:p>
        </w:tc>
      </w:tr>
      <w:tr>
        <w:tc>
          <w:tcPr>
            <w:tcW w:type="dxa" w:w="3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DynamoDB (on-demand)</w:t>
            </w:r>
          </w:p>
        </w:tc>
        <w:tc>
          <w:tcPr>
            <w:tcW w:type="dxa" w:w="6792"/>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Pennies. Idle almost always, and no provisioned capacity billing around the clock.</w:t>
            </w:r>
          </w:p>
        </w:tc>
      </w:tr>
      <w:tr>
        <w:tc>
          <w:tcPr>
            <w:tcW w:type="dxa" w:w="3000"/>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CloudWatch Logs</w:t>
            </w:r>
          </w:p>
        </w:tc>
        <w:tc>
          <w:tcPr>
            <w:tcW w:type="dxa" w:w="6792"/>
            <w:shd w:fill="F7F9FA" w:val="clear"/>
            <w:tcMar>
              <w:top w:type="dxa" w:w="90"/>
              <w:left w:type="dxa" w:w="140"/>
              <w:bottom w:type="dxa" w:w="90"/>
              <w:right w:type="dxa" w:w="140"/>
            </w:tcMar>
          </w:tcPr>
          <w:p>
            <w:pPr>
              <w:spacing w:after="0" w:line="264"/>
            </w:pPr>
            <w:r>
              <w:rPr>
                <w:rFonts w:ascii="Calibri" w:cs="Calibri" w:eastAsia="Calibri" w:hAnsi="Calibri"/>
                <w:b w:val="false"/>
                <w:bCs w:val="false"/>
                <w:color w:val="242A31"/>
                <w:sz w:val="19"/>
                <w:szCs w:val="19"/>
              </w:rPr>
              <w:t xml:space="preserve">Retention capped at 14 days in the template so it cannot creep.</w:t>
            </w:r>
          </w:p>
        </w:tc>
      </w:tr>
      <w:tr>
        <w:tc>
          <w:tcPr>
            <w:tcW w:type="dxa" w:w="3000"/>
            <w:shd w:fill="FFFFFF"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Bedrock</w:t>
            </w:r>
          </w:p>
        </w:tc>
        <w:tc>
          <w:tcPr>
            <w:tcW w:type="dxa" w:w="6792"/>
            <w:shd w:fill="FFFFFF" w:val="clear"/>
            <w:tcMar>
              <w:top w:type="dxa" w:w="90"/>
              <w:left w:type="dxa" w:w="140"/>
              <w:bottom w:type="dxa" w:w="90"/>
              <w:right w:type="dxa" w:w="140"/>
            </w:tcMar>
          </w:tcPr>
          <w:p>
            <w:pPr>
              <w:spacing w:after="0" w:line="264"/>
            </w:pPr>
            <w:r>
              <w:rPr>
                <w:rFonts w:ascii="Calibri" w:cs="Calibri" w:eastAsia="Calibri" w:hAnsi="Calibri"/>
                <w:b/>
                <w:bCs/>
                <w:color w:val="242A31"/>
                <w:sz w:val="19"/>
                <w:szCs w:val="19"/>
              </w:rPr>
              <w:t xml:space="preserve">The only part that meaningfully costs money.</w:t>
            </w:r>
          </w:p>
        </w:tc>
      </w:tr>
    </w:tbl>
    <w:p>
      <w:pPr>
        <w:spacing w:after="160"/>
      </w:pPr>
    </w:p>
    <w:p>
      <w:pPr>
        <w:spacing w:after="120" w:line="276"/>
      </w:pPr>
      <w:r>
        <w:rPr>
          <w:rFonts w:ascii="Calibri" w:cs="Calibri" w:eastAsia="Calibri" w:hAnsi="Calibri"/>
          <w:b w:val="false"/>
          <w:bCs w:val="false"/>
          <w:i w:val="false"/>
          <w:iCs w:val="false"/>
          <w:color w:val="242A31"/>
          <w:sz w:val="22"/>
          <w:szCs w:val="22"/>
        </w:rPr>
        <w:t xml:space="preserve">A single click sends roughly 1,000 input tokens (the system prompt dominates) and gets back a few hundred output tokens.</w:t>
      </w:r>
    </w:p>
    <w:p>
      <w:pPr>
        <w:spacing w:after="120" w:line="276"/>
      </w:pPr>
      <w:r>
        <w:rPr>
          <w:rFonts w:ascii="Calibri" w:cs="Calibri" w:eastAsia="Calibri" w:hAnsi="Calibri"/>
          <w:b w:val="false"/>
          <w:bCs w:val="false"/>
          <w:i w:val="false"/>
          <w:iCs w:val="false"/>
          <w:color w:val="242A31"/>
          <w:sz w:val="22"/>
          <w:szCs w:val="22"/>
        </w:rPr>
        <w:t xml:space="preserve">Anthropic’s first-party list prices are $5 / $25 per million input / output tokens for Opus 5, $2 / $10 for Sonnet 5, and $1 / $5 for Haiku 4.5. On those numbers a click is somewhere around </w:t>
      </w:r>
      <w:r>
        <w:rPr>
          <w:rFonts w:ascii="Calibri" w:cs="Calibri" w:eastAsia="Calibri" w:hAnsi="Calibri"/>
          <w:b/>
          <w:bCs/>
          <w:i w:val="false"/>
          <w:iCs w:val="false"/>
          <w:color w:val="242A31"/>
          <w:sz w:val="22"/>
          <w:szCs w:val="22"/>
        </w:rPr>
        <w:t xml:space="preserve">1–2 cents on Opus</w:t>
      </w:r>
      <w:r>
        <w:rPr>
          <w:rFonts w:ascii="Calibri" w:cs="Calibri" w:eastAsia="Calibri" w:hAnsi="Calibri"/>
          <w:b w:val="false"/>
          <w:bCs w:val="false"/>
          <w:i w:val="false"/>
          <w:iCs w:val="false"/>
          <w:color w:val="242A31"/>
          <w:sz w:val="22"/>
          <w:szCs w:val="22"/>
        </w:rPr>
        <w:t xml:space="preserve">, and well under a cent on Sonnet or Haiku.</w:t>
      </w:r>
    </w:p>
    <w:p>
      <w:pPr>
        <w:spacing w:after="40"/>
      </w:pPr>
    </w:p>
    <w:tbl>
      <w:tblPr>
        <w:tblW w:type="dxa" w:w="9792"/>
        <w:tblBorders>
          <w:top w:val="none" w:color="FFFFFF" w:sz="0"/>
          <w:left w:val="none" w:color="FFFFFF" w:sz="0"/>
          <w:bottom w:val="none" w:color="FFFFFF" w:sz="0"/>
          <w:right w:val="none" w:color="FFFFFF" w:sz="0"/>
          <w:insideH w:val="single" w:color="auto" w:sz="4"/>
          <w:insideV w:val="single" w:color="auto" w:sz="4"/>
        </w:tblBorders>
      </w:tblPr>
      <w:tblGrid>
        <w:gridCol w:w="9792"/>
      </w:tblGrid>
      <w:tr>
        <w:tc>
          <w:tcPr>
            <w:tcW w:type="dxa" w:w="9792"/>
            <w:tcBorders>
              <w:top w:val="none" w:color="FFFFFF" w:sz="0"/>
              <w:left w:val="single" w:color="D9A407" w:sz="18"/>
              <w:bottom w:val="none" w:color="FFFFFF" w:sz="0"/>
              <w:right w:val="none" w:color="FFFFFF" w:sz="0"/>
            </w:tcBorders>
            <w:shd w:fill="FFF7E3" w:val="clear"/>
            <w:tcMar>
              <w:top w:type="dxa" w:w="130"/>
              <w:left w:type="dxa" w:w="200"/>
              <w:bottom w:type="dxa" w:w="130"/>
              <w:right w:type="dxa" w:w="200"/>
            </w:tcMar>
          </w:tcPr>
          <w:p>
            <w:pPr>
              <w:spacing w:after="60"/>
            </w:pPr>
            <w:r>
              <w:rPr>
                <w:rFonts w:ascii="Calibri" w:cs="Calibri" w:eastAsia="Calibri" w:hAnsi="Calibri"/>
                <w:b/>
                <w:bCs/>
                <w:color w:val="D9A407"/>
                <w:spacing w:val="30"/>
                <w:sz w:val="17"/>
                <w:szCs w:val="17"/>
              </w:rPr>
              <w:t xml:space="preserve">TWO CAVEATS ON THOSE FIGURES</w:t>
            </w:r>
          </w:p>
          <w:p>
            <w:pPr>
              <w:spacing w:after="0" w:line="268"/>
            </w:pPr>
            <w:r>
              <w:rPr>
                <w:rFonts w:ascii="Calibri" w:cs="Calibri" w:eastAsia="Calibri" w:hAnsi="Calibri"/>
                <w:b w:val="false"/>
                <w:bCs w:val="false"/>
                <w:i w:val="false"/>
                <w:iCs w:val="false"/>
                <w:color w:val="2A2F35"/>
                <w:sz w:val="21"/>
                <w:szCs w:val="21"/>
              </w:rPr>
              <w:t xml:space="preserve">Bedrock is billed by AWS at its own rates, which are not necessarily the first-party ones — check aws.amazon.com/bedrock/pricing before relying on any of this. And the template ships with </w:t>
            </w:r>
            <w:r>
              <w:rPr>
                <w:rFonts w:ascii="Consolas" w:cs="Consolas" w:eastAsia="Consolas" w:hAnsi="Consolas"/>
                <w:b w:val="false"/>
                <w:bCs w:val="false"/>
                <w:i w:val="false"/>
                <w:iCs w:val="false"/>
                <w:color w:val="2A2F35"/>
                <w:sz w:val="21"/>
                <w:szCs w:val="21"/>
              </w:rPr>
              <w:t xml:space="preserve">MonthlyQuota=2000</w:t>
            </w:r>
            <w:r>
              <w:rPr>
                <w:rFonts w:ascii="Calibri" w:cs="Calibri" w:eastAsia="Calibri" w:hAnsi="Calibri"/>
                <w:b w:val="false"/>
                <w:bCs w:val="false"/>
                <w:i w:val="false"/>
                <w:iCs w:val="false"/>
                <w:color w:val="2A2F35"/>
                <w:sz w:val="21"/>
                <w:szCs w:val="21"/>
              </w:rPr>
              <w:t xml:space="preserve">. At Opus rates, 2,000 uncached clicks is on the order of $20–30 a month if you used the whole quota. You almost certainly will not, but that is the ceiling you have authorised.</w:t>
            </w:r>
          </w:p>
        </w:tc>
      </w:tr>
    </w:tbl>
    <w:p>
      <w:pPr>
        <w:spacing w:after="160"/>
      </w:pPr>
    </w:p>
    <w:p>
      <w:pPr>
        <w:pStyle w:val="Heading2"/>
        <w:spacing w:after="90" w:before="260"/>
      </w:pPr>
      <w:r>
        <w:rPr>
          <w:rFonts w:ascii="Calibri" w:cs="Calibri" w:eastAsia="Calibri" w:hAnsi="Calibri"/>
          <w:b/>
          <w:bCs/>
          <w:color w:val="1A2332"/>
          <w:sz w:val="24"/>
          <w:szCs w:val="24"/>
        </w:rPr>
        <w:t xml:space="preserve">Three levers, in order of what they cost you</w:t>
      </w:r>
    </w:p>
    <w:p>
      <w:pPr>
        <w:spacing w:after="120" w:line="276"/>
      </w:pPr>
      <w:r>
        <w:rPr>
          <w:rFonts w:ascii="Calibri" w:cs="Calibri" w:eastAsia="Calibri" w:hAnsi="Calibri"/>
          <w:b/>
          <w:bCs/>
          <w:i w:val="false"/>
          <w:iCs w:val="false"/>
          <w:color w:val="242A31"/>
          <w:sz w:val="22"/>
          <w:szCs w:val="22"/>
        </w:rPr>
        <w:t xml:space="preserve">1.  Lower the quota. </w:t>
      </w:r>
      <w:r>
        <w:rPr>
          <w:rFonts w:ascii="Consolas" w:cs="Consolas" w:eastAsia="Consolas" w:hAnsi="Consolas"/>
          <w:b w:val="false"/>
          <w:bCs w:val="false"/>
          <w:i w:val="false"/>
          <w:iCs w:val="false"/>
          <w:color w:val="242A31"/>
          <w:sz w:val="22"/>
          <w:szCs w:val="22"/>
          <w:shd w:fill="F3F5F7" w:val="clear"/>
        </w:rPr>
        <w:t xml:space="preserve">MonthlyQuota=300</w:t>
      </w:r>
      <w:r>
        <w:rPr>
          <w:rFonts w:ascii="Calibri" w:cs="Calibri" w:eastAsia="Calibri" w:hAnsi="Calibri"/>
          <w:b w:val="false"/>
          <w:bCs w:val="false"/>
          <w:i w:val="false"/>
          <w:iCs w:val="false"/>
          <w:color w:val="242A31"/>
          <w:sz w:val="22"/>
          <w:szCs w:val="22"/>
        </w:rPr>
        <w:t xml:space="preserve"> in samconfig.toml caps the worst case at a few dollars and is still far more than a demo needs. Costs you nothing.</w:t>
      </w:r>
    </w:p>
    <w:p>
      <w:pPr>
        <w:spacing w:after="120" w:line="276"/>
      </w:pPr>
      <w:r>
        <w:rPr>
          <w:rFonts w:ascii="Calibri" w:cs="Calibri" w:eastAsia="Calibri" w:hAnsi="Calibri"/>
          <w:b/>
          <w:bCs/>
          <w:i w:val="false"/>
          <w:iCs w:val="false"/>
          <w:color w:val="242A31"/>
          <w:sz w:val="22"/>
          <w:szCs w:val="22"/>
        </w:rPr>
        <w:t xml:space="preserve">2.  Leave Effort=low. </w:t>
      </w:r>
      <w:r>
        <w:rPr>
          <w:rFonts w:ascii="Calibri" w:cs="Calibri" w:eastAsia="Calibri" w:hAnsi="Calibri"/>
          <w:b w:val="false"/>
          <w:bCs w:val="false"/>
          <w:i w:val="false"/>
          <w:iCs w:val="false"/>
          <w:color w:val="242A31"/>
          <w:sz w:val="22"/>
          <w:szCs w:val="22"/>
        </w:rPr>
        <w:t xml:space="preserve">Already the default. This endpoint restates numbers it was handed, which is a genuinely simple task, so low effort is right on the merits rather than a compromise.</w:t>
      </w:r>
    </w:p>
    <w:p>
      <w:pPr>
        <w:spacing w:after="120" w:line="276"/>
      </w:pPr>
      <w:r>
        <w:rPr>
          <w:rFonts w:ascii="Calibri" w:cs="Calibri" w:eastAsia="Calibri" w:hAnsi="Calibri"/>
          <w:b/>
          <w:bCs/>
          <w:i w:val="false"/>
          <w:iCs w:val="false"/>
          <w:color w:val="242A31"/>
          <w:sz w:val="22"/>
          <w:szCs w:val="22"/>
        </w:rPr>
        <w:t xml:space="preserve">3.  Switch models. </w:t>
      </w:r>
      <w:r>
        <w:rPr>
          <w:rFonts w:ascii="Consolas" w:cs="Consolas" w:eastAsia="Consolas" w:hAnsi="Consolas"/>
          <w:b w:val="false"/>
          <w:bCs w:val="false"/>
          <w:i w:val="false"/>
          <w:iCs w:val="false"/>
          <w:color w:val="242A31"/>
          <w:sz w:val="22"/>
          <w:szCs w:val="22"/>
          <w:shd w:fill="F3F5F7" w:val="clear"/>
        </w:rPr>
        <w:t xml:space="preserve">ModelId=anthropic.claude-sonnet-5</w:t>
      </w:r>
      <w:r>
        <w:rPr>
          <w:rFonts w:ascii="Calibri" w:cs="Calibri" w:eastAsia="Calibri" w:hAnsi="Calibri"/>
          <w:b w:val="false"/>
          <w:bCs w:val="false"/>
          <w:i w:val="false"/>
          <w:iCs w:val="false"/>
          <w:color w:val="242A31"/>
          <w:sz w:val="22"/>
          <w:szCs w:val="22"/>
        </w:rPr>
        <w:t xml:space="preserve"> cuts the per-call cost to roughly a third. Opus is the default because it writes explanations better and that is the entire product here — but this is your call, not the template’s.</w:t>
      </w:r>
    </w:p>
    <w:p>
      <w:pPr>
        <w:spacing w:after="120" w:line="276"/>
      </w:pPr>
      <w:r>
        <w:rPr>
          <w:rFonts w:ascii="Calibri" w:cs="Calibri" w:eastAsia="Calibri" w:hAnsi="Calibri"/>
          <w:b w:val="false"/>
          <w:bCs w:val="false"/>
          <w:i w:val="false"/>
          <w:iCs w:val="false"/>
          <w:color w:val="242A31"/>
          <w:sz w:val="22"/>
          <w:szCs w:val="22"/>
        </w:rPr>
        <w:t xml:space="preserve">Change any of them in samconfig.toml and re-run sam deploy.</w:t>
      </w:r>
    </w:p>
    <w:p>
      <w:pPr>
        <w:spacing w:after="160"/>
      </w:pPr>
    </w:p>
    <w:p>
      <w:pPr>
        <w:pStyle w:val="Heading1"/>
        <w:pBdr>
          <w:bottom w:val="single" w:color="B0770A" w:sz="8" w:space="6"/>
        </w:pBdr>
        <w:spacing w:after="140" w:before="380"/>
      </w:pPr>
      <w:r>
        <w:rPr>
          <w:rFonts w:ascii="Calibri" w:cs="Calibri" w:eastAsia="Calibri" w:hAnsi="Calibri"/>
          <w:b/>
          <w:bCs/>
          <w:color w:val="1A2332"/>
          <w:sz w:val="30"/>
          <w:szCs w:val="30"/>
        </w:rPr>
        <w:t xml:space="preserve">Tearing it down</w:t>
      </w:r>
    </w:p>
    <w:p>
      <w:pPr>
        <w:shd w:fill="F3F5F7" w:val="clear"/>
        <w:spacing w:after="160" w:before="100" w:line="260"/>
        <w:ind w:left="300"/>
      </w:pPr>
      <w:r>
        <w:rPr>
          <w:rFonts w:ascii="Consolas" w:cs="Consolas" w:eastAsia="Consolas" w:hAnsi="Consolas"/>
          <w:color w:val="1C2733"/>
          <w:sz w:val="19"/>
          <w:szCs w:val="19"/>
        </w:rPr>
        <w:t xml:space="preserve">sam delete</w:t>
      </w:r>
    </w:p>
    <w:p>
      <w:pPr>
        <w:spacing w:after="120" w:line="276"/>
      </w:pPr>
      <w:r>
        <w:rPr>
          <w:rFonts w:ascii="Calibri" w:cs="Calibri" w:eastAsia="Calibri" w:hAnsi="Calibri"/>
          <w:b w:val="false"/>
          <w:bCs w:val="false"/>
          <w:i w:val="false"/>
          <w:iCs w:val="false"/>
          <w:color w:val="242A31"/>
          <w:sz w:val="22"/>
          <w:szCs w:val="22"/>
        </w:rPr>
        <w:t xml:space="preserve">This removes the stack but </w:t>
      </w:r>
      <w:r>
        <w:rPr>
          <w:rFonts w:ascii="Calibri" w:cs="Calibri" w:eastAsia="Calibri" w:hAnsi="Calibri"/>
          <w:b/>
          <w:bCs/>
          <w:i w:val="false"/>
          <w:iCs w:val="false"/>
          <w:color w:val="242A31"/>
          <w:sz w:val="22"/>
          <w:szCs w:val="22"/>
        </w:rPr>
        <w:t xml:space="preserve">deliberately leaves the DynamoDB table behind</w:t>
      </w:r>
      <w:r>
        <w:rPr>
          <w:rFonts w:ascii="Calibri" w:cs="Calibri" w:eastAsia="Calibri" w:hAnsi="Calibri"/>
          <w:b w:val="false"/>
          <w:bCs w:val="false"/>
          <w:i w:val="false"/>
          <w:iCs w:val="false"/>
          <w:color w:val="242A31"/>
          <w:sz w:val="22"/>
          <w:szCs w:val="22"/>
        </w:rPr>
        <w:t xml:space="preserve"> — it is marked DeletionPolicy: Retain, because those rows are the only record of what the app was asked and re-earning them costs real money. Delete it by hand from the DynamoDB console when you genuinely want it gone.</w:t>
      </w:r>
    </w:p>
    <w:sectPr>
      <w:headerReference w:type="default" r:id="rId7"/>
      <w:footerReference w:type="default" r:id="rId8"/>
      <w:pgSz w:w="12240" w:h="15840" w:orient="portrait"/>
      <w:pgMar w:top="1180" w:right="1224" w:bottom="11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6"/>
      </w:pBdr>
      <w:spacing w:after="60"/>
      <w:jc w:val="right"/>
    </w:pPr>
    <w:r>
      <w:rPr>
        <w:rFonts w:ascii="Calibri" w:cs="Calibri" w:eastAsia="Calibri" w:hAnsi="Calibri"/>
        <w:color w:val="5A6672"/>
        <w:sz w:val="17"/>
        <w:szCs w:val="17"/>
      </w:rPr>
      <w:t xml:space="preserve">Spatial Math  ·  AWS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Math — AWS Setup Guide</dc:title>
  <dc:creator>Spatial Math</dc:creator>
  <dc:description>Step-by-step AWS setup for the AR Math Interpreter backend.</dc:description>
  <cp:lastModifiedBy>Un-named</cp:lastModifiedBy>
  <cp:revision>1</cp:revision>
  <dcterms:created xsi:type="dcterms:W3CDTF">2026-09-10T17:58:56.394Z</dcterms:created>
  <dcterms:modified xsi:type="dcterms:W3CDTF">2026-09-10T17:58:56.395Z</dcterms:modified>
</cp:coreProperties>
</file>

<file path=docProps/custom.xml><?xml version="1.0" encoding="utf-8"?>
<Properties xmlns="http://schemas.openxmlformats.org/officeDocument/2006/custom-properties" xmlns:vt="http://schemas.openxmlformats.org/officeDocument/2006/docPropsVTypes"/>
</file>