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2.jpeg" ContentType="image/jpeg"/>
  <Override PartName="/word/media/image1.png" ContentType="image/png"/>
  <Override PartName="/word/media/image3.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a8ab89717881e5987ffec6dc9234ddc46bf2f1"/>
    <w:p>
      <w:pPr>
        <w:pStyle w:val="Heading3"/>
      </w:pPr>
      <w:r>
        <w:t xml:space="preserve">Creating a New Data Hub Environment - Zone2</w:t>
      </w:r>
    </w:p>
    <w:bookmarkEnd w:id="20"/>
    <w:bookmarkStart w:id="24" w:name="pre-requisites"/>
    <w:p>
      <w:pPr>
        <w:pStyle w:val="Heading3"/>
      </w:pPr>
      <w:r>
        <w:t xml:space="preserve">Pre-requisites</w:t>
      </w:r>
    </w:p>
    <w:p>
      <w:pPr>
        <w:pStyle w:val="FirstParagraph"/>
      </w:pPr>
      <w:r>
        <w:t xml:space="preserve">A new environment will require new Resource Groups and User Assigned Managed Identity. A new Data Hub environment from Azure Devops perspective is essentially setup as a Release Stage across multiple Release Pipelines.</w:t>
      </w:r>
    </w:p>
    <w:p>
      <w:pPr>
        <w:pStyle w:val="CaptionedFigure"/>
      </w:pPr>
      <w:r>
        <w:drawing>
          <wp:inline>
            <wp:extent cx="6311278" cy="5793331"/>
            <wp:effectExtent b="0" l="0" r="0" t="0"/>
            <wp:docPr descr="new-stage" title="" id="22" name="Picture"/>
            <a:graphic>
              <a:graphicData uri="http://schemas.openxmlformats.org/drawingml/2006/picture">
                <pic:pic>
                  <pic:nvPicPr>
                    <pic:cNvPr descr="../_Images/DataHub-Environment-Release-Definition.PNG" id="23" name="Picture"/>
                    <pic:cNvPicPr>
                      <a:picLocks noChangeArrowheads="1" noChangeAspect="1"/>
                    </pic:cNvPicPr>
                  </pic:nvPicPr>
                  <pic:blipFill>
                    <a:blip r:embed="rId21"/>
                    <a:stretch>
                      <a:fillRect/>
                    </a:stretch>
                  </pic:blipFill>
                  <pic:spPr bwMode="auto">
                    <a:xfrm>
                      <a:off x="0" y="0"/>
                      <a:ext cx="6311278" cy="5793331"/>
                    </a:xfrm>
                    <a:prstGeom prst="rect">
                      <a:avLst/>
                    </a:prstGeom>
                    <a:noFill/>
                    <a:ln w="9525">
                      <a:noFill/>
                      <a:headEnd/>
                      <a:tailEnd/>
                    </a:ln>
                  </pic:spPr>
                </pic:pic>
              </a:graphicData>
            </a:graphic>
          </wp:inline>
        </w:drawing>
      </w:r>
    </w:p>
    <w:p>
      <w:pPr>
        <w:pStyle w:val="ImageCaption"/>
      </w:pPr>
      <w:r>
        <w:t xml:space="preserve">new-stage</w:t>
      </w:r>
    </w:p>
    <w:bookmarkEnd w:id="24"/>
    <w:bookmarkStart w:id="27" w:name="resource-groups"/>
    <w:p>
      <w:pPr>
        <w:pStyle w:val="Heading3"/>
      </w:pPr>
      <w:r>
        <w:t xml:space="preserve">Resource Groups</w:t>
      </w:r>
    </w:p>
    <w:p>
      <w:pPr>
        <w:numPr>
          <w:ilvl w:val="0"/>
          <w:numId w:val="1001"/>
        </w:numPr>
      </w:pPr>
      <w:r>
        <w:t xml:space="preserve">All Resource Groups need to be created by ITB - ACE team prior to Release being run</w:t>
      </w:r>
    </w:p>
    <w:p>
      <w:pPr>
        <w:numPr>
          <w:ilvl w:val="0"/>
          <w:numId w:val="1001"/>
        </w:numPr>
      </w:pPr>
      <w:r>
        <w:t xml:space="preserve">ACE will additionally grant permissions to the Resource Group to the Data Hub Service Principal (sp-) and the Integration teams Azure AD group</w:t>
      </w:r>
    </w:p>
    <w:p>
      <w:pPr>
        <w:numPr>
          <w:ilvl w:val="0"/>
          <w:numId w:val="1001"/>
        </w:numPr>
      </w:pPr>
      <w:r>
        <w:t xml:space="preserve">This request is performed via a ServiceNow Universal Request. Will require approval from Manager - Integration</w:t>
      </w:r>
    </w:p>
    <w:p>
      <w:pPr>
        <w:numPr>
          <w:ilvl w:val="0"/>
          <w:numId w:val="1001"/>
        </w:numPr>
      </w:pPr>
      <w:r>
        <w:t xml:space="preserve">See</w:t>
      </w:r>
      <w:r>
        <w:t xml:space="preserve"> </w:t>
      </w:r>
      <w:hyperlink r:id="rId25">
        <w:r>
          <w:rPr>
            <w:rStyle w:val="Hyperlink"/>
          </w:rPr>
          <w:t xml:space="preserve">KBA0032185 - CORP - Azure - Request new Resource Group</w:t>
        </w:r>
      </w:hyperlink>
    </w:p>
    <w:p>
      <w:pPr>
        <w:numPr>
          <w:ilvl w:val="0"/>
          <w:numId w:val="1001"/>
        </w:numPr>
      </w:pPr>
      <w:r>
        <w:t xml:space="preserve">Example request -</w:t>
      </w:r>
      <w:r>
        <w:t xml:space="preserve"> </w:t>
      </w:r>
      <w:hyperlink r:id="rId26">
        <w:r>
          <w:rPr>
            <w:rStyle w:val="Hyperlink"/>
          </w:rPr>
          <w:t xml:space="preserve">UR00104789</w:t>
        </w:r>
      </w:hyperlink>
      <w:r>
        <w:t xml:space="preserve"> </w:t>
      </w:r>
      <w:r>
        <w:t xml:space="preserve">or CHT0230848 (old service now)</w:t>
      </w:r>
    </w:p>
    <w:p>
      <w:pPr>
        <w:numPr>
          <w:ilvl w:val="0"/>
          <w:numId w:val="1000"/>
        </w:numPr>
      </w:pPr>
      <w:r>
        <w:t xml:space="preserve">Request Details. We need two resource groups created. One for the functions apps and one for the database resources.</w:t>
      </w:r>
    </w:p>
    <w:tbl>
      <w:tblPr>
        <w:tblStyle w:val="Table"/>
        <w:tblW w:type="pct" w:w="500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Property</w:t>
            </w:r>
          </w:p>
        </w:tc>
        <w:tc>
          <w:tcPr/>
          <w:p>
            <w:pPr>
              <w:numPr>
                <w:ilvl w:val="0"/>
                <w:numId w:val="1000"/>
              </w:numPr>
              <w:pStyle w:val="Compact"/>
              <w:jc w:val="left"/>
            </w:pPr>
            <w:r>
              <w:t xml:space="preserve">Value</w:t>
            </w:r>
          </w:p>
        </w:tc>
      </w:tr>
      <w:tr>
        <w:tc>
          <w:tcPr/>
          <w:p>
            <w:pPr>
              <w:numPr>
                <w:ilvl w:val="0"/>
                <w:numId w:val="1000"/>
              </w:numPr>
              <w:pStyle w:val="Compact"/>
              <w:jc w:val="left"/>
            </w:pPr>
            <w:r>
              <w:t xml:space="preserve">Environment</w:t>
            </w:r>
          </w:p>
        </w:tc>
        <w:tc>
          <w:tcPr/>
          <w:p>
            <w:pPr>
              <w:numPr>
                <w:ilvl w:val="0"/>
                <w:numId w:val="1000"/>
              </w:numPr>
              <w:pStyle w:val="Compact"/>
              <w:jc w:val="left"/>
            </w:pPr>
            <w:r>
              <w:t xml:space="preserve">Zone2</w:t>
            </w:r>
          </w:p>
        </w:tc>
      </w:tr>
      <w:tr>
        <w:tc>
          <w:tcPr/>
          <w:p>
            <w:pPr>
              <w:numPr>
                <w:ilvl w:val="0"/>
                <w:numId w:val="1000"/>
              </w:numPr>
              <w:pStyle w:val="Compact"/>
              <w:jc w:val="left"/>
            </w:pPr>
            <w:r>
              <w:t xml:space="preserve">Subscription</w:t>
            </w:r>
          </w:p>
        </w:tc>
        <w:tc>
          <w:tcPr/>
          <w:p>
            <w:pPr>
              <w:numPr>
                <w:ilvl w:val="0"/>
                <w:numId w:val="1000"/>
              </w:numPr>
              <w:pStyle w:val="Compact"/>
              <w:jc w:val="left"/>
            </w:pPr>
            <w:r>
              <w:t xml:space="preserve">EA-AUS-Z2</w:t>
            </w:r>
          </w:p>
        </w:tc>
      </w:tr>
      <w:tr>
        <w:tc>
          <w:tcPr/>
          <w:p>
            <w:pPr>
              <w:numPr>
                <w:ilvl w:val="0"/>
                <w:numId w:val="1000"/>
              </w:numPr>
              <w:pStyle w:val="Compact"/>
              <w:jc w:val="left"/>
            </w:pPr>
            <w:r>
              <w:t xml:space="preserve">Resource Group Names</w:t>
            </w:r>
          </w:p>
        </w:tc>
        <w:tc>
          <w:tcPr/>
          <w:p>
            <w:pPr>
              <w:numPr>
                <w:ilvl w:val="0"/>
                <w:numId w:val="1000"/>
              </w:numPr>
              <w:pStyle w:val="Compact"/>
              <w:jc w:val="left"/>
            </w:pPr>
            <w:r>
              <w:t xml:space="preserve">rg-dh-func-{env}-zone2 and rg-dh-db-{env}-zone2</w:t>
            </w:r>
          </w:p>
        </w:tc>
      </w:tr>
      <w:tr>
        <w:tc>
          <w:tcPr/>
          <w:p>
            <w:pPr>
              <w:numPr>
                <w:ilvl w:val="0"/>
                <w:numId w:val="1000"/>
              </w:numPr>
              <w:pStyle w:val="Compact"/>
              <w:jc w:val="left"/>
            </w:pPr>
            <w:r>
              <w:t xml:space="preserve">Location</w:t>
            </w:r>
          </w:p>
        </w:tc>
        <w:tc>
          <w:tcPr/>
          <w:p>
            <w:pPr>
              <w:numPr>
                <w:ilvl w:val="0"/>
                <w:numId w:val="1000"/>
              </w:numPr>
              <w:pStyle w:val="Compact"/>
              <w:jc w:val="left"/>
            </w:pPr>
            <w:r>
              <w:t xml:space="preserve">Australia East</w:t>
            </w:r>
          </w:p>
        </w:tc>
      </w:tr>
      <w:tr>
        <w:tc>
          <w:tcPr/>
          <w:p>
            <w:pPr>
              <w:numPr>
                <w:ilvl w:val="0"/>
                <w:numId w:val="1000"/>
              </w:numPr>
              <w:pStyle w:val="Compact"/>
              <w:jc w:val="left"/>
            </w:pPr>
            <w:r>
              <w:t xml:space="preserve">Business Owner</w:t>
            </w:r>
          </w:p>
        </w:tc>
        <w:tc>
          <w:tcPr/>
          <w:p>
            <w:pPr>
              <w:numPr>
                <w:ilvl w:val="0"/>
                <w:numId w:val="1000"/>
              </w:numPr>
              <w:pStyle w:val="Compact"/>
              <w:jc w:val="left"/>
            </w:pPr>
            <w:r>
              <w:t xml:space="preserve">Director, Application Development and Delivery</w:t>
            </w:r>
          </w:p>
        </w:tc>
      </w:tr>
      <w:tr>
        <w:tc>
          <w:tcPr/>
          <w:p>
            <w:pPr>
              <w:numPr>
                <w:ilvl w:val="0"/>
                <w:numId w:val="1000"/>
              </w:numPr>
              <w:pStyle w:val="Compact"/>
              <w:jc w:val="left"/>
            </w:pPr>
            <w:r>
              <w:t xml:space="preserve">Cost Centre</w:t>
            </w:r>
          </w:p>
        </w:tc>
        <w:tc>
          <w:tcPr/>
          <w:p>
            <w:pPr>
              <w:numPr>
                <w:ilvl w:val="0"/>
                <w:numId w:val="1000"/>
              </w:numPr>
              <w:pStyle w:val="Compact"/>
              <w:jc w:val="left"/>
            </w:pPr>
            <w:r>
              <w:t xml:space="preserve">2002568</w:t>
            </w:r>
          </w:p>
        </w:tc>
      </w:tr>
      <w:tr>
        <w:tc>
          <w:tcPr/>
          <w:p>
            <w:pPr>
              <w:numPr>
                <w:ilvl w:val="0"/>
                <w:numId w:val="1000"/>
              </w:numPr>
              <w:pStyle w:val="Compact"/>
              <w:jc w:val="left"/>
            </w:pPr>
            <w:r>
              <w:t xml:space="preserve">Solution</w:t>
            </w:r>
          </w:p>
        </w:tc>
        <w:tc>
          <w:tcPr/>
          <w:p>
            <w:pPr>
              <w:numPr>
                <w:ilvl w:val="0"/>
                <w:numId w:val="1000"/>
              </w:numPr>
              <w:pStyle w:val="Compact"/>
              <w:jc w:val="left"/>
            </w:pPr>
            <w:r>
              <w:t xml:space="preserve">Data Hub</w:t>
            </w:r>
          </w:p>
        </w:tc>
      </w:tr>
      <w:tr>
        <w:tc>
          <w:tcPr/>
          <w:p>
            <w:pPr>
              <w:numPr>
                <w:ilvl w:val="0"/>
                <w:numId w:val="1000"/>
              </w:numPr>
              <w:pStyle w:val="Compact"/>
              <w:jc w:val="left"/>
            </w:pPr>
            <w:r>
              <w:t xml:space="preserve">RBAC</w:t>
            </w:r>
          </w:p>
        </w:tc>
        <w:tc>
          <w:tcPr/>
          <w:p>
            <w:pPr>
              <w:numPr>
                <w:ilvl w:val="0"/>
                <w:numId w:val="1000"/>
              </w:numPr>
              <w:pStyle w:val="Compact"/>
              <w:jc w:val="left"/>
            </w:pPr>
            <w:r>
              <w:t xml:space="preserve">Contributors: sp-dh-zone2; CL-Kalpesh KHATRI; CL-Martin BANKS; CL-Brett BEATTIE</w:t>
            </w:r>
          </w:p>
        </w:tc>
      </w:tr>
    </w:tbl>
    <w:bookmarkEnd w:id="27"/>
    <w:bookmarkStart w:id="29" w:name="managed-identity-account"/>
    <w:p>
      <w:pPr>
        <w:pStyle w:val="Heading3"/>
      </w:pPr>
      <w:r>
        <w:t xml:space="preserve">Managed Identity Account</w:t>
      </w:r>
    </w:p>
    <w:p>
      <w:pPr>
        <w:numPr>
          <w:ilvl w:val="0"/>
          <w:numId w:val="1002"/>
        </w:numPr>
        <w:pStyle w:val="Compact"/>
      </w:pPr>
      <w:r>
        <w:t xml:space="preserve">All Azure Functions are run using the same Managed User Identity.</w:t>
      </w:r>
    </w:p>
    <w:p>
      <w:pPr>
        <w:numPr>
          <w:ilvl w:val="0"/>
          <w:numId w:val="1002"/>
        </w:numPr>
        <w:pStyle w:val="Compact"/>
      </w:pPr>
      <w:r>
        <w:t xml:space="preserve">Managed identity Name: id-dh-zone2{env}-qed-qld</w:t>
      </w:r>
    </w:p>
    <w:p>
      <w:pPr>
        <w:numPr>
          <w:ilvl w:val="0"/>
          <w:numId w:val="1002"/>
        </w:numPr>
        <w:pStyle w:val="Compact"/>
      </w:pPr>
      <w:r>
        <w:t xml:space="preserve">SOC will initially create the Managed User Identity and assigned Azure Role</w:t>
      </w:r>
      <w:r>
        <w:t xml:space="preserve"> </w:t>
      </w:r>
      <w:r>
        <w:rPr>
          <w:bCs/>
          <w:b/>
        </w:rPr>
        <w:t xml:space="preserve">API Management Service Contributor</w:t>
      </w:r>
      <w:r>
        <w:t xml:space="preserve"> </w:t>
      </w:r>
      <w:r>
        <w:t xml:space="preserve">access to the API Management instance (to allow for the DSB-&gt;API sync)</w:t>
      </w:r>
    </w:p>
    <w:p>
      <w:pPr>
        <w:numPr>
          <w:ilvl w:val="0"/>
          <w:numId w:val="1002"/>
        </w:numPr>
        <w:pStyle w:val="Compact"/>
      </w:pPr>
      <w:r>
        <w:t xml:space="preserve">This request is performed via a ServiceNow UR See</w:t>
      </w:r>
      <w:r>
        <w:t xml:space="preserve"> </w:t>
      </w:r>
      <w:hyperlink r:id="rId28">
        <w:r>
          <w:rPr>
            <w:rStyle w:val="Hyperlink"/>
          </w:rPr>
          <w:t xml:space="preserve">UR00104876</w:t>
        </w:r>
      </w:hyperlink>
      <w:r>
        <w:t xml:space="preserve"> </w:t>
      </w:r>
      <w:r>
        <w:t xml:space="preserve">INC10626501 (old service now)</w:t>
      </w:r>
    </w:p>
    <w:p>
      <w:pPr>
        <w:numPr>
          <w:ilvl w:val="0"/>
          <w:numId w:val="1002"/>
        </w:numPr>
        <w:pStyle w:val="Compact"/>
      </w:pPr>
      <w:r>
        <w:t xml:space="preserve">Once created, the Managed User Identity is granted access to the DSB DB via a [manual script] (../HowToGuides/DSBApplicationCatalogueSQLDatabaseAlwaysEncrypted.md)</w:t>
      </w:r>
    </w:p>
    <w:p>
      <w:pPr>
        <w:numPr>
          <w:ilvl w:val="0"/>
          <w:numId w:val="1002"/>
        </w:numPr>
        <w:pStyle w:val="Compact"/>
      </w:pPr>
      <w:r>
        <w:t xml:space="preserve">The Managed User Identities Azure AD ClientId is also configured in the following</w:t>
      </w:r>
      <w:r>
        <w:t xml:space="preserve"> </w:t>
      </w:r>
      <w:r>
        <w:rPr>
          <w:bCs/>
          <w:b/>
        </w:rPr>
        <w:t xml:space="preserve">FuncAppSettings-</w:t>
      </w:r>
      <w:r>
        <w:t xml:space="preserve"> </w:t>
      </w:r>
      <w:r>
        <w:t xml:space="preserve">variable group settings</w:t>
      </w:r>
    </w:p>
    <w:p>
      <w:pPr>
        <w:numPr>
          <w:ilvl w:val="1"/>
          <w:numId w:val="1003"/>
        </w:numPr>
        <w:pStyle w:val="Compact"/>
      </w:pPr>
      <w:r>
        <w:t xml:space="preserve">azureServicesAuthConnectionString (RunAs statement containing the AppId and TenantId)</w:t>
      </w:r>
    </w:p>
    <w:p>
      <w:pPr>
        <w:numPr>
          <w:ilvl w:val="1"/>
          <w:numId w:val="1003"/>
        </w:numPr>
        <w:pStyle w:val="Compact"/>
      </w:pPr>
      <w:r>
        <w:t xml:space="preserve">providerFunctionManagedIdentityName (the managed identity resource name)</w:t>
      </w:r>
    </w:p>
    <w:bookmarkEnd w:id="29"/>
    <w:bookmarkStart w:id="47" w:name="new-environment-creation"/>
    <w:p>
      <w:pPr>
        <w:pStyle w:val="Heading3"/>
      </w:pPr>
      <w:r>
        <w:t xml:space="preserve">New Environment Creation</w:t>
      </w:r>
    </w:p>
    <w:p>
      <w:pPr>
        <w:pStyle w:val="FirstParagraph"/>
      </w:pPr>
      <w:r>
        <w:t xml:space="preserve">The following high level steps are involved in creating a new Data Hub environment</w:t>
      </w:r>
    </w:p>
    <w:p>
      <w:pPr>
        <w:numPr>
          <w:ilvl w:val="0"/>
          <w:numId w:val="1004"/>
        </w:numPr>
        <w:pStyle w:val="Compact"/>
      </w:pPr>
      <w:r>
        <w:t xml:space="preserve">Execute the environment creation utility</w:t>
      </w:r>
    </w:p>
    <w:p>
      <w:pPr>
        <w:numPr>
          <w:ilvl w:val="0"/>
          <w:numId w:val="1004"/>
        </w:numPr>
        <w:pStyle w:val="Compact"/>
      </w:pPr>
      <w:r>
        <w:t xml:space="preserve">Manually update Variable Groups described below</w:t>
      </w:r>
    </w:p>
    <w:p>
      <w:pPr>
        <w:numPr>
          <w:ilvl w:val="0"/>
          <w:numId w:val="1004"/>
        </w:numPr>
        <w:pStyle w:val="Compact"/>
      </w:pPr>
      <w:r>
        <w:t xml:space="preserve">Manually update the Release Variables for Function Apps</w:t>
      </w:r>
    </w:p>
    <w:p>
      <w:pPr>
        <w:numPr>
          <w:ilvl w:val="0"/>
          <w:numId w:val="1004"/>
        </w:numPr>
        <w:pStyle w:val="Compact"/>
      </w:pPr>
      <w:r>
        <w:t xml:space="preserve">Manually update the Release Variables for APIs</w:t>
      </w:r>
    </w:p>
    <w:p>
      <w:pPr>
        <w:numPr>
          <w:ilvl w:val="0"/>
          <w:numId w:val="1004"/>
        </w:numPr>
        <w:pStyle w:val="Compact"/>
      </w:pPr>
      <w:r>
        <w:t xml:space="preserve">Execute the Appropriate Stage for the Release Pipelines following the</w:t>
      </w:r>
      <w:r>
        <w:t xml:space="preserve"> </w:t>
      </w:r>
      <w:hyperlink r:id="rId30">
        <w:r>
          <w:rPr>
            <w:rStyle w:val="Hyperlink"/>
          </w:rPr>
          <w:t xml:space="preserve">Deployment Dependency Order</w:t>
        </w:r>
      </w:hyperlink>
    </w:p>
    <w:p>
      <w:pPr>
        <w:numPr>
          <w:ilvl w:val="0"/>
          <w:numId w:val="1004"/>
        </w:numPr>
        <w:pStyle w:val="Compact"/>
      </w:pPr>
      <w:r>
        <w:t xml:space="preserve">Configure the App Catalog Database to create Groups, API Operations, Permission. Described further in</w:t>
      </w:r>
      <w:r>
        <w:t xml:space="preserve"> </w:t>
      </w:r>
      <w:hyperlink r:id="rId30">
        <w:r>
          <w:rPr>
            <w:rStyle w:val="Hyperlink"/>
          </w:rPr>
          <w:t xml:space="preserve">Deployment Dependency Order</w:t>
        </w:r>
      </w:hyperlink>
    </w:p>
    <w:p>
      <w:pPr>
        <w:numPr>
          <w:ilvl w:val="0"/>
          <w:numId w:val="1004"/>
        </w:numPr>
        <w:pStyle w:val="Compact"/>
      </w:pPr>
      <w:r>
        <w:t xml:space="preserve">Sync the App Catalog Database with Azure APIM. Described further in</w:t>
      </w:r>
      <w:r>
        <w:t xml:space="preserve"> </w:t>
      </w:r>
      <w:hyperlink r:id="rId30">
        <w:r>
          <w:rPr>
            <w:rStyle w:val="Hyperlink"/>
          </w:rPr>
          <w:t xml:space="preserve">Deployment Dependency Order</w:t>
        </w:r>
      </w:hyperlink>
    </w:p>
    <w:bookmarkStart w:id="34" w:name="environment-creation-utility"/>
    <w:p>
      <w:pPr>
        <w:pStyle w:val="Heading4"/>
      </w:pPr>
      <w:r>
        <w:t xml:space="preserve">Environment Creation Utility</w:t>
      </w:r>
    </w:p>
    <w:p>
      <w:pPr>
        <w:pStyle w:val="FirstParagraph"/>
      </w:pPr>
      <w:r>
        <w:t xml:space="preserve">The Environment Creation Utility will</w:t>
      </w:r>
      <w:r>
        <w:t xml:space="preserve"> </w:t>
      </w:r>
      <w:r>
        <w:t xml:space="preserve">- replicate the Variable Groups and substitute values that are generic or following standard naming conventions.</w:t>
      </w:r>
      <w:r>
        <w:t xml:space="preserve"> </w:t>
      </w:r>
      <w:r>
        <w:t xml:space="preserve">- replicate the Release Stage for Function Apps</w:t>
      </w:r>
      <w:r>
        <w:t xml:space="preserve"> </w:t>
      </w:r>
      <w:r>
        <w:t xml:space="preserve">- replicate the Release Stage for APIs</w:t>
      </w:r>
    </w:p>
    <w:p>
      <w:pPr>
        <w:pStyle w:val="BodyText"/>
      </w:pPr>
      <w:r>
        <w:t xml:space="preserve">This utility is a .Net Core 3.1 Console App and is driven via configuration in the appsetings.json file</w:t>
      </w:r>
    </w:p>
    <w:p>
      <w:pPr>
        <w:pStyle w:val="BodyText"/>
      </w:pPr>
      <w:r>
        <w:t xml:space="preserve">The utility is located in the</w:t>
      </w:r>
      <w:r>
        <w:t xml:space="preserve"> </w:t>
      </w:r>
      <w:hyperlink r:id="rId31">
        <w:r>
          <w:rPr>
            <w:rStyle w:val="Hyperlink"/>
          </w:rPr>
          <w:t xml:space="preserve">DataHub-Intereoperability</w:t>
        </w:r>
      </w:hyperlink>
      <w:r>
        <w:t xml:space="preserve"> </w:t>
      </w:r>
      <w:r>
        <w:t xml:space="preserve">repo. See the</w:t>
      </w:r>
      <w:r>
        <w:t xml:space="preserve"> </w:t>
      </w:r>
      <w:hyperlink r:id="rId32">
        <w:r>
          <w:rPr>
            <w:rStyle w:val="Hyperlink"/>
          </w:rPr>
          <w:t xml:space="preserve">readme</w:t>
        </w:r>
      </w:hyperlink>
      <w:r>
        <w:t xml:space="preserve"> </w:t>
      </w:r>
      <w:r>
        <w:t xml:space="preserve">for setup and usage</w:t>
      </w:r>
    </w:p>
    <w:p>
      <w:pPr>
        <w:pStyle w:val="BodyText"/>
      </w:pPr>
      <w:r>
        <w:t xml:space="preserve">The components that need to be created will be dependent on the requirements of the Project. See</w:t>
      </w:r>
      <w:r>
        <w:t xml:space="preserve"> </w:t>
      </w:r>
      <w:hyperlink r:id="rId33">
        <w:r>
          <w:rPr>
            <w:rStyle w:val="Hyperlink"/>
          </w:rPr>
          <w:t xml:space="preserve">Components List</w:t>
        </w:r>
      </w:hyperlink>
      <w:r>
        <w:t xml:space="preserve"> </w:t>
      </w:r>
      <w:r>
        <w:t xml:space="preserve">to identify the components that may be required.</w:t>
      </w:r>
    </w:p>
    <w:bookmarkEnd w:id="34"/>
    <w:bookmarkStart w:id="46" w:name="library-variable-groups"/>
    <w:p>
      <w:pPr>
        <w:pStyle w:val="Heading4"/>
      </w:pPr>
      <w:r>
        <w:t xml:space="preserve">Library Variable Groups</w:t>
      </w:r>
    </w:p>
    <w:p>
      <w:pPr>
        <w:pStyle w:val="FirstParagraph"/>
      </w:pPr>
      <w:r>
        <w:t xml:space="preserve">Library Variable Groups are collection of settings that are shared between multiple release definitions. These variables group are partitioned by Functional Areas such as API settings, Function App Settings, Monitoring settings. For each Functional Area, variables group are created for specific environments such as Zone2Dev, Zone2Test, Zone2UAT. Example:</w:t>
      </w:r>
    </w:p>
    <w:p>
      <w:pPr>
        <w:pStyle w:val="BodyText"/>
      </w:pPr>
      <w:r>
        <w:t xml:space="preserve">Functional Area:</w:t>
      </w:r>
      <w:r>
        <w:t xml:space="preserve"> </w:t>
      </w:r>
      <w:r>
        <w:rPr>
          <w:bCs/>
          <w:b/>
        </w:rPr>
        <w:t xml:space="preserve">FuncAppSettings-HostingPlans</w:t>
      </w:r>
      <w:r>
        <w:t xml:space="preserve"> </w:t>
      </w:r>
      <w:r>
        <w:t xml:space="preserve">- FuncAppSettings-HostingPlans-DSB-</w:t>
      </w:r>
      <w:r>
        <w:rPr>
          <w:bCs/>
          <w:b/>
        </w:rPr>
        <w:t xml:space="preserve">{env}</w:t>
      </w:r>
      <w:r>
        <w:t xml:space="preserve"> </w:t>
      </w:r>
      <w:r>
        <w:t xml:space="preserve">- FuncAppSettings-HostingPlans-DSB-</w:t>
      </w:r>
      <w:r>
        <w:rPr>
          <w:bCs/>
          <w:b/>
        </w:rPr>
        <w:t xml:space="preserve">MPE</w:t>
      </w:r>
      <w:r>
        <w:t xml:space="preserve"> </w:t>
      </w:r>
      <w:r>
        <w:t xml:space="preserve">- FuncAppSettings-HostingPlans-DSB-</w:t>
      </w:r>
      <w:r>
        <w:rPr>
          <w:bCs/>
          <w:b/>
        </w:rPr>
        <w:t xml:space="preserve">Zone2UAT</w:t>
      </w:r>
      <w:r>
        <w:t xml:space="preserve"> </w:t>
      </w:r>
      <w:r>
        <w:t xml:space="preserve">- FuncAppSettings-HostingPlans-DSB-</w:t>
      </w:r>
      <w:r>
        <w:rPr>
          <w:bCs/>
          <w:b/>
        </w:rPr>
        <w:t xml:space="preserve">PRD</w:t>
      </w:r>
      <w:r>
        <w:t xml:space="preserve"> </w:t>
      </w:r>
      <w:r>
        <w:t xml:space="preserve">- FuncAppSettings-HostingPlans-DSB-</w:t>
      </w:r>
      <w:r>
        <w:rPr>
          <w:bCs/>
          <w:b/>
        </w:rPr>
        <w:t xml:space="preserve">Zone2Test</w:t>
      </w:r>
      <w:r>
        <w:t xml:space="preserve"> </w:t>
      </w:r>
      <w:r>
        <w:t xml:space="preserve">- FuncAppSettings-HostingPlans-DSB-</w:t>
      </w:r>
      <w:r>
        <w:rPr>
          <w:bCs/>
          <w:b/>
        </w:rPr>
        <w:t xml:space="preserve">Zone2Dev</w:t>
      </w:r>
    </w:p>
    <w:p>
      <w:pPr>
        <w:pStyle w:val="BodyText"/>
      </w:pPr>
      <w:r>
        <w:t xml:space="preserve">Functional Area:</w:t>
      </w:r>
      <w:r>
        <w:t xml:space="preserve"> </w:t>
      </w:r>
      <w:r>
        <w:rPr>
          <w:bCs/>
          <w:b/>
        </w:rPr>
        <w:t xml:space="preserve">FuncAppSettings-</w:t>
      </w:r>
      <w:r>
        <w:t xml:space="preserve"> </w:t>
      </w:r>
      <w:r>
        <w:t xml:space="preserve">- FuncAppSettings-</w:t>
      </w:r>
      <w:r>
        <w:rPr>
          <w:bCs/>
          <w:b/>
        </w:rPr>
        <w:t xml:space="preserve">{env}</w:t>
      </w:r>
      <w:r>
        <w:t xml:space="preserve"> </w:t>
      </w:r>
      <w:r>
        <w:t xml:space="preserve">- FuncAppSettings-</w:t>
      </w:r>
      <w:r>
        <w:rPr>
          <w:bCs/>
          <w:b/>
        </w:rPr>
        <w:t xml:space="preserve">PRD</w:t>
      </w:r>
      <w:r>
        <w:t xml:space="preserve"> </w:t>
      </w:r>
      <w:r>
        <w:t xml:space="preserve">- FuncAppSettings-</w:t>
      </w:r>
      <w:r>
        <w:rPr>
          <w:bCs/>
          <w:b/>
        </w:rPr>
        <w:t xml:space="preserve">MPE</w:t>
      </w:r>
      <w:r>
        <w:t xml:space="preserve"> </w:t>
      </w:r>
      <w:r>
        <w:t xml:space="preserve">- FuncAppSettings-</w:t>
      </w:r>
      <w:r>
        <w:rPr>
          <w:bCs/>
          <w:b/>
        </w:rPr>
        <w:t xml:space="preserve">Zone2UAT</w:t>
      </w:r>
      <w:r>
        <w:t xml:space="preserve"> </w:t>
      </w:r>
      <w:r>
        <w:t xml:space="preserve">- FuncAppSettings-</w:t>
      </w:r>
      <w:r>
        <w:rPr>
          <w:bCs/>
          <w:b/>
        </w:rPr>
        <w:t xml:space="preserve">Zone2Test</w:t>
      </w:r>
      <w:r>
        <w:t xml:space="preserve"> </w:t>
      </w:r>
      <w:r>
        <w:t xml:space="preserve">- FuncAppSettings-</w:t>
      </w:r>
      <w:r>
        <w:rPr>
          <w:bCs/>
          <w:b/>
        </w:rPr>
        <w:t xml:space="preserve">Zone2Dev</w:t>
      </w:r>
    </w:p>
    <w:p>
      <w:pPr>
        <w:pStyle w:val="BodyText"/>
      </w:pPr>
      <w:r>
        <w:t xml:space="preserve">As part of new environment provisioning, typically the settings from an established environment such as Zone2Test will be cloned and variables updated as necessary. As new environments will only be created in Zone2 environment, a number of variables will remain unchanged.</w:t>
      </w:r>
    </w:p>
    <w:p>
      <w:pPr>
        <w:pStyle w:val="BodyText"/>
      </w:pPr>
      <w:r>
        <w:t xml:space="preserve">There are however certain values that will need to be manually updated in the New Library Variable Groups in the Azure Devops UI as follows:</w:t>
      </w:r>
    </w:p>
    <w:bookmarkStart w:id="35" w:name="monitoringsettingsdsb-env"/>
    <w:p>
      <w:pPr>
        <w:pStyle w:val="Heading5"/>
      </w:pPr>
      <w:r>
        <w:t xml:space="preserve">MonitoringSettingsDSB-</w:t>
      </w:r>
      <w:r>
        <w:rPr>
          <w:bCs/>
          <w:b/>
        </w:rPr>
        <w:t xml:space="preserve">{env}</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Property</w:t>
            </w:r>
          </w:p>
        </w:tc>
        <w:tc>
          <w:tcPr/>
          <w:p>
            <w:pPr>
              <w:pStyle w:val="Compact"/>
              <w:jc w:val="left"/>
            </w:pPr>
            <w:r>
              <w:t xml:space="preserve">Value</w:t>
            </w:r>
          </w:p>
        </w:tc>
        <w:tc>
          <w:tcPr/>
          <w:p>
            <w:pPr>
              <w:pStyle w:val="Compact"/>
              <w:jc w:val="left"/>
            </w:pPr>
            <w:r>
              <w:t xml:space="preserve">Comments</w:t>
            </w:r>
          </w:p>
        </w:tc>
      </w:tr>
      <w:tr>
        <w:tc>
          <w:tcPr/>
          <w:p>
            <w:pPr>
              <w:pStyle w:val="Compact"/>
              <w:jc w:val="left"/>
            </w:pPr>
            <w:r>
              <w:t xml:space="preserve">eventHubConnectionString</w:t>
            </w:r>
          </w:p>
        </w:tc>
        <w:tc>
          <w:tcPr/>
          <w:p>
            <w:pPr>
              <w:pStyle w:val="Compact"/>
              <w:jc w:val="left"/>
            </w:pPr>
            <w:r>
              <w:t xml:space="preserve">{connectionstring}</w:t>
            </w:r>
          </w:p>
        </w:tc>
        <w:tc>
          <w:tcPr/>
          <w:p>
            <w:pPr>
              <w:pStyle w:val="Compact"/>
              <w:jc w:val="left"/>
            </w:pPr>
            <w:r>
              <w:t xml:space="preserve">Event Hub connection string for sending logs to. Zone2Test, Zone2Uat, Zone2{env} all share the same event hub.</w:t>
            </w:r>
          </w:p>
        </w:tc>
      </w:tr>
    </w:tbl>
    <w:bookmarkEnd w:id="35"/>
    <w:bookmarkStart w:id="36" w:name="funcappsettings-env"/>
    <w:p>
      <w:pPr>
        <w:pStyle w:val="Heading5"/>
      </w:pPr>
      <w:r>
        <w:t xml:space="preserve">FuncAppSettings-</w:t>
      </w:r>
      <w:r>
        <w:rPr>
          <w:bCs/>
          <w:b/>
        </w:rPr>
        <w:t xml:space="preserve">{env}</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Property</w:t>
            </w:r>
          </w:p>
        </w:tc>
        <w:tc>
          <w:tcPr/>
          <w:p>
            <w:pPr>
              <w:pStyle w:val="Compact"/>
              <w:jc w:val="left"/>
            </w:pPr>
            <w:r>
              <w:t xml:space="preserve">Value</w:t>
            </w:r>
          </w:p>
        </w:tc>
        <w:tc>
          <w:tcPr/>
          <w:p>
            <w:pPr>
              <w:pStyle w:val="Compact"/>
              <w:jc w:val="left"/>
            </w:pPr>
            <w:r>
              <w:t xml:space="preserve">Comments</w:t>
            </w:r>
          </w:p>
        </w:tc>
      </w:tr>
      <w:tr>
        <w:tc>
          <w:tcPr/>
          <w:p>
            <w:pPr>
              <w:pStyle w:val="Compact"/>
              <w:jc w:val="left"/>
            </w:pPr>
            <w:r>
              <w:t xml:space="preserve">azureServicesAuthConnectionString</w:t>
            </w:r>
          </w:p>
        </w:tc>
        <w:tc>
          <w:tcPr/>
          <w:p>
            <w:pPr>
              <w:pStyle w:val="Compact"/>
              <w:jc w:val="left"/>
            </w:pPr>
            <w:r>
              <w:t xml:space="preserve">RunAs=App;AppId={application id};TenantId=db630ef6-1667-4b9b-b52e-341a723742d7</w:t>
            </w:r>
          </w:p>
        </w:tc>
        <w:tc>
          <w:tcPr/>
          <w:p>
            <w:pPr>
              <w:pStyle w:val="Compact"/>
              <w:jc w:val="left"/>
            </w:pPr>
            <w:r>
              <w:t xml:space="preserve">From the Azure Portal Azure Active Directory, search for the Managed Identity</w:t>
            </w:r>
            <w:r>
              <w:t xml:space="preserve"> </w:t>
            </w:r>
            <w:r>
              <w:t xml:space="preserve">‘</w:t>
            </w:r>
            <w:r>
              <w:t xml:space="preserve">id-dh-zone2{env}-qed-qld</w:t>
            </w:r>
            <w:r>
              <w:t xml:space="preserve">’</w:t>
            </w:r>
            <w:r>
              <w:t xml:space="preserve"> </w:t>
            </w:r>
            <w:r>
              <w:t xml:space="preserve">copy Application Id GUID</w:t>
            </w:r>
          </w:p>
        </w:tc>
      </w:tr>
      <w:tr>
        <w:tc>
          <w:tcPr/>
          <w:p>
            <w:pPr>
              <w:pStyle w:val="Compact"/>
              <w:jc w:val="left"/>
            </w:pPr>
            <w:r>
              <w:t xml:space="preserve">eipRelayTargetAPIAccessToken</w:t>
            </w:r>
          </w:p>
        </w:tc>
        <w:tc>
          <w:tcPr/>
          <w:p>
            <w:pPr>
              <w:pStyle w:val="Compact"/>
              <w:jc w:val="left"/>
            </w:pPr>
            <w:r>
              <w:t xml:space="preserve">{access token}</w:t>
            </w:r>
          </w:p>
        </w:tc>
        <w:tc>
          <w:tcPr/>
          <w:p>
            <w:pPr>
              <w:pStyle w:val="Compact"/>
              <w:jc w:val="left"/>
            </w:pPr>
            <w:r>
              <w:rPr>
                <w:bCs/>
                <w:b/>
              </w:rPr>
              <w:t xml:space="preserve">Legacy/unused variable</w:t>
            </w:r>
            <w:r>
              <w:t xml:space="preserve">. The SAS token can be copied from the Zone2 APIM Named Values. Zone2Test, Zone2Uat, Zone2{env} all share the token</w:t>
            </w:r>
          </w:p>
        </w:tc>
      </w:tr>
      <w:tr>
        <w:tc>
          <w:tcPr/>
          <w:p>
            <w:pPr>
              <w:pStyle w:val="Compact"/>
              <w:jc w:val="left"/>
            </w:pPr>
            <w:r>
              <w:t xml:space="preserve">parallelOrchestratorUrl</w:t>
            </w:r>
          </w:p>
        </w:tc>
        <w:tc>
          <w:tcPr/>
          <w:p>
            <w:pPr>
              <w:pStyle w:val="Compact"/>
              <w:jc w:val="left"/>
            </w:pPr>
            <w:r>
              <w:t xml:space="preserve">{connectionstring}</w:t>
            </w:r>
          </w:p>
        </w:tc>
        <w:tc>
          <w:tcPr/>
          <w:p>
            <w:pPr>
              <w:pStyle w:val="Compact"/>
              <w:jc w:val="left"/>
            </w:pPr>
            <w:r>
              <w:t xml:space="preserve">The connection string for the Parallel Orchestor Logic App is retrieved from the Azure Portal. Available after deploy the Logic App</w:t>
            </w:r>
          </w:p>
        </w:tc>
      </w:tr>
      <w:tr>
        <w:tc>
          <w:tcPr/>
          <w:p>
            <w:pPr>
              <w:pStyle w:val="Compact"/>
              <w:jc w:val="left"/>
            </w:pPr>
            <w:r>
              <w:t xml:space="preserve">serviceBusConnectionString</w:t>
            </w:r>
          </w:p>
        </w:tc>
        <w:tc>
          <w:tcPr/>
          <w:p>
            <w:pPr>
              <w:pStyle w:val="Compact"/>
              <w:jc w:val="left"/>
            </w:pPr>
            <w:r>
              <w:t xml:space="preserve">{connectionstring}</w:t>
            </w:r>
          </w:p>
        </w:tc>
        <w:tc>
          <w:tcPr/>
          <w:p>
            <w:pPr>
              <w:pStyle w:val="Compact"/>
              <w:jc w:val="left"/>
            </w:pPr>
            <w:r>
              <w:t xml:space="preserve">Available after deploying CommonAsyncEvents-CD. From Azure Portal, goto Service Bus &gt; Shared access policies &gt; SendAndListenOnly &gt; Copy Primary Connection String</w:t>
            </w:r>
          </w:p>
        </w:tc>
      </w:tr>
    </w:tbl>
    <w:bookmarkEnd w:id="36"/>
    <w:bookmarkStart w:id="45" w:name="dsb-db-cd"/>
    <w:p>
      <w:pPr>
        <w:pStyle w:val="Heading5"/>
      </w:pPr>
      <w:r>
        <w:t xml:space="preserve">DSB-DB-CD</w:t>
      </w:r>
    </w:p>
    <w:p>
      <w:pPr>
        <w:pStyle w:val="FirstParagraph"/>
      </w:pPr>
      <w:r>
        <w:t xml:space="preserve">The following</w:t>
      </w:r>
      <w:r>
        <w:t xml:space="preserve"> </w:t>
      </w:r>
      <w:r>
        <w:rPr>
          <w:bCs/>
          <w:b/>
        </w:rPr>
        <w:t xml:space="preserve">{env}</w:t>
      </w:r>
      <w:r>
        <w:t xml:space="preserve"> </w:t>
      </w:r>
      <w:r>
        <w:t xml:space="preserve">scoped variables need to be updated afte the utility has run.</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Property</w:t>
            </w:r>
          </w:p>
        </w:tc>
        <w:tc>
          <w:tcPr/>
          <w:p>
            <w:pPr>
              <w:pStyle w:val="Compact"/>
              <w:jc w:val="left"/>
            </w:pPr>
            <w:r>
              <w:t xml:space="preserve">Value</w:t>
            </w:r>
          </w:p>
        </w:tc>
        <w:tc>
          <w:tcPr/>
          <w:p>
            <w:pPr>
              <w:pStyle w:val="Compact"/>
              <w:jc w:val="left"/>
            </w:pPr>
            <w:r>
              <w:t xml:space="preserve">Comments</w:t>
            </w:r>
          </w:p>
        </w:tc>
      </w:tr>
      <w:tr>
        <w:tc>
          <w:tcPr/>
          <w:p>
            <w:pPr>
              <w:pStyle w:val="Compact"/>
              <w:jc w:val="left"/>
            </w:pPr>
            <w:r>
              <w:t xml:space="preserve">spDataHubSecret</w:t>
            </w:r>
          </w:p>
        </w:tc>
        <w:tc>
          <w:tcPr/>
          <w:p>
            <w:pPr>
              <w:pStyle w:val="Compact"/>
              <w:jc w:val="left"/>
            </w:pPr>
            <w:r>
              <w:t xml:space="preserve">Insert from Password Vault</w:t>
            </w:r>
          </w:p>
        </w:tc>
        <w:tc>
          <w:tcPr/>
          <w:p>
            <w:pPr>
              <w:pStyle w:val="Compact"/>
              <w:jc w:val="left"/>
            </w:pPr>
            <w:r>
              <w:t xml:space="preserve">From the password vault, copy password and set to Secret</w:t>
            </w:r>
          </w:p>
        </w:tc>
      </w:tr>
      <w:tr>
        <w:tc>
          <w:tcPr/>
          <w:p>
            <w:pPr>
              <w:pStyle w:val="Compact"/>
              <w:jc w:val="left"/>
            </w:pPr>
            <w:r>
              <w:t xml:space="preserve">sqlAdministratorLoginPassword</w:t>
            </w:r>
          </w:p>
        </w:tc>
        <w:tc>
          <w:tcPr/>
          <w:p>
            <w:pPr>
              <w:pStyle w:val="Compact"/>
              <w:jc w:val="left"/>
            </w:pPr>
            <w:r>
              <w:t xml:space="preserve">Insert from Password Vault</w:t>
            </w:r>
          </w:p>
        </w:tc>
        <w:tc>
          <w:tcPr/>
          <w:p>
            <w:pPr>
              <w:pStyle w:val="Compact"/>
              <w:jc w:val="left"/>
            </w:pPr>
            <w:r>
              <w:t xml:space="preserve">From the password vault, copy password and set to Secret</w:t>
            </w:r>
          </w:p>
        </w:tc>
      </w:tr>
    </w:tbl>
    <w:p>
      <w:pPr>
        <w:pStyle w:val="BodyText"/>
      </w:pPr>
      <w:r>
        <w:t xml:space="preserve">After the deployment has completed, you will need to run scripts to configure the Application Catalogue Database.</w:t>
      </w:r>
    </w:p>
    <w:p>
      <w:pPr>
        <w:pStyle w:val="BodyText"/>
      </w:pPr>
      <w:r>
        <w:t xml:space="preserve">Firstly, Database users will need to be created as follows:</w:t>
      </w:r>
    </w:p>
    <w:p>
      <w:pPr>
        <w:numPr>
          <w:ilvl w:val="0"/>
          <w:numId w:val="1005"/>
        </w:numPr>
        <w:pStyle w:val="Compact"/>
      </w:pPr>
      <w:r>
        <w:t xml:space="preserve">Connect to the EIP workstation that has direct access to the Azure</w:t>
      </w:r>
    </w:p>
    <w:p>
      <w:pPr>
        <w:numPr>
          <w:ilvl w:val="0"/>
          <w:numId w:val="1005"/>
        </w:numPr>
        <w:pStyle w:val="Compact"/>
      </w:pPr>
      <w:r>
        <w:t xml:space="preserve">Start</w:t>
      </w:r>
      <w:r>
        <w:t xml:space="preserve"> </w:t>
      </w:r>
      <w:r>
        <w:rPr>
          <w:bCs/>
          <w:b/>
        </w:rPr>
        <w:t xml:space="preserve">SSMS 18</w:t>
      </w:r>
      <w:r>
        <w:t xml:space="preserve"> </w:t>
      </w:r>
      <w:r>
        <w:t xml:space="preserve">and connect to the DSB DB (</w:t>
      </w:r>
      <w:r>
        <w:rPr>
          <w:iCs/>
          <w:i/>
        </w:rPr>
        <w:t xml:space="preserve">the physical name being /ApplicationCatalogue</w:t>
      </w:r>
      <w:r>
        <w:t xml:space="preserve">):</w:t>
      </w:r>
    </w:p>
    <w:p>
      <w:pPr>
        <w:numPr>
          <w:ilvl w:val="1"/>
          <w:numId w:val="1006"/>
        </w:numPr>
        <w:pStyle w:val="Compact"/>
      </w:pPr>
      <w:r>
        <w:t xml:space="preserve">Zone2Dev: db-dh-zone2dev-qed.database.windows.net,1433</w:t>
      </w:r>
    </w:p>
    <w:p>
      <w:pPr>
        <w:numPr>
          <w:ilvl w:val="1"/>
          <w:numId w:val="1006"/>
        </w:numPr>
        <w:pStyle w:val="Compact"/>
      </w:pPr>
      <w:r>
        <w:t xml:space="preserve">Zone2: db-dh-zone2-qed.database.windows.net,1433</w:t>
      </w:r>
    </w:p>
    <w:p>
      <w:pPr>
        <w:numPr>
          <w:ilvl w:val="0"/>
          <w:numId w:val="1005"/>
        </w:numPr>
        <w:pStyle w:val="Compact"/>
      </w:pPr>
      <w:r>
        <w:t xml:space="preserve">Authenticate using your</w:t>
      </w:r>
      <w:r>
        <w:t xml:space="preserve"> </w:t>
      </w:r>
      <w:r>
        <w:rPr>
          <w:bCs/>
          <w:b/>
        </w:rPr>
        <w:t xml:space="preserve">CL</w:t>
      </w:r>
      <w:r>
        <w:t xml:space="preserve"> </w:t>
      </w:r>
      <w:r>
        <w:t xml:space="preserve">account</w:t>
      </w:r>
    </w:p>
    <w:p>
      <w:pPr>
        <w:numPr>
          <w:ilvl w:val="1"/>
          <w:numId w:val="1007"/>
        </w:numPr>
        <w:pStyle w:val="Compact"/>
      </w:pPr>
      <w:r>
        <w:t xml:space="preserve">Choose authentication type:</w:t>
      </w:r>
      <w:r>
        <w:t xml:space="preserve"> </w:t>
      </w:r>
      <w:r>
        <w:t xml:space="preserve">“</w:t>
      </w:r>
      <w:r>
        <w:t xml:space="preserve">Azure Active Directory - Universal with MFA</w:t>
      </w:r>
      <w:r>
        <w:t xml:space="preserve">”</w:t>
      </w:r>
    </w:p>
    <w:p>
      <w:pPr>
        <w:numPr>
          <w:ilvl w:val="1"/>
          <w:numId w:val="1007"/>
        </w:numPr>
        <w:pStyle w:val="Compact"/>
      </w:pPr>
      <w:r>
        <w:t xml:space="preserve">Enter the</w:t>
      </w:r>
      <w:r>
        <w:t xml:space="preserve"> </w:t>
      </w:r>
      <w:r>
        <w:rPr>
          <w:bCs/>
          <w:b/>
        </w:rPr>
        <w:t xml:space="preserve">email address</w:t>
      </w:r>
      <w:r>
        <w:t xml:space="preserve"> </w:t>
      </w:r>
      <w:r>
        <w:t xml:space="preserve">of your CL account as the User Name</w:t>
      </w:r>
    </w:p>
    <w:p>
      <w:pPr>
        <w:numPr>
          <w:ilvl w:val="1"/>
          <w:numId w:val="1007"/>
        </w:numPr>
        <w:pStyle w:val="Compact"/>
      </w:pPr>
      <w:r>
        <w:t xml:space="preserve">If you need to decrypt the secure columns, on the Options tab, enter</w:t>
      </w:r>
      <w:r>
        <w:t xml:space="preserve"> </w:t>
      </w:r>
      <w:r>
        <w:t xml:space="preserve">“</w:t>
      </w:r>
      <w:r>
        <w:t xml:space="preserve">Column Encryption Setting=Enabled</w:t>
      </w:r>
      <w:r>
        <w:t xml:space="preserve">”</w:t>
      </w:r>
      <w:r>
        <w:t xml:space="preserve"> </w:t>
      </w:r>
      <w:r>
        <w:t xml:space="preserve">in the additional connection parameters box</w:t>
      </w:r>
    </w:p>
    <w:p>
      <w:pPr>
        <w:pStyle w:val="FirstParagraph"/>
      </w:pPr>
      <w:r>
        <w:t xml:space="preserve">Add the Provider’s FunctionApp ManagedIdentity (configured as part of the Provider’s Release pipeline) and grant the required DB Role (permissions to call required stored procedures etc).</w:t>
      </w:r>
    </w:p>
    <w:p>
      <w:pPr>
        <w:pStyle w:val="BodyText"/>
      </w:pPr>
      <w:r>
        <w:t xml:space="preserve">Manually run the below from SSMS using a CL account which belongs to the SQL Ad Admin Group.</w:t>
      </w:r>
    </w:p>
    <w:p>
      <w:pPr>
        <w:pStyle w:val="SourceCode"/>
      </w:pPr>
      <w:r>
        <w:rPr>
          <w:rStyle w:val="NormalTok"/>
        </w:rPr>
        <w:t xml:space="preserve">  </w:t>
      </w:r>
      <w:r>
        <w:rPr>
          <w:rStyle w:val="KeywordTok"/>
        </w:rPr>
        <w:t xml:space="preserve">CREATE</w:t>
      </w:r>
      <w:r>
        <w:rPr>
          <w:rStyle w:val="NormalTok"/>
        </w:rPr>
        <w:t xml:space="preserve"> </w:t>
      </w:r>
      <w:r>
        <w:rPr>
          <w:rStyle w:val="FunctionTok"/>
        </w:rPr>
        <w:t xml:space="preserve">USER</w:t>
      </w:r>
      <w:r>
        <w:rPr>
          <w:rStyle w:val="NormalTok"/>
        </w:rPr>
        <w:t xml:space="preserve"> [</w:t>
      </w:r>
      <w:r>
        <w:rPr>
          <w:rStyle w:val="KeywordTok"/>
        </w:rPr>
        <w:t xml:space="preserve">id</w:t>
      </w:r>
      <w:r>
        <w:rPr>
          <w:rStyle w:val="OperatorTok"/>
        </w:rPr>
        <w:t xml:space="preserve">-</w:t>
      </w:r>
      <w:r>
        <w:rPr>
          <w:rStyle w:val="NormalTok"/>
        </w:rPr>
        <w:t xml:space="preserve">dh</w:t>
      </w:r>
      <w:r>
        <w:rPr>
          <w:rStyle w:val="OperatorTok"/>
        </w:rPr>
        <w:t xml:space="preserve">-</w:t>
      </w:r>
      <w:r>
        <w:rPr>
          <w:rStyle w:val="NormalTok"/>
        </w:rPr>
        <w:t xml:space="preserve">zone2{env}</w:t>
      </w:r>
      <w:r>
        <w:rPr>
          <w:rStyle w:val="OperatorTok"/>
        </w:rPr>
        <w:t xml:space="preserve">-</w:t>
      </w:r>
      <w:r>
        <w:rPr>
          <w:rStyle w:val="NormalTok"/>
        </w:rPr>
        <w:t xml:space="preserve">qed</w:t>
      </w:r>
      <w:r>
        <w:rPr>
          <w:rStyle w:val="OperatorTok"/>
        </w:rPr>
        <w:t xml:space="preserve">-</w:t>
      </w:r>
      <w:r>
        <w:rPr>
          <w:rStyle w:val="NormalTok"/>
        </w:rPr>
        <w:t xml:space="preserve">qld] </w:t>
      </w:r>
      <w:r>
        <w:rPr>
          <w:rStyle w:val="KeywordTok"/>
        </w:rPr>
        <w:t xml:space="preserve">FROM</w:t>
      </w:r>
      <w:r>
        <w:rPr>
          <w:rStyle w:val="NormalTok"/>
        </w:rPr>
        <w:t xml:space="preserve"> EXTERNAL PROVIDER;</w:t>
      </w:r>
      <w:r>
        <w:br/>
      </w:r>
      <w:r>
        <w:rPr>
          <w:rStyle w:val="NormalTok"/>
        </w:rPr>
        <w:t xml:space="preserve">  </w:t>
      </w:r>
      <w:r>
        <w:rPr>
          <w:rStyle w:val="KeywordTok"/>
        </w:rPr>
        <w:t xml:space="preserve">EXEC</w:t>
      </w:r>
      <w:r>
        <w:rPr>
          <w:rStyle w:val="NormalTok"/>
        </w:rPr>
        <w:t xml:space="preserve"> sp_addrolemember N</w:t>
      </w:r>
      <w:r>
        <w:rPr>
          <w:rStyle w:val="StringTok"/>
        </w:rPr>
        <w:t xml:space="preserve">'app_DataHubProviderReader'</w:t>
      </w:r>
      <w:r>
        <w:rPr>
          <w:rStyle w:val="NormalTok"/>
        </w:rPr>
        <w:t xml:space="preserve">, N</w:t>
      </w:r>
      <w:r>
        <w:rPr>
          <w:rStyle w:val="StringTok"/>
        </w:rPr>
        <w:t xml:space="preserve">'id-dh-zone2{env}-qed-qld'</w:t>
      </w:r>
      <w:r>
        <w:br/>
      </w:r>
      <w:r>
        <w:rPr>
          <w:rStyle w:val="NormalTok"/>
        </w:rPr>
        <w:t xml:space="preserve">  </w:t>
      </w:r>
      <w:r>
        <w:rPr>
          <w:rStyle w:val="KeywordTok"/>
        </w:rPr>
        <w:t xml:space="preserve">GRANT</w:t>
      </w:r>
      <w:r>
        <w:rPr>
          <w:rStyle w:val="NormalTok"/>
        </w:rPr>
        <w:t xml:space="preserve"> </w:t>
      </w:r>
      <w:r>
        <w:rPr>
          <w:rStyle w:val="KeywordTok"/>
        </w:rPr>
        <w:t xml:space="preserve">VIEW</w:t>
      </w:r>
      <w:r>
        <w:rPr>
          <w:rStyle w:val="NormalTok"/>
        </w:rPr>
        <w:t xml:space="preserve"> </w:t>
      </w:r>
      <w:r>
        <w:rPr>
          <w:rStyle w:val="KeywordTok"/>
        </w:rPr>
        <w:t xml:space="preserve">ANY</w:t>
      </w:r>
      <w:r>
        <w:rPr>
          <w:rStyle w:val="NormalTok"/>
        </w:rPr>
        <w:t xml:space="preserve"> </w:t>
      </w:r>
      <w:r>
        <w:rPr>
          <w:rStyle w:val="KeywordTok"/>
        </w:rPr>
        <w:t xml:space="preserve">COLUMN</w:t>
      </w:r>
      <w:r>
        <w:rPr>
          <w:rStyle w:val="NormalTok"/>
        </w:rPr>
        <w:t xml:space="preserve"> ENCRYPTION </w:t>
      </w:r>
      <w:r>
        <w:rPr>
          <w:rStyle w:val="KeywordTok"/>
        </w:rPr>
        <w:t xml:space="preserve">KEY</w:t>
      </w:r>
      <w:r>
        <w:rPr>
          <w:rStyle w:val="NormalTok"/>
        </w:rPr>
        <w:t xml:space="preserve"> DEFINITION </w:t>
      </w:r>
      <w:r>
        <w:rPr>
          <w:rStyle w:val="KeywordTok"/>
        </w:rPr>
        <w:t xml:space="preserve">TO</w:t>
      </w:r>
      <w:r>
        <w:rPr>
          <w:rStyle w:val="NormalTok"/>
        </w:rPr>
        <w:t xml:space="preserve"> [</w:t>
      </w:r>
      <w:r>
        <w:rPr>
          <w:rStyle w:val="KeywordTok"/>
        </w:rPr>
        <w:t xml:space="preserve">id</w:t>
      </w:r>
      <w:r>
        <w:rPr>
          <w:rStyle w:val="OperatorTok"/>
        </w:rPr>
        <w:t xml:space="preserve">-</w:t>
      </w:r>
      <w:r>
        <w:rPr>
          <w:rStyle w:val="NormalTok"/>
        </w:rPr>
        <w:t xml:space="preserve">dh</w:t>
      </w:r>
      <w:r>
        <w:rPr>
          <w:rStyle w:val="OperatorTok"/>
        </w:rPr>
        <w:t xml:space="preserve">-</w:t>
      </w:r>
      <w:r>
        <w:rPr>
          <w:rStyle w:val="NormalTok"/>
        </w:rPr>
        <w:t xml:space="preserve">zone2{env}</w:t>
      </w:r>
      <w:r>
        <w:rPr>
          <w:rStyle w:val="OperatorTok"/>
        </w:rPr>
        <w:t xml:space="preserve">-</w:t>
      </w:r>
      <w:r>
        <w:rPr>
          <w:rStyle w:val="NormalTok"/>
        </w:rPr>
        <w:t xml:space="preserve">qed</w:t>
      </w:r>
      <w:r>
        <w:rPr>
          <w:rStyle w:val="OperatorTok"/>
        </w:rPr>
        <w:t xml:space="preserve">-</w:t>
      </w:r>
      <w:r>
        <w:rPr>
          <w:rStyle w:val="NormalTok"/>
        </w:rPr>
        <w:t xml:space="preserve">qld]</w:t>
      </w:r>
      <w:r>
        <w:br/>
      </w:r>
      <w:r>
        <w:rPr>
          <w:rStyle w:val="NormalTok"/>
        </w:rPr>
        <w:t xml:space="preserve">  </w:t>
      </w:r>
      <w:r>
        <w:rPr>
          <w:rStyle w:val="KeywordTok"/>
        </w:rPr>
        <w:t xml:space="preserve">GRANT</w:t>
      </w:r>
      <w:r>
        <w:rPr>
          <w:rStyle w:val="NormalTok"/>
        </w:rPr>
        <w:t xml:space="preserve"> </w:t>
      </w:r>
      <w:r>
        <w:rPr>
          <w:rStyle w:val="KeywordTok"/>
        </w:rPr>
        <w:t xml:space="preserve">VIEW</w:t>
      </w:r>
      <w:r>
        <w:rPr>
          <w:rStyle w:val="NormalTok"/>
        </w:rPr>
        <w:t xml:space="preserve"> </w:t>
      </w:r>
      <w:r>
        <w:rPr>
          <w:rStyle w:val="KeywordTok"/>
        </w:rPr>
        <w:t xml:space="preserve">ANY</w:t>
      </w:r>
      <w:r>
        <w:rPr>
          <w:rStyle w:val="NormalTok"/>
        </w:rPr>
        <w:t xml:space="preserve"> </w:t>
      </w:r>
      <w:r>
        <w:rPr>
          <w:rStyle w:val="KeywordTok"/>
        </w:rPr>
        <w:t xml:space="preserve">COLUMN</w:t>
      </w:r>
      <w:r>
        <w:rPr>
          <w:rStyle w:val="NormalTok"/>
        </w:rPr>
        <w:t xml:space="preserve"> </w:t>
      </w:r>
      <w:r>
        <w:rPr>
          <w:rStyle w:val="KeywordTok"/>
        </w:rPr>
        <w:t xml:space="preserve">MASTER</w:t>
      </w:r>
      <w:r>
        <w:rPr>
          <w:rStyle w:val="NormalTok"/>
        </w:rPr>
        <w:t xml:space="preserve"> </w:t>
      </w:r>
      <w:r>
        <w:rPr>
          <w:rStyle w:val="KeywordTok"/>
        </w:rPr>
        <w:t xml:space="preserve">KEY</w:t>
      </w:r>
      <w:r>
        <w:rPr>
          <w:rStyle w:val="NormalTok"/>
        </w:rPr>
        <w:t xml:space="preserve"> DEFINITION </w:t>
      </w:r>
      <w:r>
        <w:rPr>
          <w:rStyle w:val="KeywordTok"/>
        </w:rPr>
        <w:t xml:space="preserve">TO</w:t>
      </w:r>
      <w:r>
        <w:rPr>
          <w:rStyle w:val="NormalTok"/>
        </w:rPr>
        <w:t xml:space="preserve"> [</w:t>
      </w:r>
      <w:r>
        <w:rPr>
          <w:rStyle w:val="KeywordTok"/>
        </w:rPr>
        <w:t xml:space="preserve">id</w:t>
      </w:r>
      <w:r>
        <w:rPr>
          <w:rStyle w:val="OperatorTok"/>
        </w:rPr>
        <w:t xml:space="preserve">-</w:t>
      </w:r>
      <w:r>
        <w:rPr>
          <w:rStyle w:val="NormalTok"/>
        </w:rPr>
        <w:t xml:space="preserve">dh</w:t>
      </w:r>
      <w:r>
        <w:rPr>
          <w:rStyle w:val="OperatorTok"/>
        </w:rPr>
        <w:t xml:space="preserve">-</w:t>
      </w:r>
      <w:r>
        <w:rPr>
          <w:rStyle w:val="NormalTok"/>
        </w:rPr>
        <w:t xml:space="preserve">zone2{env}</w:t>
      </w:r>
      <w:r>
        <w:rPr>
          <w:rStyle w:val="OperatorTok"/>
        </w:rPr>
        <w:t xml:space="preserve">-</w:t>
      </w:r>
      <w:r>
        <w:rPr>
          <w:rStyle w:val="NormalTok"/>
        </w:rPr>
        <w:t xml:space="preserve">qed</w:t>
      </w:r>
      <w:r>
        <w:rPr>
          <w:rStyle w:val="OperatorTok"/>
        </w:rPr>
        <w:t xml:space="preserve">-</w:t>
      </w:r>
      <w:r>
        <w:rPr>
          <w:rStyle w:val="NormalTok"/>
        </w:rPr>
        <w:t xml:space="preserve">qld]</w:t>
      </w:r>
    </w:p>
    <w:bookmarkStart w:id="39" w:name="important-considerations"/>
    <w:p>
      <w:pPr>
        <w:pStyle w:val="Heading6"/>
      </w:pPr>
      <w:r>
        <w:rPr>
          <w:bCs/>
          <w:b/>
        </w:rPr>
        <w:t xml:space="preserve">Important Considerations</w:t>
      </w:r>
    </w:p>
    <w:p>
      <w:pPr>
        <w:pStyle w:val="FirstParagraph"/>
      </w:pPr>
      <w:r>
        <w:t xml:space="preserve">Prior to executing scripts to configure the App Catalog database, there are a few considerations to be made.</w:t>
      </w:r>
    </w:p>
    <w:p>
      <w:pPr>
        <w:pStyle w:val="BodyText"/>
      </w:pPr>
      <w:r>
        <w:t xml:space="preserve">This is due to the fact that in Zone2, a single APIM instance exists to support multiple Data Hub environments. Naming conventions are used to differentiate the environments, like using an API suffix example, /student-api-testq/.</w:t>
      </w:r>
    </w:p>
    <w:p>
      <w:pPr>
        <w:pStyle w:val="BodyText"/>
      </w:pPr>
      <w:r>
        <w:t xml:space="preserve">Some of these activities/learning have been captured in</w:t>
      </w:r>
      <w:r>
        <w:t xml:space="preserve"> </w:t>
      </w:r>
      <w:hyperlink r:id="rId37">
        <w:r>
          <w:rPr>
            <w:rStyle w:val="Hyperlink"/>
          </w:rPr>
          <w:t xml:space="preserve">TestQ DSB Config</w:t>
        </w:r>
      </w:hyperlink>
    </w:p>
    <w:p>
      <w:pPr>
        <w:pStyle w:val="BodyText"/>
      </w:pPr>
      <w:r>
        <w:t xml:space="preserve">The</w:t>
      </w:r>
      <w:r>
        <w:t xml:space="preserve"> </w:t>
      </w:r>
      <w:hyperlink r:id="rId38">
        <w:r>
          <w:rPr>
            <w:rStyle w:val="Hyperlink"/>
          </w:rPr>
          <w:t xml:space="preserve">DSB APIM Sync Process</w:t>
        </w:r>
      </w:hyperlink>
      <w:r>
        <w:t xml:space="preserve"> </w:t>
      </w:r>
      <w:r>
        <w:t xml:space="preserve">utilizes certain GUIDs for syncing between the App Catalog Databse and the corresponding APIM Artifacts.</w:t>
      </w:r>
      <w:r>
        <w:t xml:space="preserve"> </w:t>
      </w:r>
      <w:r>
        <w:t xml:space="preserve">In particular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DSB Application Catalogue Entity</w:t>
            </w:r>
          </w:p>
        </w:tc>
        <w:tc>
          <w:tcPr/>
          <w:p>
            <w:pPr>
              <w:pStyle w:val="Compact"/>
              <w:jc w:val="left"/>
            </w:pPr>
            <w:r>
              <w:t xml:space="preserve">APIM Object</w:t>
            </w:r>
          </w:p>
        </w:tc>
      </w:tr>
      <w:tr>
        <w:tc>
          <w:tcPr/>
          <w:p>
            <w:pPr>
              <w:pStyle w:val="Compact"/>
              <w:jc w:val="left"/>
            </w:pPr>
            <w:r>
              <w:t xml:space="preserve">Group-&gt;GroupId</w:t>
            </w:r>
          </w:p>
        </w:tc>
        <w:tc>
          <w:tcPr/>
          <w:p>
            <w:pPr>
              <w:pStyle w:val="Compact"/>
              <w:jc w:val="left"/>
            </w:pPr>
            <w:r>
              <w:t xml:space="preserve">Product-&gt;Id</w:t>
            </w:r>
          </w:p>
        </w:tc>
      </w:tr>
      <w:tr>
        <w:tc>
          <w:tcPr/>
          <w:p>
            <w:pPr>
              <w:pStyle w:val="Compact"/>
              <w:jc w:val="left"/>
            </w:pPr>
            <w:r>
              <w:t xml:space="preserve">ApplicationGroup-&gt;ApplicationGroupId</w:t>
            </w:r>
          </w:p>
        </w:tc>
        <w:tc>
          <w:tcPr/>
          <w:p>
            <w:pPr>
              <w:pStyle w:val="Compact"/>
              <w:jc w:val="left"/>
            </w:pPr>
            <w:r>
              <w:t xml:space="preserve">Subscription-&gt;Id</w:t>
            </w:r>
          </w:p>
        </w:tc>
      </w:tr>
    </w:tbl>
    <w:bookmarkEnd w:id="39"/>
    <w:bookmarkStart w:id="40" w:name="groupid"/>
    <w:p>
      <w:pPr>
        <w:pStyle w:val="Heading6"/>
      </w:pPr>
      <w:r>
        <w:t xml:space="preserve">GroupId</w:t>
      </w:r>
    </w:p>
    <w:p>
      <w:pPr>
        <w:pStyle w:val="FirstParagraph"/>
      </w:pPr>
      <w:r>
        <w:t xml:space="preserve">To ensure the</w:t>
      </w:r>
      <w:r>
        <w:t xml:space="preserve"> </w:t>
      </w:r>
      <w:r>
        <w:rPr>
          <w:bCs/>
          <w:b/>
        </w:rPr>
        <w:t xml:space="preserve">[Group].</w:t>
      </w:r>
      <w:hyperlink w:anchor="groupid">
        <w:r>
          <w:rPr>
            <w:rStyle w:val="Hyperlink"/>
            <w:bCs/>
            <w:b/>
          </w:rPr>
          <w:t xml:space="preserve">GroupId</w:t>
        </w:r>
      </w:hyperlink>
      <w:r>
        <w:t xml:space="preserve"> </w:t>
      </w:r>
      <w:r>
        <w:t xml:space="preserve">is unique across all Zone2-{env} databases, the **03_PopulateGroup_*.sql** scripts need to be updated to use the environment name when generating the deterministic GUID for GropupId.</w:t>
      </w:r>
    </w:p>
    <w:p>
      <w:pPr>
        <w:pStyle w:val="BodyText"/>
      </w:pPr>
      <w:r>
        <w:t xml:space="preserve">To resolve, the determination of the GroupId has been updated from</w:t>
      </w:r>
    </w:p>
    <w:p>
      <w:pPr>
        <w:pStyle w:val="SourceCode"/>
      </w:pPr>
      <w:r>
        <w:rPr>
          <w:rStyle w:val="KeywordTok"/>
        </w:rPr>
        <w:t xml:space="preserve">DECLARE</w:t>
      </w:r>
      <w:r>
        <w:rPr>
          <w:rStyle w:val="NormalTok"/>
        </w:rPr>
        <w:t xml:space="preserve"> @Group_Id UNIQUEIDENTIFIER </w:t>
      </w:r>
      <w:r>
        <w:rPr>
          <w:rStyle w:val="OperatorTok"/>
        </w:rPr>
        <w:t xml:space="preserve">=</w:t>
      </w:r>
      <w:r>
        <w:rPr>
          <w:rStyle w:val="NormalTok"/>
        </w:rPr>
        <w:t xml:space="preserve"> </w:t>
      </w:r>
      <w:r>
        <w:rPr>
          <w:rStyle w:val="FunctionTok"/>
        </w:rPr>
        <w:t xml:space="preserve">CAST</w:t>
      </w:r>
      <w:r>
        <w:rPr>
          <w:rStyle w:val="NormalTok"/>
        </w:rPr>
        <w:t xml:space="preserve">(HASHBYTES(</w:t>
      </w:r>
      <w:r>
        <w:rPr>
          <w:rStyle w:val="StringTok"/>
        </w:rPr>
        <w:t xml:space="preserve">'sha2_256'</w:t>
      </w:r>
      <w:r>
        <w:rPr>
          <w:rStyle w:val="NormalTok"/>
        </w:rPr>
        <w:t xml:space="preserve">, </w:t>
      </w:r>
      <w:r>
        <w:rPr>
          <w:rStyle w:val="StringTok"/>
        </w:rPr>
        <w:t xml:space="preserve">'STUDENT'</w:t>
      </w:r>
      <w:r>
        <w:rPr>
          <w:rStyle w:val="NormalTok"/>
        </w:rPr>
        <w:t xml:space="preserve">) </w:t>
      </w:r>
      <w:r>
        <w:rPr>
          <w:rStyle w:val="KeywordTok"/>
        </w:rPr>
        <w:t xml:space="preserve">AS</w:t>
      </w:r>
      <w:r>
        <w:rPr>
          <w:rStyle w:val="NormalTok"/>
        </w:rPr>
        <w:t xml:space="preserve"> UNIQUEIDENTIFIER)</w:t>
      </w:r>
    </w:p>
    <w:p>
      <w:pPr>
        <w:pStyle w:val="FirstParagraph"/>
      </w:pPr>
      <w:r>
        <w:t xml:space="preserve">to</w:t>
      </w:r>
    </w:p>
    <w:p>
      <w:pPr>
        <w:pStyle w:val="SourceCode"/>
      </w:pPr>
      <w:r>
        <w:rPr>
          <w:rStyle w:val="KeywordTok"/>
        </w:rPr>
        <w:t xml:space="preserve">Declare</w:t>
      </w:r>
      <w:r>
        <w:rPr>
          <w:rStyle w:val="NormalTok"/>
        </w:rPr>
        <w:t xml:space="preserve"> @EnvironmentSuffix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 Append '-UAT' suffix to Group name for UAT environment only (so that these match the UAT Product names in Zone2 APIM instance)</w:t>
      </w:r>
      <w:r>
        <w:br/>
      </w:r>
      <w:r>
        <w:rPr>
          <w:rStyle w:val="ControlFlowTok"/>
        </w:rPr>
        <w:t xml:space="preserve">IF</w:t>
      </w:r>
      <w:r>
        <w:rPr>
          <w:rStyle w:val="NormalTok"/>
        </w:rPr>
        <w:t xml:space="preserve"> @@SERVERNAME </w:t>
      </w:r>
      <w:r>
        <w:rPr>
          <w:rStyle w:val="OperatorTok"/>
        </w:rPr>
        <w:t xml:space="preserve">=</w:t>
      </w:r>
      <w:r>
        <w:rPr>
          <w:rStyle w:val="NormalTok"/>
        </w:rPr>
        <w:t xml:space="preserve"> </w:t>
      </w:r>
      <w:r>
        <w:rPr>
          <w:rStyle w:val="StringTok"/>
        </w:rPr>
        <w:t xml:space="preserve">'db-dh-zone2uat-qed'</w:t>
      </w:r>
      <w:r>
        <w:br/>
      </w:r>
      <w:r>
        <w:rPr>
          <w:rStyle w:val="ControlFlowTok"/>
        </w:rPr>
        <w:t xml:space="preserve">BEGIN</w:t>
      </w:r>
      <w:r>
        <w:br/>
      </w:r>
      <w:r>
        <w:rPr>
          <w:rStyle w:val="NormalTok"/>
        </w:rPr>
        <w:t xml:space="preserve">  </w:t>
      </w:r>
      <w:r>
        <w:rPr>
          <w:rStyle w:val="KeywordTok"/>
        </w:rPr>
        <w:t xml:space="preserve">SET</w:t>
      </w:r>
      <w:r>
        <w:rPr>
          <w:rStyle w:val="NormalTok"/>
        </w:rPr>
        <w:t xml:space="preserve"> @EnvironmentSuffix </w:t>
      </w:r>
      <w:r>
        <w:rPr>
          <w:rStyle w:val="OperatorTok"/>
        </w:rPr>
        <w:t xml:space="preserve">=</w:t>
      </w:r>
      <w:r>
        <w:rPr>
          <w:rStyle w:val="NormalTok"/>
        </w:rPr>
        <w:t xml:space="preserve"> </w:t>
      </w:r>
      <w:r>
        <w:rPr>
          <w:rStyle w:val="StringTok"/>
        </w:rPr>
        <w:t xml:space="preserve">'-UAT'</w:t>
      </w:r>
      <w:r>
        <w:rPr>
          <w:rStyle w:val="NormalTok"/>
        </w:rPr>
        <w:t xml:space="preserve">  </w:t>
      </w:r>
      <w:r>
        <w:br/>
      </w:r>
      <w:r>
        <w:rPr>
          <w:rStyle w:val="ControlFlowTok"/>
        </w:rPr>
        <w:t xml:space="preserve">END</w:t>
      </w:r>
      <w:r>
        <w:br/>
      </w:r>
      <w:r>
        <w:br/>
      </w:r>
      <w:r>
        <w:rPr>
          <w:rStyle w:val="CommentTok"/>
        </w:rPr>
        <w:t xml:space="preserve">-- Append '-TestQ' suffix to Domains for TestQ environment only (so that these match the TestQ Product names in Zone2 APIM instance)</w:t>
      </w:r>
      <w:r>
        <w:br/>
      </w:r>
      <w:r>
        <w:rPr>
          <w:rStyle w:val="ControlFlowTok"/>
        </w:rPr>
        <w:t xml:space="preserve">IF</w:t>
      </w:r>
      <w:r>
        <w:rPr>
          <w:rStyle w:val="NormalTok"/>
        </w:rPr>
        <w:t xml:space="preserve"> @@SERVERNAME </w:t>
      </w:r>
      <w:r>
        <w:rPr>
          <w:rStyle w:val="OperatorTok"/>
        </w:rPr>
        <w:t xml:space="preserve">=</w:t>
      </w:r>
      <w:r>
        <w:rPr>
          <w:rStyle w:val="NormalTok"/>
        </w:rPr>
        <w:t xml:space="preserve"> </w:t>
      </w:r>
      <w:r>
        <w:rPr>
          <w:rStyle w:val="StringTok"/>
        </w:rPr>
        <w:t xml:space="preserve">'db-dh-zone2testq-qed'</w:t>
      </w:r>
      <w:r>
        <w:br/>
      </w:r>
      <w:r>
        <w:rPr>
          <w:rStyle w:val="ControlFlowTok"/>
        </w:rPr>
        <w:t xml:space="preserve">BEGIN</w:t>
      </w:r>
      <w:r>
        <w:rPr>
          <w:rStyle w:val="NormalTok"/>
        </w:rPr>
        <w:t xml:space="preserve">  </w:t>
      </w:r>
      <w:r>
        <w:br/>
      </w:r>
      <w:r>
        <w:rPr>
          <w:rStyle w:val="NormalTok"/>
        </w:rPr>
        <w:t xml:space="preserve">  </w:t>
      </w:r>
      <w:r>
        <w:rPr>
          <w:rStyle w:val="KeywordTok"/>
        </w:rPr>
        <w:t xml:space="preserve">SET</w:t>
      </w:r>
      <w:r>
        <w:rPr>
          <w:rStyle w:val="NormalTok"/>
        </w:rPr>
        <w:t xml:space="preserve"> @EnvironmentSuffix </w:t>
      </w:r>
      <w:r>
        <w:rPr>
          <w:rStyle w:val="OperatorTok"/>
        </w:rPr>
        <w:t xml:space="preserve">=</w:t>
      </w:r>
      <w:r>
        <w:rPr>
          <w:rStyle w:val="NormalTok"/>
        </w:rPr>
        <w:t xml:space="preserve"> </w:t>
      </w:r>
      <w:r>
        <w:rPr>
          <w:rStyle w:val="StringTok"/>
        </w:rPr>
        <w:t xml:space="preserve">'-TestQ'</w:t>
      </w:r>
      <w:r>
        <w:rPr>
          <w:rStyle w:val="NormalTok"/>
        </w:rPr>
        <w:t xml:space="preserve">  </w:t>
      </w:r>
      <w:r>
        <w:br/>
      </w:r>
      <w:r>
        <w:rPr>
          <w:rStyle w:val="ControlFlowTok"/>
        </w:rPr>
        <w:t xml:space="preserve">END</w:t>
      </w:r>
      <w:r>
        <w:br/>
      </w:r>
      <w:r>
        <w:br/>
      </w:r>
      <w:r>
        <w:rPr>
          <w:rStyle w:val="CommentTok"/>
        </w:rPr>
        <w:t xml:space="preserve">--Groups Ids in Zone2 need to be unqiue as they share the same APIM instance. GroupId &gt; ProductId in APIM.</w:t>
      </w:r>
      <w:r>
        <w:br/>
      </w:r>
      <w:r>
        <w:rPr>
          <w:rStyle w:val="KeywordTok"/>
        </w:rPr>
        <w:t xml:space="preserve">DECLARE</w:t>
      </w:r>
      <w:r>
        <w:rPr>
          <w:rStyle w:val="NormalTok"/>
        </w:rPr>
        <w:t xml:space="preserve"> @StudentGroup_Id UNIQUEIDENTIFIER </w:t>
      </w:r>
      <w:r>
        <w:rPr>
          <w:rStyle w:val="OperatorTok"/>
        </w:rPr>
        <w:t xml:space="preserve">=</w:t>
      </w:r>
      <w:r>
        <w:rPr>
          <w:rStyle w:val="NormalTok"/>
        </w:rPr>
        <w:t xml:space="preserve"> </w:t>
      </w:r>
      <w:r>
        <w:rPr>
          <w:rStyle w:val="FunctionTok"/>
        </w:rPr>
        <w:t xml:space="preserve">CAST</w:t>
      </w:r>
      <w:r>
        <w:rPr>
          <w:rStyle w:val="NormalTok"/>
        </w:rPr>
        <w:t xml:space="preserve">(HASHBYTES(</w:t>
      </w:r>
      <w:r>
        <w:rPr>
          <w:rStyle w:val="StringTok"/>
        </w:rPr>
        <w:t xml:space="preserve">'sha2_256'</w:t>
      </w:r>
      <w:r>
        <w:rPr>
          <w:rStyle w:val="NormalTok"/>
        </w:rPr>
        <w:t xml:space="preserve">, </w:t>
      </w:r>
      <w:r>
        <w:rPr>
          <w:rStyle w:val="StringTok"/>
        </w:rPr>
        <w:t xml:space="preserve">'STUDENT'</w:t>
      </w:r>
      <w:r>
        <w:rPr>
          <w:rStyle w:val="NormalTok"/>
        </w:rPr>
        <w:t xml:space="preserve"> </w:t>
      </w:r>
      <w:r>
        <w:rPr>
          <w:rStyle w:val="OperatorTok"/>
        </w:rPr>
        <w:t xml:space="preserve">+</w:t>
      </w:r>
      <w:r>
        <w:rPr>
          <w:rStyle w:val="NormalTok"/>
        </w:rPr>
        <w:t xml:space="preserve"> @EnvironmentSuffix) </w:t>
      </w:r>
      <w:r>
        <w:rPr>
          <w:rStyle w:val="KeywordTok"/>
        </w:rPr>
        <w:t xml:space="preserve">AS</w:t>
      </w:r>
      <w:r>
        <w:rPr>
          <w:rStyle w:val="NormalTok"/>
        </w:rPr>
        <w:t xml:space="preserve"> UNIQUEIDENTIFIER)</w:t>
      </w:r>
    </w:p>
    <w:bookmarkEnd w:id="40"/>
    <w:bookmarkStart w:id="44" w:name="applicationgroupid"/>
    <w:p>
      <w:pPr>
        <w:pStyle w:val="Heading6"/>
      </w:pPr>
      <w:r>
        <w:t xml:space="preserve">ApplicationGroupId</w:t>
      </w:r>
    </w:p>
    <w:p>
      <w:pPr>
        <w:pStyle w:val="FirstParagraph"/>
      </w:pPr>
      <w:r>
        <w:t xml:space="preserve">The</w:t>
      </w:r>
      <w:r>
        <w:t xml:space="preserve"> </w:t>
      </w:r>
      <w:r>
        <w:rPr>
          <w:bCs/>
          <w:b/>
        </w:rPr>
        <w:t xml:space="preserve">[ApplicationGroup].</w:t>
      </w:r>
      <w:hyperlink w:anchor="applicationgroupid">
        <w:r>
          <w:rPr>
            <w:rStyle w:val="Hyperlink"/>
            <w:bCs/>
            <w:b/>
          </w:rPr>
          <w:t xml:space="preserve">ApplicationGroupId</w:t>
        </w:r>
      </w:hyperlink>
      <w:r>
        <w:t xml:space="preserve"> </w:t>
      </w:r>
      <w:r>
        <w:t xml:space="preserve">becomes the APIM SubscriptionId. As multiple environments are hosted in the same APIM Instance in Zone2, the [ApplicationGroup].</w:t>
      </w:r>
      <w:hyperlink w:anchor="applicationgroupid">
        <w:r>
          <w:rPr>
            <w:rStyle w:val="Hyperlink"/>
          </w:rPr>
          <w:t xml:space="preserve">ApplicationGroupId</w:t>
        </w:r>
      </w:hyperlink>
      <w:r>
        <w:t xml:space="preserve"> </w:t>
      </w:r>
      <w:r>
        <w:t xml:space="preserve">needs to be environment aware. The **04_PopulateApplication_*.sql** need to be updated use the environment name when generating the deterministic GUID for ApplicationGroupId from</w:t>
      </w:r>
    </w:p>
    <w:p>
      <w:pPr>
        <w:pStyle w:val="SourceCode"/>
      </w:pPr>
      <w:r>
        <w:rPr>
          <w:rStyle w:val="KeywordTok"/>
        </w:rPr>
        <w:t xml:space="preserve">DECLARE</w:t>
      </w:r>
      <w:r>
        <w:rPr>
          <w:rStyle w:val="NormalTok"/>
        </w:rPr>
        <w:t xml:space="preserve"> @AppGroup_Id UNIQUEIDENTIFIER </w:t>
      </w:r>
      <w:r>
        <w:rPr>
          <w:rStyle w:val="OperatorTok"/>
        </w:rPr>
        <w:t xml:space="preserve">=</w:t>
      </w:r>
      <w:r>
        <w:rPr>
          <w:rStyle w:val="NormalTok"/>
        </w:rPr>
        <w:t xml:space="preserve"> </w:t>
      </w:r>
      <w:r>
        <w:rPr>
          <w:rStyle w:val="FunctionTok"/>
        </w:rPr>
        <w:t xml:space="preserve">CAST</w:t>
      </w:r>
      <w:r>
        <w:rPr>
          <w:rStyle w:val="NormalTok"/>
        </w:rPr>
        <w:t xml:space="preserve">(HASHBYTES(</w:t>
      </w:r>
      <w:r>
        <w:rPr>
          <w:rStyle w:val="StringTok"/>
        </w:rPr>
        <w:t xml:space="preserve">'sha2_256'</w:t>
      </w:r>
      <w:r>
        <w:rPr>
          <w:rStyle w:val="NormalTok"/>
        </w:rPr>
        <w:t xml:space="preserve">, </w:t>
      </w:r>
      <w:r>
        <w:rPr>
          <w:rStyle w:val="StringTok"/>
        </w:rPr>
        <w:t xml:space="preserve">'STUDENT-'</w:t>
      </w:r>
      <w:r>
        <w:rPr>
          <w:rStyle w:val="NormalTok"/>
        </w:rPr>
        <w:t xml:space="preserve"> </w:t>
      </w:r>
      <w:r>
        <w:rPr>
          <w:rStyle w:val="OperatorTok"/>
        </w:rPr>
        <w:t xml:space="preserve">+</w:t>
      </w:r>
      <w:r>
        <w:rPr>
          <w:rStyle w:val="NormalTok"/>
        </w:rPr>
        <w:t xml:space="preserve"> @App_iStudent) </w:t>
      </w:r>
      <w:r>
        <w:rPr>
          <w:rStyle w:val="KeywordTok"/>
        </w:rPr>
        <w:t xml:space="preserve">AS</w:t>
      </w:r>
      <w:r>
        <w:rPr>
          <w:rStyle w:val="NormalTok"/>
        </w:rPr>
        <w:t xml:space="preserve"> UNIQUEIDENTIFIER)</w:t>
      </w:r>
    </w:p>
    <w:p>
      <w:pPr>
        <w:pStyle w:val="FirstParagraph"/>
      </w:pPr>
      <w:r>
        <w:t xml:space="preserve">to</w:t>
      </w:r>
    </w:p>
    <w:p>
      <w:pPr>
        <w:pStyle w:val="SourceCode"/>
      </w:pPr>
      <w:r>
        <w:rPr>
          <w:rStyle w:val="KeywordTok"/>
        </w:rPr>
        <w:t xml:space="preserve">DECLARE</w:t>
      </w:r>
      <w:r>
        <w:rPr>
          <w:rStyle w:val="NormalTok"/>
        </w:rPr>
        <w:t xml:space="preserve"> @AppGroup_Id UNIQUEIDENTIFIER </w:t>
      </w:r>
      <w:r>
        <w:rPr>
          <w:rStyle w:val="OperatorTok"/>
        </w:rPr>
        <w:t xml:space="preserve">=</w:t>
      </w:r>
      <w:r>
        <w:rPr>
          <w:rStyle w:val="NormalTok"/>
        </w:rPr>
        <w:t xml:space="preserve"> </w:t>
      </w:r>
      <w:r>
        <w:rPr>
          <w:rStyle w:val="FunctionTok"/>
        </w:rPr>
        <w:t xml:space="preserve">CAST</w:t>
      </w:r>
      <w:r>
        <w:rPr>
          <w:rStyle w:val="NormalTok"/>
        </w:rPr>
        <w:t xml:space="preserve">(HASHBYTES(</w:t>
      </w:r>
      <w:r>
        <w:rPr>
          <w:rStyle w:val="StringTok"/>
        </w:rPr>
        <w:t xml:space="preserve">'sha2_256'</w:t>
      </w:r>
      <w:r>
        <w:rPr>
          <w:rStyle w:val="NormalTok"/>
        </w:rPr>
        <w:t xml:space="preserve">, </w:t>
      </w:r>
      <w:r>
        <w:rPr>
          <w:rStyle w:val="StringTok"/>
        </w:rPr>
        <w:t xml:space="preserve">'STUDENT'</w:t>
      </w:r>
      <w:r>
        <w:rPr>
          <w:rStyle w:val="NormalTok"/>
        </w:rPr>
        <w:t xml:space="preserve"> </w:t>
      </w:r>
      <w:r>
        <w:rPr>
          <w:rStyle w:val="OperatorTok"/>
        </w:rPr>
        <w:t xml:space="preserve">+</w:t>
      </w:r>
      <w:r>
        <w:rPr>
          <w:rStyle w:val="NormalTok"/>
        </w:rPr>
        <w:t xml:space="preserve"> @EnvironmentSuffix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@App_iStudent) </w:t>
      </w:r>
      <w:r>
        <w:rPr>
          <w:rStyle w:val="KeywordTok"/>
        </w:rPr>
        <w:t xml:space="preserve">AS</w:t>
      </w:r>
      <w:r>
        <w:rPr>
          <w:rStyle w:val="NormalTok"/>
        </w:rPr>
        <w:t xml:space="preserve"> UNIQUEIDENTIFIER)</w:t>
      </w:r>
    </w:p>
    <w:p>
      <w:pPr>
        <w:pStyle w:val="FirstParagraph"/>
      </w:pPr>
      <w:r>
        <w:t xml:space="preserve">Execute other scripts as described in the</w:t>
      </w:r>
      <w:r>
        <w:t xml:space="preserve"> </w:t>
      </w:r>
      <w:hyperlink r:id="rId41">
        <w:r>
          <w:rPr>
            <w:rStyle w:val="Hyperlink"/>
          </w:rPr>
          <w:t xml:space="preserve">App Catalog Deployment Guide</w:t>
        </w:r>
      </w:hyperlink>
    </w:p>
    <w:p>
      <w:pPr>
        <w:pStyle w:val="BodyText"/>
      </w:pPr>
      <w:r>
        <w:t xml:space="preserve">See</w:t>
      </w:r>
      <w:r>
        <w:t xml:space="preserve"> </w:t>
      </w:r>
      <w:hyperlink r:id="rId42">
        <w:r>
          <w:rPr>
            <w:rStyle w:val="Hyperlink"/>
          </w:rPr>
          <w:t xml:space="preserve">DSB DB SQL Always Encrypted</w:t>
        </w:r>
      </w:hyperlink>
      <w:r>
        <w:t xml:space="preserve"> </w:t>
      </w:r>
      <w:r>
        <w:t xml:space="preserve">and</w:t>
      </w:r>
      <w:r>
        <w:t xml:space="preserve"> </w:t>
      </w:r>
      <w:hyperlink r:id="rId43">
        <w:r>
          <w:rPr>
            <w:rStyle w:val="Hyperlink"/>
          </w:rPr>
          <w:t xml:space="preserve">DSB Application Catalogue Maintenance</w:t>
        </w:r>
      </w:hyperlink>
    </w:p>
    <w:bookmarkEnd w:id="44"/>
    <w:bookmarkEnd w:id="45"/>
    <w:bookmarkEnd w:id="46"/>
    <w:bookmarkEnd w:id="47"/>
    <w:sectPr w:rsidR="009352AA" w:rsidSect="00884783">
      <w:headerReference r:id="rId9" w:type="default"/>
      <w:footerReference r:id="rId11" w:type="default"/>
      <w:headerReference r:id="rId10" w:type="first"/>
      <w:pgSz w:code="9" w:h="16840" w:w="11900"/>
      <w:pgMar w:bottom="720" w:footer="170" w:gutter="0" w:header="340" w:left="720" w:right="720" w:top="72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4"/>
      <w:gridCol w:w="3484"/>
      <w:gridCol w:w="3482"/>
    </w:tblGrid>
    <w:tr w:rsidR="00A21CC8" w14:paraId="1C3EE531" w14:textId="77777777" w:rsidTr="00786796">
      <w:trPr>
        <w:trHeight w:val="283"/>
      </w:trPr>
      <w:tc>
        <w:tcPr>
          <w:tcW w:w="1667" w:type="pct"/>
          <w:tcBorders>
            <w:top w:val="single" w:sz="4" w:space="0" w:color="auto"/>
            <w:left w:val="single" w:sz="4" w:space="0" w:color="auto"/>
            <w:bottom w:val="single" w:sz="4" w:space="0" w:color="auto"/>
            <w:right w:val="single" w:sz="4" w:space="0" w:color="auto"/>
          </w:tcBorders>
        </w:tcPr>
        <w:p w14:paraId="4290BB88" w14:textId="77777777" w:rsidR="00A21CC8" w:rsidRPr="00256AD9" w:rsidRDefault="00A21CC8" w:rsidP="00657FE6">
          <w:pPr>
            <w:spacing w:before="0" w:line="240" w:lineRule="auto"/>
          </w:pPr>
          <w:r w:rsidRPr="00256AD9">
            <w:t>Last Saved</w:t>
          </w:r>
        </w:p>
      </w:tc>
      <w:tc>
        <w:tcPr>
          <w:tcW w:w="1667" w:type="pct"/>
          <w:tcBorders>
            <w:top w:val="single" w:sz="4" w:space="0" w:color="auto"/>
            <w:left w:val="single" w:sz="4" w:space="0" w:color="auto"/>
            <w:bottom w:val="single" w:sz="4" w:space="0" w:color="auto"/>
            <w:right w:val="single" w:sz="4" w:space="0" w:color="auto"/>
          </w:tcBorders>
        </w:tcPr>
        <w:p w14:paraId="457736AF" w14:textId="77777777" w:rsidR="00A21CC8" w:rsidRPr="00256AD9" w:rsidRDefault="00A21CC8" w:rsidP="00657FE6">
          <w:pPr>
            <w:spacing w:before="0" w:line="240" w:lineRule="auto"/>
            <w:rPr>
              <w:b/>
              <w:sz w:val="16"/>
              <w:szCs w:val="16"/>
            </w:rPr>
          </w:pPr>
          <w:r>
            <w:rPr>
              <w:b/>
              <w:sz w:val="16"/>
              <w:szCs w:val="16"/>
            </w:rPr>
            <w:t>HPRM</w:t>
          </w:r>
          <w:r w:rsidRPr="00256AD9">
            <w:rPr>
              <w:b/>
              <w:sz w:val="16"/>
              <w:szCs w:val="16"/>
            </w:rPr>
            <w:t xml:space="preserve"> Reference</w:t>
          </w:r>
        </w:p>
      </w:tc>
      <w:tc>
        <w:tcPr>
          <w:tcW w:w="1667" w:type="pct"/>
          <w:tcBorders>
            <w:top w:val="single" w:sz="4" w:space="0" w:color="auto"/>
            <w:left w:val="single" w:sz="4" w:space="0" w:color="auto"/>
            <w:bottom w:val="single" w:sz="4" w:space="0" w:color="auto"/>
            <w:right w:val="single" w:sz="4" w:space="0" w:color="auto"/>
          </w:tcBorders>
        </w:tcPr>
        <w:p w14:paraId="0979AF18" w14:textId="77777777" w:rsidR="00A21CC8" w:rsidRPr="00256AD9" w:rsidRDefault="00A21CC8" w:rsidP="00657FE6">
          <w:pPr>
            <w:spacing w:before="0" w:line="240" w:lineRule="auto"/>
            <w:rPr>
              <w:b/>
              <w:sz w:val="16"/>
              <w:szCs w:val="16"/>
            </w:rPr>
          </w:pPr>
          <w:r w:rsidRPr="00256AD9">
            <w:rPr>
              <w:b/>
              <w:sz w:val="16"/>
              <w:szCs w:val="16"/>
            </w:rPr>
            <w:t>Page</w:t>
          </w:r>
        </w:p>
      </w:tc>
    </w:tr>
    <w:tr w:rsidR="00A21CC8" w14:paraId="3CF8F20A" w14:textId="77777777" w:rsidTr="00786796">
      <w:trPr>
        <w:trHeight w:val="283"/>
      </w:trPr>
      <w:tc>
        <w:tcPr>
          <w:tcW w:w="1667" w:type="pct"/>
          <w:tcBorders>
            <w:top w:val="single" w:sz="4" w:space="0" w:color="auto"/>
            <w:left w:val="single" w:sz="4" w:space="0" w:color="auto"/>
            <w:bottom w:val="single" w:sz="4" w:space="0" w:color="auto"/>
            <w:right w:val="single" w:sz="4" w:space="0" w:color="auto"/>
          </w:tcBorders>
        </w:tcPr>
        <w:p w14:paraId="33EB487E" w14:textId="5408322C" w:rsidR="00A21CC8" w:rsidRPr="00256AD9" w:rsidRDefault="00A21CC8" w:rsidP="00657FE6">
          <w:pPr>
            <w:spacing w:before="0" w:line="240" w:lineRule="auto"/>
            <w:rPr>
              <w:sz w:val="16"/>
              <w:szCs w:val="16"/>
            </w:rPr>
          </w:pPr>
          <w:r w:rsidRPr="00256AD9">
            <w:rPr>
              <w:sz w:val="16"/>
              <w:szCs w:val="16"/>
            </w:rPr>
            <w:fldChar w:fldCharType="begin"/>
          </w:r>
          <w:r w:rsidRPr="00256AD9">
            <w:rPr>
              <w:sz w:val="16"/>
              <w:szCs w:val="16"/>
            </w:rPr>
            <w:instrText xml:space="preserve"> SAVEDATE  \@ "dd-MMM-yyyy h:mm am/pm"  \* MERGEFORMAT </w:instrText>
          </w:r>
          <w:r w:rsidRPr="00256AD9">
            <w:rPr>
              <w:sz w:val="16"/>
              <w:szCs w:val="16"/>
            </w:rPr>
            <w:fldChar w:fldCharType="separate"/>
          </w:r>
          <w:r>
            <w:rPr>
              <w:noProof/>
              <w:sz w:val="16"/>
              <w:szCs w:val="16"/>
            </w:rPr>
            <w:t>20-Dec-2022 11:55 AM</w:t>
          </w:r>
          <w:r w:rsidRPr="00256AD9">
            <w:rPr>
              <w:sz w:val="16"/>
              <w:szCs w:val="16"/>
            </w:rPr>
            <w:fldChar w:fldCharType="end"/>
          </w:r>
        </w:p>
      </w:tc>
      <w:tc>
        <w:tcPr>
          <w:tcW w:w="1667" w:type="pct"/>
          <w:tcBorders>
            <w:top w:val="single" w:sz="4" w:space="0" w:color="auto"/>
            <w:left w:val="single" w:sz="4" w:space="0" w:color="auto"/>
            <w:bottom w:val="single" w:sz="4" w:space="0" w:color="auto"/>
            <w:right w:val="single" w:sz="4" w:space="0" w:color="auto"/>
          </w:tcBorders>
        </w:tcPr>
        <w:p w14:paraId="6448CC62" w14:textId="44706CE0" w:rsidR="00A21CC8" w:rsidRPr="00256AD9" w:rsidRDefault="00A21CC8" w:rsidP="00657FE6">
          <w:pPr>
            <w:spacing w:before="0" w:line="240" w:lineRule="auto"/>
            <w:rPr>
              <w:sz w:val="16"/>
              <w:szCs w:val="16"/>
            </w:rPr>
          </w:pPr>
        </w:p>
      </w:tc>
      <w:tc>
        <w:tcPr>
          <w:tcW w:w="1667" w:type="pct"/>
          <w:tcBorders>
            <w:top w:val="single" w:sz="4" w:space="0" w:color="auto"/>
            <w:left w:val="single" w:sz="4" w:space="0" w:color="auto"/>
            <w:bottom w:val="single" w:sz="4" w:space="0" w:color="auto"/>
            <w:right w:val="single" w:sz="4" w:space="0" w:color="auto"/>
          </w:tcBorders>
        </w:tcPr>
        <w:p w14:paraId="57D5B7CC" w14:textId="77777777" w:rsidR="00A21CC8" w:rsidRPr="00256AD9" w:rsidRDefault="00A21CC8" w:rsidP="00657FE6">
          <w:pPr>
            <w:spacing w:before="0" w:line="240" w:lineRule="auto"/>
            <w:rPr>
              <w:sz w:val="16"/>
              <w:szCs w:val="16"/>
            </w:rPr>
          </w:pPr>
          <w:r w:rsidRPr="00256AD9">
            <w:rPr>
              <w:sz w:val="16"/>
              <w:szCs w:val="16"/>
              <w:lang w:val="en-US"/>
            </w:rPr>
            <w:fldChar w:fldCharType="begin"/>
          </w:r>
          <w:r w:rsidRPr="00256AD9">
            <w:rPr>
              <w:sz w:val="16"/>
              <w:szCs w:val="16"/>
              <w:lang w:val="en-US"/>
            </w:rPr>
            <w:instrText xml:space="preserve"> PAGE </w:instrText>
          </w:r>
          <w:r w:rsidRPr="00256AD9">
            <w:rPr>
              <w:sz w:val="16"/>
              <w:szCs w:val="16"/>
              <w:lang w:val="en-US"/>
            </w:rPr>
            <w:fldChar w:fldCharType="separate"/>
          </w:r>
          <w:r>
            <w:rPr>
              <w:sz w:val="16"/>
              <w:szCs w:val="16"/>
              <w:lang w:val="en-US"/>
            </w:rPr>
            <w:t>2</w:t>
          </w:r>
          <w:r w:rsidRPr="00256AD9">
            <w:rPr>
              <w:sz w:val="16"/>
              <w:szCs w:val="16"/>
              <w:lang w:val="en-US"/>
            </w:rPr>
            <w:fldChar w:fldCharType="end"/>
          </w:r>
          <w:r w:rsidRPr="00256AD9">
            <w:rPr>
              <w:sz w:val="16"/>
              <w:szCs w:val="16"/>
              <w:lang w:val="en-US"/>
            </w:rPr>
            <w:t xml:space="preserve"> of </w:t>
          </w:r>
          <w:r w:rsidRPr="00256AD9">
            <w:rPr>
              <w:sz w:val="16"/>
              <w:szCs w:val="16"/>
              <w:lang w:val="en-US"/>
            </w:rPr>
            <w:fldChar w:fldCharType="begin"/>
          </w:r>
          <w:r w:rsidRPr="00256AD9">
            <w:rPr>
              <w:sz w:val="16"/>
              <w:szCs w:val="16"/>
              <w:lang w:val="en-US"/>
            </w:rPr>
            <w:instrText xml:space="preserve"> NUMPAGES </w:instrText>
          </w:r>
          <w:r w:rsidRPr="00256AD9">
            <w:rPr>
              <w:sz w:val="16"/>
              <w:szCs w:val="16"/>
              <w:lang w:val="en-US"/>
            </w:rPr>
            <w:fldChar w:fldCharType="separate"/>
          </w:r>
          <w:r>
            <w:rPr>
              <w:sz w:val="16"/>
              <w:szCs w:val="16"/>
              <w:lang w:val="en-US"/>
            </w:rPr>
            <w:t>25</w:t>
          </w:r>
          <w:r w:rsidRPr="00256AD9">
            <w:rPr>
              <w:sz w:val="16"/>
              <w:szCs w:val="16"/>
              <w:lang w:val="en-US"/>
            </w:rPr>
            <w:fldChar w:fldCharType="end"/>
          </w:r>
        </w:p>
      </w:tc>
    </w:tr>
    <w:tr w:rsidR="00A21CC8" w:rsidRPr="00B21C12" w14:paraId="46C5807C" w14:textId="77777777" w:rsidTr="00786796">
      <w:trPr>
        <w:trHeight w:val="283"/>
      </w:trPr>
      <w:tc>
        <w:tcPr>
          <w:tcW w:w="5000" w:type="pct"/>
          <w:gridSpan w:val="3"/>
          <w:tcBorders>
            <w:top w:val="single" w:sz="4" w:space="0" w:color="auto"/>
            <w:left w:val="single" w:sz="4" w:space="0" w:color="auto"/>
            <w:bottom w:val="single" w:sz="4" w:space="0" w:color="auto"/>
            <w:right w:val="single" w:sz="4" w:space="0" w:color="auto"/>
          </w:tcBorders>
        </w:tcPr>
        <w:p w14:paraId="356A36CF" w14:textId="77777777" w:rsidR="00A21CC8" w:rsidRPr="00256AD9" w:rsidRDefault="00A21CC8" w:rsidP="00657FE6">
          <w:pPr>
            <w:spacing w:before="0" w:line="240" w:lineRule="auto"/>
            <w:rPr>
              <w:i/>
              <w:sz w:val="16"/>
              <w:szCs w:val="16"/>
              <w:lang w:val="en-US"/>
            </w:rPr>
          </w:pPr>
          <w:r w:rsidRPr="00256AD9">
            <w:rPr>
              <w:i/>
              <w:sz w:val="16"/>
              <w:szCs w:val="16"/>
              <w:lang w:val="en-US"/>
            </w:rPr>
            <w:t>Printed copies of this document should not be regarded as the current version. ALWAYS refer to the electronic copy as the latest version.</w:t>
          </w:r>
        </w:p>
      </w:tc>
    </w:tr>
  </w:tbl>
  <w:p w14:paraId="1B420C00" w14:textId="50FDFD68" w:rsidR="00A21CC8" w:rsidRPr="002D22FF" w:rsidRDefault="00A21CC8" w:rsidP="002D22FF">
    <w:pPr>
      <w:jc w:val="center"/>
    </w:pPr>
    <w:bookmarkStart w:id="34" w:name="OLE_LINK1"/>
    <w:bookmarkStart w:id="35" w:name="OLE_LINK2"/>
    <w:r w:rsidRPr="00465F50">
      <w:rPr>
        <w:sz w:val="16"/>
        <w:szCs w:val="16"/>
        <w:lang w:val="en-GB"/>
      </w:rPr>
      <w:t xml:space="preserve">[Sec: </w:t>
    </w:r>
    <w:r>
      <w:rPr>
        <w:color w:val="FF0000"/>
        <w:sz w:val="16"/>
        <w:szCs w:val="16"/>
        <w:lang w:val="en-GB"/>
      </w:rPr>
      <w:t>UNCLASSIFIED</w:t>
    </w:r>
    <w:r w:rsidRPr="00465F50">
      <w:rPr>
        <w:color w:val="FF0000"/>
        <w:sz w:val="16"/>
        <w:szCs w:val="16"/>
        <w:lang w:val="en-GB"/>
      </w:rPr>
      <w:t>-GOVERNMENT-INTERNAL-USE-ONLY</w:t>
    </w:r>
    <w:bookmarkEnd w:id="34"/>
    <w:bookmarkEnd w:id="35"/>
    <w:r>
      <w:rPr>
        <w:sz w:val="16"/>
        <w:szCs w:val="16"/>
        <w:lang w:val="en-GB"/>
      </w:rPr>
      <w: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0C8F2" w14:textId="72C7BADB" w:rsidR="00A21CC8" w:rsidRDefault="00A21CC8">
    <w:pPr>
      <w:pStyle w:val="Header"/>
    </w:pPr>
    <w:r>
      <w:rPr>
        <w:noProof/>
        <w:lang w:eastAsia="en-AU"/>
      </w:rPr>
      <w:drawing>
        <wp:anchor distT="0" distB="0" distL="114300" distR="114300" simplePos="0" relativeHeight="251659264" behindDoc="1" locked="0" layoutInCell="1" allowOverlap="1" wp14:anchorId="2A53991F" wp14:editId="64260A6F">
          <wp:simplePos x="0" y="0"/>
          <wp:positionH relativeFrom="page">
            <wp:align>left</wp:align>
          </wp:positionH>
          <wp:positionV relativeFrom="page">
            <wp:align>top</wp:align>
          </wp:positionV>
          <wp:extent cx="7560000" cy="504000"/>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 A4 portrait corporate generic 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504000"/>
                  </a:xfrm>
                  <a:prstGeom prst="rect">
                    <a:avLst/>
                  </a:prstGeom>
                </pic:spPr>
              </pic:pic>
            </a:graphicData>
          </a:graphic>
          <wp14:sizeRelH relativeFrom="margin">
            <wp14:pctWidth>0</wp14:pctWidth>
          </wp14:sizeRelH>
          <wp14:sizeRelV relativeFrom="margin">
            <wp14:pctHeight>0</wp14:pctHeight>
          </wp14:sizeRelV>
        </wp:anchor>
      </w:drawing>
    </w:r>
    <w:r>
      <w:t>Operational Deployment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94BAE" w14:textId="77777777" w:rsidR="00A21CC8" w:rsidRDefault="00A21CC8">
    <w:pPr>
      <w:pStyle w:val="Header"/>
    </w:pPr>
    <w:r>
      <w:rPr>
        <w:noProof/>
        <w:lang w:eastAsia="en-AU"/>
      </w:rPr>
      <w:drawing>
        <wp:anchor distT="0" distB="0" distL="114300" distR="114300" simplePos="0" relativeHeight="251660288" behindDoc="1" locked="0" layoutInCell="1" allowOverlap="1" wp14:anchorId="226B2BCD" wp14:editId="047C2B65">
          <wp:simplePos x="0" y="0"/>
          <wp:positionH relativeFrom="page">
            <wp:align>left</wp:align>
          </wp:positionH>
          <wp:positionV relativeFrom="page">
            <wp:align>top</wp:align>
          </wp:positionV>
          <wp:extent cx="7558768" cy="10692000"/>
          <wp:effectExtent l="0" t="0" r="1079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igenous Educaiton A4 booklet-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768"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48E6E48"/>
    <w:multiLevelType w:val="multilevel"/>
    <w:tmpl w:val="0C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70046D6"/>
    <w:multiLevelType w:val="hybridMultilevel"/>
    <w:tmpl w:val="8ED8738A"/>
    <w:lvl w:ilvl="0" w:tplc="2C1A4ED0">
      <w:start w:val="1"/>
      <w:numFmt w:val="bullet"/>
      <w:pStyle w:val="ListParagraph"/>
      <w:lvlText w:val=""/>
      <w:lvlJc w:val="left"/>
      <w:pPr>
        <w:ind w:hanging="360" w:left="1440"/>
      </w:pPr>
      <w:rPr>
        <w:rFonts w:ascii="Symbol" w:hAnsi="Symbol" w:hint="default"/>
      </w:rPr>
    </w:lvl>
    <w:lvl w:ilvl="1" w:tentative="1" w:tplc="0C090003">
      <w:start w:val="1"/>
      <w:numFmt w:val="bullet"/>
      <w:lvlText w:val="o"/>
      <w:lvlJc w:val="left"/>
      <w:pPr>
        <w:ind w:hanging="360" w:left="2160"/>
      </w:pPr>
      <w:rPr>
        <w:rFonts w:ascii="Courier New" w:cs="Courier New" w:hAnsi="Courier New" w:hint="default"/>
      </w:rPr>
    </w:lvl>
    <w:lvl w:ilvl="2" w:tentative="1" w:tplc="0C090005">
      <w:start w:val="1"/>
      <w:numFmt w:val="bullet"/>
      <w:lvlText w:val=""/>
      <w:lvlJc w:val="left"/>
      <w:pPr>
        <w:ind w:hanging="360" w:left="2880"/>
      </w:pPr>
      <w:rPr>
        <w:rFonts w:ascii="Wingdings" w:hAnsi="Wingdings" w:hint="default"/>
      </w:rPr>
    </w:lvl>
    <w:lvl w:ilvl="3" w:tentative="1" w:tplc="0C090001">
      <w:start w:val="1"/>
      <w:numFmt w:val="bullet"/>
      <w:lvlText w:val=""/>
      <w:lvlJc w:val="left"/>
      <w:pPr>
        <w:ind w:hanging="360" w:left="3600"/>
      </w:pPr>
      <w:rPr>
        <w:rFonts w:ascii="Symbol" w:hAnsi="Symbol" w:hint="default"/>
      </w:rPr>
    </w:lvl>
    <w:lvl w:ilvl="4" w:tentative="1" w:tplc="0C090003">
      <w:start w:val="1"/>
      <w:numFmt w:val="bullet"/>
      <w:lvlText w:val="o"/>
      <w:lvlJc w:val="left"/>
      <w:pPr>
        <w:ind w:hanging="360" w:left="4320"/>
      </w:pPr>
      <w:rPr>
        <w:rFonts w:ascii="Courier New" w:cs="Courier New" w:hAnsi="Courier New" w:hint="default"/>
      </w:rPr>
    </w:lvl>
    <w:lvl w:ilvl="5" w:tentative="1" w:tplc="0C090005">
      <w:start w:val="1"/>
      <w:numFmt w:val="bullet"/>
      <w:lvlText w:val=""/>
      <w:lvlJc w:val="left"/>
      <w:pPr>
        <w:ind w:hanging="360" w:left="5040"/>
      </w:pPr>
      <w:rPr>
        <w:rFonts w:ascii="Wingdings" w:hAnsi="Wingdings" w:hint="default"/>
      </w:rPr>
    </w:lvl>
    <w:lvl w:ilvl="6" w:tentative="1" w:tplc="0C090001">
      <w:start w:val="1"/>
      <w:numFmt w:val="bullet"/>
      <w:lvlText w:val=""/>
      <w:lvlJc w:val="left"/>
      <w:pPr>
        <w:ind w:hanging="360" w:left="5760"/>
      </w:pPr>
      <w:rPr>
        <w:rFonts w:ascii="Symbol" w:hAnsi="Symbol" w:hint="default"/>
      </w:rPr>
    </w:lvl>
    <w:lvl w:ilvl="7" w:tentative="1" w:tplc="0C090003">
      <w:start w:val="1"/>
      <w:numFmt w:val="bullet"/>
      <w:lvlText w:val="o"/>
      <w:lvlJc w:val="left"/>
      <w:pPr>
        <w:ind w:hanging="360" w:left="6480"/>
      </w:pPr>
      <w:rPr>
        <w:rFonts w:ascii="Courier New" w:cs="Courier New" w:hAnsi="Courier New" w:hint="default"/>
      </w:rPr>
    </w:lvl>
    <w:lvl w:ilvl="8" w:tentative="1" w:tplc="0C090005">
      <w:start w:val="1"/>
      <w:numFmt w:val="bullet"/>
      <w:lvlText w:val=""/>
      <w:lvlJc w:val="left"/>
      <w:pPr>
        <w:ind w:hanging="360" w:left="7200"/>
      </w:pPr>
      <w:rPr>
        <w:rFonts w:ascii="Wingdings" w:hAnsi="Wingdings" w:hint="default"/>
      </w:rPr>
    </w:lvl>
  </w:abstractNum>
  <w:abstractNum w15:restartNumberingAfterBreak="0" w:abstractNumId="2">
    <w:nsid w:val="115D5792"/>
    <w:multiLevelType w:val="multilevel"/>
    <w:tmpl w:val="ACEEA1A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
    <w:nsid w:val="1ADF1447"/>
    <w:multiLevelType w:val="hybridMultilevel"/>
    <w:tmpl w:val="1C32F2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5026A09"/>
    <w:multiLevelType w:val="multilevel"/>
    <w:tmpl w:val="67CC682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5">
    <w:nsid w:val="26220F10"/>
    <w:multiLevelType w:val="multilevel"/>
    <w:tmpl w:val="394A42FE"/>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6">
    <w:nsid w:val="26A82D54"/>
    <w:multiLevelType w:val="multilevel"/>
    <w:tmpl w:val="527AA28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7">
    <w:nsid w:val="392E5228"/>
    <w:multiLevelType w:val="hybridMultilevel"/>
    <w:tmpl w:val="3E3AAA5E"/>
    <w:lvl w:ilvl="0" w:tplc="E39EC02E">
      <w:numFmt w:val="bullet"/>
      <w:lvlText w:val="-"/>
      <w:lvlJc w:val="left"/>
      <w:pPr>
        <w:ind w:hanging="360" w:left="720"/>
      </w:pPr>
      <w:rPr>
        <w:rFonts w:ascii="Arial" w:cs="Arial" w:eastAsiaTheme="minorHAnsi" w:hAnsi="Arial" w:hint="default"/>
      </w:rPr>
    </w:lvl>
    <w:lvl w:ilvl="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8">
    <w:nsid w:val="3AB336E9"/>
    <w:multiLevelType w:val="multilevel"/>
    <w:tmpl w:val="9EC6AFA8"/>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9">
    <w:nsid w:val="43CD4EA1"/>
    <w:multiLevelType w:val="hybridMultilevel"/>
    <w:tmpl w:val="7F62583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48C736AE"/>
    <w:multiLevelType w:val="multilevel"/>
    <w:tmpl w:val="8ED8738A"/>
    <w:lvl w:ilvl="0">
      <w:start w:val="1"/>
      <w:numFmt w:val="bullet"/>
      <w:lvlText w:val=""/>
      <w:lvlJc w:val="left"/>
      <w:pPr>
        <w:ind w:hanging="360" w:left="1440"/>
      </w:pPr>
      <w:rPr>
        <w:rFonts w:ascii="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hAnsi="Wingdings" w:hint="default"/>
      </w:rPr>
    </w:lvl>
    <w:lvl w:ilvl="3">
      <w:start w:val="1"/>
      <w:numFmt w:val="bullet"/>
      <w:lvlText w:val=""/>
      <w:lvlJc w:val="left"/>
      <w:pPr>
        <w:ind w:hanging="360" w:left="3600"/>
      </w:pPr>
      <w:rPr>
        <w:rFonts w:ascii="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hAnsi="Wingdings" w:hint="default"/>
      </w:rPr>
    </w:lvl>
    <w:lvl w:ilvl="6">
      <w:start w:val="1"/>
      <w:numFmt w:val="bullet"/>
      <w:lvlText w:val=""/>
      <w:lvlJc w:val="left"/>
      <w:pPr>
        <w:ind w:hanging="360" w:left="5760"/>
      </w:pPr>
      <w:rPr>
        <w:rFonts w:ascii="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hAnsi="Wingdings" w:hint="default"/>
      </w:rPr>
    </w:lvl>
  </w:abstractNum>
  <w:abstractNum w15:restartNumberingAfterBreak="0" w:abstractNumId="11">
    <w:nsid w:val="4A212997"/>
    <w:multiLevelType w:val="multilevel"/>
    <w:tmpl w:val="0C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2">
    <w:nsid w:val="4E2A765A"/>
    <w:multiLevelType w:val="multilevel"/>
    <w:tmpl w:val="34E00384"/>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4EA3095A"/>
    <w:multiLevelType w:val="multilevel"/>
    <w:tmpl w:val="FE6C081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4">
    <w:nsid w:val="53372BB0"/>
    <w:multiLevelType w:val="hybridMultilevel"/>
    <w:tmpl w:val="7FCADC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58EB6B9B"/>
    <w:multiLevelType w:val="multilevel"/>
    <w:tmpl w:val="0C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666C7ABD"/>
    <w:multiLevelType w:val="hybridMultilevel"/>
    <w:tmpl w:val="D57A677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66E10EC3"/>
    <w:multiLevelType w:val="multilevel"/>
    <w:tmpl w:val="270C83D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8">
    <w:nsid w:val="6B0615A0"/>
    <w:multiLevelType w:val="hybridMultilevel"/>
    <w:tmpl w:val="A6E6506E"/>
    <w:lvl w:ilvl="0" w:tplc="E39EC02E">
      <w:numFmt w:val="bullet"/>
      <w:lvlText w:val="-"/>
      <w:lvlJc w:val="left"/>
      <w:pPr>
        <w:ind w:hanging="360" w:left="720"/>
      </w:pPr>
      <w:rPr>
        <w:rFonts w:ascii="Arial" w:cs="Arial" w:eastAsiaTheme="minorHAnsi" w:hAnsi="Aria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9">
    <w:nsid w:val="6CE72FF4"/>
    <w:multiLevelType w:val="hybridMultilevel"/>
    <w:tmpl w:val="9BDCC1EE"/>
    <w:lvl w:ilvl="0" w:tplc="0C09000F">
      <w:start w:val="1"/>
      <w:numFmt w:val="decimal"/>
      <w:lvlText w:val="%1."/>
      <w:lvlJc w:val="left"/>
      <w:pPr>
        <w:ind w:hanging="360" w:left="72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20">
    <w:nsid w:val="707E5C4D"/>
    <w:multiLevelType w:val="hybridMultilevel"/>
    <w:tmpl w:val="5518EED2"/>
    <w:lvl w:ilvl="0" w:tplc="928C7152">
      <w:start w:val="1"/>
      <w:numFmt w:val="bullet"/>
      <w:pStyle w:val="BulletIndent1"/>
      <w:lvlText w:val=""/>
      <w:lvlJc w:val="left"/>
      <w:pPr>
        <w:ind w:hanging="360" w:left="1284"/>
      </w:pPr>
      <w:rPr>
        <w:rFonts w:ascii="Symbol" w:hAnsi="Symbol" w:hint="default"/>
      </w:rPr>
    </w:lvl>
    <w:lvl w:ilvl="1" w:tentative="1" w:tplc="0C090003">
      <w:start w:val="1"/>
      <w:numFmt w:val="bullet"/>
      <w:lvlText w:val="o"/>
      <w:lvlJc w:val="left"/>
      <w:pPr>
        <w:ind w:hanging="360" w:left="2007"/>
      </w:pPr>
      <w:rPr>
        <w:rFonts w:ascii="Courier New" w:cs="Courier New" w:hAnsi="Courier New" w:hint="default"/>
      </w:rPr>
    </w:lvl>
    <w:lvl w:ilvl="2" w:tentative="1" w:tplc="0C090005">
      <w:start w:val="1"/>
      <w:numFmt w:val="bullet"/>
      <w:lvlText w:val=""/>
      <w:lvlJc w:val="left"/>
      <w:pPr>
        <w:ind w:hanging="360" w:left="2727"/>
      </w:pPr>
      <w:rPr>
        <w:rFonts w:ascii="Wingdings" w:hAnsi="Wingdings" w:hint="default"/>
      </w:rPr>
    </w:lvl>
    <w:lvl w:ilvl="3" w:tentative="1" w:tplc="0C090001">
      <w:start w:val="1"/>
      <w:numFmt w:val="bullet"/>
      <w:lvlText w:val=""/>
      <w:lvlJc w:val="left"/>
      <w:pPr>
        <w:ind w:hanging="360" w:left="3447"/>
      </w:pPr>
      <w:rPr>
        <w:rFonts w:ascii="Symbol" w:hAnsi="Symbol" w:hint="default"/>
      </w:rPr>
    </w:lvl>
    <w:lvl w:ilvl="4" w:tentative="1" w:tplc="0C090003">
      <w:start w:val="1"/>
      <w:numFmt w:val="bullet"/>
      <w:lvlText w:val="o"/>
      <w:lvlJc w:val="left"/>
      <w:pPr>
        <w:ind w:hanging="360" w:left="4167"/>
      </w:pPr>
      <w:rPr>
        <w:rFonts w:ascii="Courier New" w:cs="Courier New" w:hAnsi="Courier New" w:hint="default"/>
      </w:rPr>
    </w:lvl>
    <w:lvl w:ilvl="5" w:tentative="1" w:tplc="0C090005">
      <w:start w:val="1"/>
      <w:numFmt w:val="bullet"/>
      <w:lvlText w:val=""/>
      <w:lvlJc w:val="left"/>
      <w:pPr>
        <w:ind w:hanging="360" w:left="4887"/>
      </w:pPr>
      <w:rPr>
        <w:rFonts w:ascii="Wingdings" w:hAnsi="Wingdings" w:hint="default"/>
      </w:rPr>
    </w:lvl>
    <w:lvl w:ilvl="6" w:tentative="1" w:tplc="0C090001">
      <w:start w:val="1"/>
      <w:numFmt w:val="bullet"/>
      <w:lvlText w:val=""/>
      <w:lvlJc w:val="left"/>
      <w:pPr>
        <w:ind w:hanging="360" w:left="5607"/>
      </w:pPr>
      <w:rPr>
        <w:rFonts w:ascii="Symbol" w:hAnsi="Symbol" w:hint="default"/>
      </w:rPr>
    </w:lvl>
    <w:lvl w:ilvl="7" w:tentative="1" w:tplc="0C090003">
      <w:start w:val="1"/>
      <w:numFmt w:val="bullet"/>
      <w:lvlText w:val="o"/>
      <w:lvlJc w:val="left"/>
      <w:pPr>
        <w:ind w:hanging="360" w:left="6327"/>
      </w:pPr>
      <w:rPr>
        <w:rFonts w:ascii="Courier New" w:cs="Courier New" w:hAnsi="Courier New" w:hint="default"/>
      </w:rPr>
    </w:lvl>
    <w:lvl w:ilvl="8" w:tentative="1" w:tplc="0C090005">
      <w:start w:val="1"/>
      <w:numFmt w:val="bullet"/>
      <w:lvlText w:val=""/>
      <w:lvlJc w:val="left"/>
      <w:pPr>
        <w:ind w:hanging="360" w:left="7047"/>
      </w:pPr>
      <w:rPr>
        <w:rFonts w:ascii="Wingdings" w:hAnsi="Wingdings" w:hint="default"/>
      </w:rPr>
    </w:lvl>
  </w:abstractNum>
  <w:abstractNum w15:restartNumberingAfterBreak="0" w:abstractNumId="21">
    <w:nsid w:val="74BA5DF1"/>
    <w:multiLevelType w:val="multilevel"/>
    <w:tmpl w:val="4750207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74F82E65"/>
    <w:multiLevelType w:val="hybridMultilevel"/>
    <w:tmpl w:val="35881E8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75D070AA"/>
    <w:multiLevelType w:val="multilevel"/>
    <w:tmpl w:val="161EE07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7C412A07"/>
    <w:multiLevelType w:val="hybridMultilevel"/>
    <w:tmpl w:val="F8C681B8"/>
    <w:lvl w:ilvl="0" w:tplc="0C09000F">
      <w:start w:val="1"/>
      <w:numFmt w:val="decimal"/>
      <w:lvlText w:val="%1."/>
      <w:lvlJc w:val="left"/>
      <w:pPr>
        <w:ind w:hanging="360" w:left="72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10"/>
  </w:num>
  <w:num w:numId="3">
    <w:abstractNumId w:val="15"/>
  </w:num>
  <w:num w:numId="4">
    <w:abstractNumId w:val="0"/>
  </w:num>
  <w:num w:numId="5">
    <w:abstractNumId w:val="11"/>
  </w:num>
  <w:num w:numId="6">
    <w:abstractNumId w:val="20"/>
  </w:num>
  <w:num w:numId="7">
    <w:abstractNumId w:val="16"/>
  </w:num>
  <w:num w:numId="8">
    <w:abstractNumId w:val="19"/>
  </w:num>
  <w:num w:numId="9">
    <w:abstractNumId w:val="24"/>
  </w:num>
  <w:num w:numId="10">
    <w:abstractNumId w:val="7"/>
  </w:num>
  <w:num w:numId="11">
    <w:abstractNumId w:val="8"/>
    <w:lvlOverride w:ilvl="0">
      <w:startOverride w:val="1"/>
    </w:lvlOverride>
  </w:num>
  <w:num w:numId="12">
    <w:abstractNumId w:val="4"/>
    <w:lvlOverride w:ilvl="0">
      <w:startOverride w:val="1"/>
    </w:lvlOverride>
  </w:num>
  <w:num w:numId="13">
    <w:abstractNumId w:val="18"/>
  </w:num>
  <w:num w:numId="14">
    <w:abstractNumId w:val="23"/>
  </w:num>
  <w:num w:numId="15">
    <w:abstractNumId w:val="14"/>
  </w:num>
  <w:num w:numId="16">
    <w:abstractNumId w:val="9"/>
  </w:num>
  <w:num w:numId="17">
    <w:abstractNumId w:val="3"/>
  </w:num>
  <w:num w:numId="18">
    <w:abstractNumId w:val="22"/>
  </w:num>
  <w:num w:numId="19">
    <w:abstractNumId w:val="21"/>
  </w:num>
  <w:num w:numId="20">
    <w:abstractNumId w:val="12"/>
  </w:num>
  <w:num w:numId="21">
    <w:abstractNumId w:val="6"/>
  </w:num>
  <w:num w:numId="22">
    <w:abstractNumId w:val="13"/>
  </w:num>
  <w:num w:numId="23">
    <w:abstractNumId w:val="2"/>
  </w:num>
  <w:num w:numId="24">
    <w:abstractNumId w:val="17"/>
  </w:num>
  <w:num w:numId="25">
    <w:abstractNumId w:val="5"/>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10"/>
  <w:proofState w:grammar="clean"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AU"/>
      </w:rPr>
    </w:rPrDefault>
    <w:pPrDefault>
      <w:pPr>
        <w:spacing w:after="120" w:before="240" w:line="360" w:lineRule="auto"/>
        <w:ind w:hanging="357" w:left="357"/>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aliases w:val="Body copy"/>
    <w:qFormat/>
    <w:rsid w:val="003F643A"/>
    <w:rPr>
      <w:rFonts w:ascii="Arial" w:hAnsi="Arial"/>
      <w:sz w:val="22"/>
    </w:rPr>
  </w:style>
  <w:style w:styleId="Heading1" w:type="paragraph">
    <w:name w:val="heading 1"/>
    <w:basedOn w:val="Normal"/>
    <w:next w:val="Normal"/>
    <w:link w:val="Heading1Char"/>
    <w:uiPriority w:val="9"/>
    <w:qFormat/>
    <w:rsid w:val="003F643A"/>
    <w:pPr>
      <w:widowControl w:val="0"/>
      <w:suppressAutoHyphens/>
      <w:autoSpaceDE w:val="0"/>
      <w:autoSpaceDN w:val="0"/>
      <w:adjustRightInd w:val="0"/>
      <w:textAlignment w:val="center"/>
      <w:outlineLvl w:val="0"/>
    </w:pPr>
    <w:rPr>
      <w:rFonts w:cs="Arial" w:eastAsia="MS Mincho"/>
      <w:sz w:val="52"/>
      <w:szCs w:val="80"/>
      <w:lang w:val="en-GB"/>
    </w:rPr>
  </w:style>
  <w:style w:styleId="Heading2" w:type="paragraph">
    <w:name w:val="heading 2"/>
    <w:basedOn w:val="Normal"/>
    <w:next w:val="Normal"/>
    <w:link w:val="Heading2Char"/>
    <w:uiPriority w:val="9"/>
    <w:unhideWhenUsed/>
    <w:qFormat/>
    <w:rsid w:val="000425F7"/>
    <w:pPr>
      <w:outlineLvl w:val="1"/>
    </w:pPr>
    <w:rPr>
      <w:rFonts w:cs="Arial"/>
      <w:bCs/>
      <w:sz w:val="32"/>
      <w:szCs w:val="40"/>
    </w:rPr>
  </w:style>
  <w:style w:styleId="Heading3" w:type="paragraph">
    <w:name w:val="heading 3"/>
    <w:basedOn w:val="Normal"/>
    <w:next w:val="Normal"/>
    <w:link w:val="Heading3Char"/>
    <w:uiPriority w:val="9"/>
    <w:unhideWhenUsed/>
    <w:qFormat/>
    <w:rsid w:val="000425F7"/>
    <w:pPr>
      <w:outlineLvl w:val="2"/>
    </w:pPr>
    <w:rPr>
      <w:rFonts w:cs="Arial"/>
      <w:bCs/>
      <w:sz w:val="28"/>
      <w:szCs w:val="28"/>
    </w:rPr>
  </w:style>
  <w:style w:styleId="Heading4" w:type="paragraph">
    <w:name w:val="heading 4"/>
    <w:basedOn w:val="Normal"/>
    <w:next w:val="Normal"/>
    <w:link w:val="Heading4Char"/>
    <w:uiPriority w:val="9"/>
    <w:unhideWhenUsed/>
    <w:qFormat/>
    <w:rsid w:val="00907963"/>
    <w:pPr>
      <w:outlineLvl w:val="3"/>
    </w:pPr>
    <w:rPr>
      <w:rFonts w:cs="Arial"/>
      <w:b/>
      <w:bCs/>
      <w:i/>
      <w:iCs/>
      <w:szCs w:val="20"/>
    </w:rPr>
  </w:style>
  <w:style w:styleId="Heading5" w:type="paragraph">
    <w:name w:val="heading 5"/>
    <w:basedOn w:val="Normal"/>
    <w:next w:val="Normal"/>
    <w:link w:val="Heading5Char"/>
    <w:uiPriority w:val="9"/>
    <w:semiHidden/>
    <w:unhideWhenUsed/>
    <w:rsid w:val="00CD793C"/>
    <w:pPr>
      <w:keepNext/>
      <w:keepLines/>
      <w:spacing w:after="0" w:before="40"/>
      <w:outlineLvl w:val="4"/>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D01CD2"/>
    <w:pPr>
      <w:tabs>
        <w:tab w:pos="4513" w:val="center"/>
        <w:tab w:pos="9026" w:val="right"/>
      </w:tabs>
    </w:pPr>
  </w:style>
  <w:style w:customStyle="1" w:styleId="HeaderChar" w:type="character">
    <w:name w:val="Header Char"/>
    <w:basedOn w:val="DefaultParagraphFont"/>
    <w:link w:val="Header"/>
    <w:uiPriority w:val="99"/>
    <w:rsid w:val="00D01CD2"/>
  </w:style>
  <w:style w:styleId="Footer" w:type="paragraph">
    <w:name w:val="footer"/>
    <w:basedOn w:val="Normal"/>
    <w:link w:val="FooterChar"/>
    <w:uiPriority w:val="99"/>
    <w:unhideWhenUsed/>
    <w:rsid w:val="00D01CD2"/>
    <w:pPr>
      <w:tabs>
        <w:tab w:pos="4513" w:val="center"/>
        <w:tab w:pos="9026" w:val="right"/>
      </w:tabs>
    </w:pPr>
  </w:style>
  <w:style w:customStyle="1" w:styleId="FooterChar" w:type="character">
    <w:name w:val="Footer Char"/>
    <w:basedOn w:val="DefaultParagraphFont"/>
    <w:link w:val="Footer"/>
    <w:uiPriority w:val="99"/>
    <w:rsid w:val="00D01CD2"/>
  </w:style>
  <w:style w:styleId="NormalWeb" w:type="paragraph">
    <w:name w:val="Normal (Web)"/>
    <w:basedOn w:val="Normal"/>
    <w:uiPriority w:val="99"/>
    <w:semiHidden/>
    <w:unhideWhenUsed/>
    <w:rsid w:val="00D01CD2"/>
    <w:pPr>
      <w:spacing w:after="100" w:afterAutospacing="1" w:before="100" w:beforeAutospacing="1"/>
    </w:pPr>
    <w:rPr>
      <w:rFonts w:ascii="Times New Roman" w:cs="Times New Roman" w:hAnsi="Times New Roman"/>
      <w:lang w:eastAsia="en-AU"/>
    </w:rPr>
  </w:style>
  <w:style w:customStyle="1" w:styleId="Heading1Char" w:type="character">
    <w:name w:val="Heading 1 Char"/>
    <w:basedOn w:val="DefaultParagraphFont"/>
    <w:link w:val="Heading1"/>
    <w:uiPriority w:val="9"/>
    <w:rsid w:val="003F643A"/>
    <w:rPr>
      <w:rFonts w:ascii="Arial" w:cs="Arial" w:eastAsia="MS Mincho" w:hAnsi="Arial"/>
      <w:sz w:val="52"/>
      <w:szCs w:val="80"/>
      <w:lang w:val="en-GB"/>
    </w:rPr>
  </w:style>
  <w:style w:customStyle="1" w:styleId="Heading2Char" w:type="character">
    <w:name w:val="Heading 2 Char"/>
    <w:basedOn w:val="DefaultParagraphFont"/>
    <w:link w:val="Heading2"/>
    <w:uiPriority w:val="9"/>
    <w:rsid w:val="000425F7"/>
    <w:rPr>
      <w:rFonts w:ascii="Arial" w:cs="Arial" w:hAnsi="Arial"/>
      <w:bCs/>
      <w:sz w:val="32"/>
      <w:szCs w:val="40"/>
    </w:rPr>
  </w:style>
  <w:style w:customStyle="1" w:styleId="Heading3Char" w:type="character">
    <w:name w:val="Heading 3 Char"/>
    <w:basedOn w:val="DefaultParagraphFont"/>
    <w:link w:val="Heading3"/>
    <w:uiPriority w:val="9"/>
    <w:rsid w:val="000425F7"/>
    <w:rPr>
      <w:rFonts w:ascii="Arial" w:cs="Arial" w:hAnsi="Arial"/>
      <w:bCs/>
      <w:sz w:val="28"/>
      <w:szCs w:val="28"/>
    </w:rPr>
  </w:style>
  <w:style w:customStyle="1" w:styleId="Heading4Char" w:type="character">
    <w:name w:val="Heading 4 Char"/>
    <w:basedOn w:val="DefaultParagraphFont"/>
    <w:link w:val="Heading4"/>
    <w:uiPriority w:val="9"/>
    <w:rsid w:val="00907963"/>
    <w:rPr>
      <w:rFonts w:ascii="Arial" w:cs="Arial" w:hAnsi="Arial"/>
      <w:b/>
      <w:bCs/>
      <w:i/>
      <w:iCs/>
      <w:szCs w:val="20"/>
    </w:rPr>
  </w:style>
  <w:style w:styleId="NoSpacing" w:type="paragraph">
    <w:name w:val="No Spacing"/>
    <w:uiPriority w:val="1"/>
    <w:qFormat/>
    <w:rsid w:val="00EF4AC5"/>
    <w:rPr>
      <w:rFonts w:ascii="Arial" w:hAnsi="Arial"/>
      <w:sz w:val="22"/>
    </w:rPr>
  </w:style>
  <w:style w:styleId="ListParagraph" w:type="paragraph">
    <w:name w:val="List Paragraph"/>
    <w:aliases w:val="Bullet copy,lp1,FooterText,numbered,List Paragraph1,Paragraphe de liste1,Bulletr List Paragraph,列出段落,列出段落1,Disadvantages bullet,Ref,Bullet List Paragraph,Use Case List Paragraph,List Paragraph11,Bullet List,Recommendation,L,Bullet Number"/>
    <w:basedOn w:val="Normal"/>
    <w:link w:val="ListParagraphChar"/>
    <w:uiPriority w:val="34"/>
    <w:qFormat/>
    <w:rsid w:val="00DC5E03"/>
    <w:pPr>
      <w:numPr>
        <w:numId w:val="1"/>
      </w:numPr>
      <w:tabs>
        <w:tab w:pos="2835" w:val="left"/>
      </w:tabs>
      <w:ind w:hanging="284" w:left="284"/>
    </w:pPr>
  </w:style>
  <w:style w:customStyle="1" w:styleId="Heading5Char" w:type="character">
    <w:name w:val="Heading 5 Char"/>
    <w:basedOn w:val="DefaultParagraphFont"/>
    <w:link w:val="Heading5"/>
    <w:uiPriority w:val="9"/>
    <w:semiHidden/>
    <w:rsid w:val="00CD793C"/>
    <w:rPr>
      <w:rFonts w:ascii="Arial" w:cstheme="majorBidi" w:eastAsiaTheme="majorEastAsia" w:hAnsi="Arial"/>
      <w:sz w:val="18"/>
    </w:rPr>
  </w:style>
  <w:style w:styleId="Title" w:type="paragraph">
    <w:name w:val="Title"/>
    <w:basedOn w:val="Normal"/>
    <w:next w:val="Normal"/>
    <w:link w:val="TitleChar"/>
    <w:uiPriority w:val="10"/>
    <w:qFormat/>
    <w:rsid w:val="00CD793C"/>
    <w:pPr>
      <w:spacing w:after="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CD793C"/>
    <w:rPr>
      <w:rFonts w:ascii="Arial" w:cstheme="majorBidi" w:eastAsiaTheme="majorEastAsia" w:hAnsi="Arial"/>
      <w:spacing w:val="-10"/>
      <w:kern w:val="28"/>
      <w:sz w:val="56"/>
      <w:szCs w:val="56"/>
    </w:rPr>
  </w:style>
  <w:style w:styleId="Subtitle" w:type="paragraph">
    <w:name w:val="Subtitle"/>
    <w:basedOn w:val="Normal"/>
    <w:next w:val="Normal"/>
    <w:link w:val="SubtitleChar"/>
    <w:uiPriority w:val="11"/>
    <w:rsid w:val="00CD793C"/>
    <w:pPr>
      <w:numPr>
        <w:ilvl w:val="1"/>
      </w:numPr>
      <w:spacing w:after="160"/>
      <w:ind w:hanging="357" w:left="357"/>
    </w:pPr>
    <w:rPr>
      <w:rFonts w:eastAsiaTheme="minorEastAsia"/>
      <w:spacing w:val="15"/>
      <w:szCs w:val="22"/>
    </w:rPr>
  </w:style>
  <w:style w:customStyle="1" w:styleId="SubtitleChar" w:type="character">
    <w:name w:val="Subtitle Char"/>
    <w:basedOn w:val="DefaultParagraphFont"/>
    <w:link w:val="Subtitle"/>
    <w:uiPriority w:val="11"/>
    <w:rsid w:val="00CD793C"/>
    <w:rPr>
      <w:rFonts w:ascii="Arial" w:eastAsiaTheme="minorEastAsia" w:hAnsi="Arial"/>
      <w:spacing w:val="15"/>
      <w:sz w:val="22"/>
      <w:szCs w:val="22"/>
    </w:rPr>
  </w:style>
  <w:style w:styleId="SubtleEmphasis" w:type="character">
    <w:name w:val="Subtle Emphasis"/>
    <w:basedOn w:val="DefaultParagraphFont"/>
    <w:uiPriority w:val="19"/>
    <w:rsid w:val="00EF474F"/>
    <w:rPr>
      <w:i/>
      <w:iCs/>
      <w:color w:themeColor="text1" w:themeTint="BF" w:val="404040"/>
    </w:rPr>
  </w:style>
  <w:style w:styleId="Emphasis" w:type="character">
    <w:name w:val="Emphasis"/>
    <w:basedOn w:val="DefaultParagraphFont"/>
    <w:uiPriority w:val="20"/>
    <w:qFormat/>
    <w:rsid w:val="00EF474F"/>
    <w:rPr>
      <w:i/>
      <w:iCs/>
    </w:rPr>
  </w:style>
  <w:style w:styleId="IntenseEmphasis" w:type="character">
    <w:name w:val="Intense Emphasis"/>
    <w:basedOn w:val="DefaultParagraphFont"/>
    <w:uiPriority w:val="21"/>
    <w:rsid w:val="00EF474F"/>
    <w:rPr>
      <w:i/>
      <w:iCs/>
      <w:color w:val="auto"/>
    </w:rPr>
  </w:style>
  <w:style w:styleId="Strong" w:type="character">
    <w:name w:val="Strong"/>
    <w:basedOn w:val="DefaultParagraphFont"/>
    <w:uiPriority w:val="22"/>
    <w:qFormat/>
    <w:rsid w:val="00EF474F"/>
    <w:rPr>
      <w:b/>
      <w:bCs/>
    </w:rPr>
  </w:style>
  <w:style w:styleId="Quote" w:type="paragraph">
    <w:name w:val="Quote"/>
    <w:basedOn w:val="Normal"/>
    <w:next w:val="Normal"/>
    <w:link w:val="QuoteChar"/>
    <w:uiPriority w:val="29"/>
    <w:rsid w:val="00EF474F"/>
    <w:pPr>
      <w:spacing w:after="160" w:before="200"/>
      <w:ind w:left="864" w:right="864"/>
      <w:jc w:val="center"/>
    </w:pPr>
    <w:rPr>
      <w:i/>
      <w:iCs/>
      <w:color w:themeColor="text1" w:themeTint="BF" w:val="404040"/>
    </w:rPr>
  </w:style>
  <w:style w:customStyle="1" w:styleId="QuoteChar" w:type="character">
    <w:name w:val="Quote Char"/>
    <w:basedOn w:val="DefaultParagraphFont"/>
    <w:link w:val="Quote"/>
    <w:uiPriority w:val="29"/>
    <w:rsid w:val="00EF474F"/>
    <w:rPr>
      <w:rFonts w:ascii="Arial" w:hAnsi="Arial"/>
      <w:i/>
      <w:iCs/>
      <w:color w:themeColor="text1" w:themeTint="BF" w:val="404040"/>
      <w:sz w:val="22"/>
    </w:rPr>
  </w:style>
  <w:style w:styleId="IntenseQuote" w:type="paragraph">
    <w:name w:val="Intense Quote"/>
    <w:basedOn w:val="Normal"/>
    <w:next w:val="Normal"/>
    <w:link w:val="IntenseQuoteChar"/>
    <w:uiPriority w:val="30"/>
    <w:rsid w:val="00EF474F"/>
    <w:pPr>
      <w:pBdr>
        <w:top w:color="5B9BD5" w:space="10" w:sz="4" w:themeColor="accent1" w:val="single"/>
        <w:bottom w:color="5B9BD5" w:space="10" w:sz="4" w:themeColor="accent1" w:val="single"/>
      </w:pBdr>
      <w:spacing w:after="360" w:before="360"/>
      <w:ind w:left="864" w:right="864"/>
      <w:jc w:val="center"/>
    </w:pPr>
    <w:rPr>
      <w:i/>
      <w:iCs/>
    </w:rPr>
  </w:style>
  <w:style w:customStyle="1" w:styleId="IntenseQuoteChar" w:type="character">
    <w:name w:val="Intense Quote Char"/>
    <w:basedOn w:val="DefaultParagraphFont"/>
    <w:link w:val="IntenseQuote"/>
    <w:uiPriority w:val="30"/>
    <w:rsid w:val="00EF474F"/>
    <w:rPr>
      <w:rFonts w:ascii="Arial" w:hAnsi="Arial"/>
      <w:i/>
      <w:iCs/>
      <w:sz w:val="22"/>
    </w:rPr>
  </w:style>
  <w:style w:styleId="SubtleReference" w:type="character">
    <w:name w:val="Subtle Reference"/>
    <w:basedOn w:val="DefaultParagraphFont"/>
    <w:uiPriority w:val="31"/>
    <w:rsid w:val="00EF474F"/>
    <w:rPr>
      <w:smallCaps/>
      <w:color w:themeColor="text1" w:themeTint="A5" w:val="5A5A5A"/>
    </w:rPr>
  </w:style>
  <w:style w:styleId="IntenseReference" w:type="character">
    <w:name w:val="Intense Reference"/>
    <w:basedOn w:val="DefaultParagraphFont"/>
    <w:uiPriority w:val="32"/>
    <w:rsid w:val="00EF474F"/>
    <w:rPr>
      <w:b/>
      <w:bCs/>
      <w:smallCaps/>
      <w:color w:val="auto"/>
      <w:spacing w:val="5"/>
    </w:rPr>
  </w:style>
  <w:style w:styleId="BookTitle" w:type="character">
    <w:name w:val="Book Title"/>
    <w:basedOn w:val="DefaultParagraphFont"/>
    <w:uiPriority w:val="33"/>
    <w:rsid w:val="00AD2501"/>
    <w:rPr>
      <w:b/>
      <w:bCs/>
      <w:i/>
      <w:iCs/>
      <w:spacing w:val="5"/>
    </w:rPr>
  </w:style>
  <w:style w:customStyle="1" w:styleId="Title1" w:type="paragraph">
    <w:name w:val="Title 1"/>
    <w:basedOn w:val="Heading1"/>
    <w:qFormat/>
    <w:rsid w:val="00706681"/>
    <w:pPr>
      <w:spacing w:after="0" w:line="240" w:lineRule="auto"/>
    </w:pPr>
    <w:rPr>
      <w:sz w:val="80"/>
    </w:rPr>
  </w:style>
  <w:style w:customStyle="1" w:styleId="Title2" w:type="paragraph">
    <w:name w:val="Title 2"/>
    <w:basedOn w:val="Heading2"/>
    <w:qFormat/>
    <w:rsid w:val="00706681"/>
    <w:pPr>
      <w:spacing w:before="0" w:line="240" w:lineRule="auto"/>
    </w:pPr>
    <w:rPr>
      <w:sz w:val="36"/>
    </w:rPr>
  </w:style>
  <w:style w:styleId="Revision" w:type="paragraph">
    <w:name w:val="Revision"/>
    <w:hidden/>
    <w:uiPriority w:val="99"/>
    <w:semiHidden/>
    <w:rsid w:val="002D22FF"/>
    <w:rPr>
      <w:rFonts w:ascii="Arial" w:cs="Times New Roman" w:eastAsia="Times New Roman" w:hAnsi="Arial"/>
      <w:sz w:val="22"/>
      <w:lang w:eastAsia="en-AU"/>
    </w:rPr>
  </w:style>
  <w:style w:styleId="Hyperlink" w:type="character">
    <w:name w:val="Hyperlink"/>
    <w:uiPriority w:val="99"/>
    <w:rsid w:val="0043465B"/>
    <w:rPr>
      <w:color w:val="0000FF"/>
      <w:u w:val="single"/>
    </w:rPr>
  </w:style>
  <w:style w:styleId="TOCHeading" w:type="paragraph">
    <w:name w:val="TOC Heading"/>
    <w:basedOn w:val="Heading1"/>
    <w:next w:val="Normal"/>
    <w:uiPriority w:val="39"/>
    <w:unhideWhenUsed/>
    <w:qFormat/>
    <w:rsid w:val="0043465B"/>
    <w:pPr>
      <w:keepNext/>
      <w:keepLines/>
      <w:widowControl/>
      <w:suppressAutoHyphens w:val="0"/>
      <w:autoSpaceDE/>
      <w:autoSpaceDN/>
      <w:adjustRightInd/>
      <w:spacing w:after="0" w:line="259" w:lineRule="auto"/>
      <w:textAlignment w:val="auto"/>
      <w:outlineLvl w:val="9"/>
    </w:pPr>
    <w:rPr>
      <w:rFonts w:asciiTheme="majorHAnsi" w:cstheme="majorBidi" w:eastAsiaTheme="majorEastAsia" w:hAnsiTheme="majorHAnsi"/>
      <w:color w:themeColor="accent1" w:themeShade="BF" w:val="2E74B5"/>
      <w:sz w:val="32"/>
      <w:szCs w:val="32"/>
      <w:lang w:val="en-US"/>
    </w:rPr>
  </w:style>
  <w:style w:styleId="TOC1" w:type="paragraph">
    <w:name w:val="toc 1"/>
    <w:basedOn w:val="Normal"/>
    <w:next w:val="Normal"/>
    <w:autoRedefine/>
    <w:uiPriority w:val="39"/>
    <w:unhideWhenUsed/>
    <w:rsid w:val="00776DBF"/>
    <w:pPr>
      <w:tabs>
        <w:tab w:leader="dot" w:pos="10450" w:val="right"/>
      </w:tabs>
      <w:spacing w:after="100" w:line="259" w:lineRule="auto"/>
    </w:pPr>
    <w:rPr>
      <w:rFonts w:asciiTheme="minorHAnsi" w:eastAsiaTheme="minorEastAsia" w:hAnsiTheme="minorHAnsi"/>
      <w:szCs w:val="22"/>
      <w:lang w:eastAsia="zh-TW"/>
    </w:rPr>
  </w:style>
  <w:style w:styleId="TOC2" w:type="paragraph">
    <w:name w:val="toc 2"/>
    <w:basedOn w:val="Normal"/>
    <w:next w:val="Normal"/>
    <w:autoRedefine/>
    <w:uiPriority w:val="39"/>
    <w:unhideWhenUsed/>
    <w:rsid w:val="00776DBF"/>
    <w:pPr>
      <w:tabs>
        <w:tab w:leader="dot" w:pos="10450" w:val="right"/>
      </w:tabs>
      <w:spacing w:after="100" w:line="259" w:lineRule="auto"/>
    </w:pPr>
    <w:rPr>
      <w:rFonts w:asciiTheme="minorHAnsi" w:eastAsiaTheme="minorEastAsia" w:hAnsiTheme="minorHAnsi"/>
      <w:szCs w:val="22"/>
      <w:lang w:eastAsia="zh-TW"/>
    </w:rPr>
  </w:style>
  <w:style w:styleId="TOC3" w:type="paragraph">
    <w:name w:val="toc 3"/>
    <w:basedOn w:val="Normal"/>
    <w:next w:val="Normal"/>
    <w:autoRedefine/>
    <w:uiPriority w:val="39"/>
    <w:unhideWhenUsed/>
    <w:rsid w:val="0043465B"/>
    <w:pPr>
      <w:spacing w:after="100" w:line="259" w:lineRule="auto"/>
      <w:ind w:left="440"/>
    </w:pPr>
    <w:rPr>
      <w:rFonts w:asciiTheme="minorHAnsi" w:eastAsiaTheme="minorEastAsia" w:hAnsiTheme="minorHAnsi"/>
      <w:szCs w:val="22"/>
      <w:lang w:eastAsia="zh-TW"/>
    </w:rPr>
  </w:style>
  <w:style w:customStyle="1" w:styleId="TableText" w:type="paragraph">
    <w:name w:val="Table Text"/>
    <w:basedOn w:val="Normal"/>
    <w:link w:val="TableTextChar"/>
    <w:autoRedefine/>
    <w:qFormat/>
    <w:rsid w:val="00897577"/>
    <w:pPr>
      <w:spacing w:after="40" w:before="40" w:line="240" w:lineRule="auto"/>
    </w:pPr>
    <w:rPr>
      <w:rFonts w:cs="Times New Roman" w:eastAsia="Calibri"/>
      <w:sz w:val="18"/>
      <w:szCs w:val="18"/>
      <w:lang w:val="en-US"/>
    </w:rPr>
  </w:style>
  <w:style w:customStyle="1" w:styleId="TableTextChar" w:type="character">
    <w:name w:val="Table Text Char"/>
    <w:link w:val="TableText"/>
    <w:rsid w:val="00897577"/>
    <w:rPr>
      <w:rFonts w:ascii="Arial" w:cs="Times New Roman" w:eastAsia="Calibri" w:hAnsi="Arial"/>
      <w:sz w:val="18"/>
      <w:szCs w:val="18"/>
      <w:lang w:val="en-US"/>
    </w:rPr>
  </w:style>
  <w:style w:customStyle="1" w:styleId="TableHeader" w:type="paragraph">
    <w:name w:val="Table Header"/>
    <w:basedOn w:val="Normal"/>
    <w:rsid w:val="00897577"/>
    <w:pPr>
      <w:keepNext/>
      <w:keepLines/>
      <w:spacing w:after="40" w:before="60" w:line="240" w:lineRule="auto"/>
      <w:ind w:right="-51"/>
    </w:pPr>
    <w:rPr>
      <w:rFonts w:cs="Arial" w:eastAsia="SimSun"/>
      <w:b/>
      <w:sz w:val="18"/>
      <w:szCs w:val="20"/>
      <w:lang w:eastAsia="zh-CN"/>
    </w:rPr>
  </w:style>
  <w:style w:customStyle="1" w:styleId="TableHeading2" w:type="paragraph">
    <w:name w:val="Table Heading 2"/>
    <w:basedOn w:val="BodyText"/>
    <w:qFormat/>
    <w:rsid w:val="00585261"/>
    <w:pPr>
      <w:spacing w:after="80" w:before="80" w:line="240" w:lineRule="auto"/>
    </w:pPr>
    <w:rPr>
      <w:rFonts w:cs="Times New Roman" w:eastAsia="Arial Unicode MS"/>
      <w:b/>
      <w:sz w:val="20"/>
      <w:szCs w:val="20"/>
      <w:lang w:eastAsia="en-AU"/>
    </w:rPr>
  </w:style>
  <w:style w:styleId="BodyText" w:type="paragraph">
    <w:name w:val="Body Text"/>
    <w:basedOn w:val="Normal"/>
    <w:link w:val="BodyTextChar"/>
    <w:uiPriority w:val="99"/>
    <w:semiHidden/>
    <w:unhideWhenUsed/>
    <w:rsid w:val="00585261"/>
  </w:style>
  <w:style w:customStyle="1" w:styleId="BodyTextChar" w:type="character">
    <w:name w:val="Body Text Char"/>
    <w:basedOn w:val="DefaultParagraphFont"/>
    <w:link w:val="BodyText"/>
    <w:uiPriority w:val="99"/>
    <w:semiHidden/>
    <w:rsid w:val="00585261"/>
    <w:rPr>
      <w:rFonts w:ascii="Arial" w:hAnsi="Arial"/>
      <w:sz w:val="22"/>
    </w:rPr>
  </w:style>
  <w:style w:styleId="BodyTextIndent" w:type="paragraph">
    <w:name w:val="Body Text Indent"/>
    <w:basedOn w:val="Normal"/>
    <w:link w:val="BodyTextIndentChar"/>
    <w:uiPriority w:val="99"/>
    <w:semiHidden/>
    <w:unhideWhenUsed/>
    <w:rsid w:val="002C22E2"/>
    <w:pPr>
      <w:ind w:left="283"/>
    </w:pPr>
  </w:style>
  <w:style w:customStyle="1" w:styleId="BodyTextIndentChar" w:type="character">
    <w:name w:val="Body Text Indent Char"/>
    <w:basedOn w:val="DefaultParagraphFont"/>
    <w:link w:val="BodyTextIndent"/>
    <w:uiPriority w:val="99"/>
    <w:semiHidden/>
    <w:rsid w:val="002C22E2"/>
    <w:rPr>
      <w:rFonts w:ascii="Arial" w:hAnsi="Arial"/>
      <w:sz w:val="22"/>
    </w:rPr>
  </w:style>
  <w:style w:customStyle="1" w:styleId="BulletIndent1" w:type="paragraph">
    <w:name w:val="Bullet Indent1"/>
    <w:basedOn w:val="Normal"/>
    <w:autoRedefine/>
    <w:uiPriority w:val="99"/>
    <w:qFormat/>
    <w:rsid w:val="00F6702D"/>
    <w:pPr>
      <w:numPr>
        <w:numId w:val="6"/>
      </w:numPr>
      <w:spacing w:after="80" w:before="80" w:line="276" w:lineRule="auto"/>
    </w:pPr>
    <w:rPr>
      <w:rFonts w:cs="Times New Roman" w:eastAsia="Calibri"/>
      <w:szCs w:val="22"/>
    </w:rPr>
  </w:style>
  <w:style w:styleId="EndnoteText" w:type="paragraph">
    <w:name w:val="endnote text"/>
    <w:basedOn w:val="Normal"/>
    <w:link w:val="EndnoteTextChar"/>
    <w:uiPriority w:val="99"/>
    <w:semiHidden/>
    <w:unhideWhenUsed/>
    <w:rsid w:val="00022FF2"/>
    <w:pPr>
      <w:spacing w:after="0" w:before="0" w:line="240" w:lineRule="auto"/>
    </w:pPr>
    <w:rPr>
      <w:sz w:val="20"/>
      <w:szCs w:val="20"/>
    </w:rPr>
  </w:style>
  <w:style w:customStyle="1" w:styleId="EndnoteTextChar" w:type="character">
    <w:name w:val="Endnote Text Char"/>
    <w:basedOn w:val="DefaultParagraphFont"/>
    <w:link w:val="EndnoteText"/>
    <w:uiPriority w:val="99"/>
    <w:semiHidden/>
    <w:rsid w:val="00022FF2"/>
    <w:rPr>
      <w:rFonts w:ascii="Arial" w:hAnsi="Arial"/>
      <w:sz w:val="20"/>
      <w:szCs w:val="20"/>
    </w:rPr>
  </w:style>
  <w:style w:styleId="EndnoteReference" w:type="character">
    <w:name w:val="endnote reference"/>
    <w:basedOn w:val="DefaultParagraphFont"/>
    <w:uiPriority w:val="99"/>
    <w:semiHidden/>
    <w:unhideWhenUsed/>
    <w:rsid w:val="00022FF2"/>
    <w:rPr>
      <w:vertAlign w:val="superscript"/>
    </w:rPr>
  </w:style>
  <w:style w:styleId="FootnoteText" w:type="paragraph">
    <w:name w:val="footnote text"/>
    <w:basedOn w:val="Normal"/>
    <w:link w:val="FootnoteTextChar"/>
    <w:uiPriority w:val="99"/>
    <w:semiHidden/>
    <w:unhideWhenUsed/>
    <w:rsid w:val="00EA36E6"/>
    <w:pPr>
      <w:spacing w:after="0" w:before="0" w:line="240" w:lineRule="auto"/>
    </w:pPr>
    <w:rPr>
      <w:sz w:val="20"/>
      <w:szCs w:val="20"/>
    </w:rPr>
  </w:style>
  <w:style w:customStyle="1" w:styleId="FootnoteTextChar" w:type="character">
    <w:name w:val="Footnote Text Char"/>
    <w:basedOn w:val="DefaultParagraphFont"/>
    <w:link w:val="FootnoteText"/>
    <w:uiPriority w:val="99"/>
    <w:semiHidden/>
    <w:rsid w:val="00EA36E6"/>
    <w:rPr>
      <w:rFonts w:ascii="Arial" w:hAnsi="Arial"/>
      <w:sz w:val="20"/>
      <w:szCs w:val="20"/>
    </w:rPr>
  </w:style>
  <w:style w:styleId="FootnoteReference" w:type="character">
    <w:name w:val="footnote reference"/>
    <w:basedOn w:val="DefaultParagraphFont"/>
    <w:uiPriority w:val="99"/>
    <w:semiHidden/>
    <w:unhideWhenUsed/>
    <w:rsid w:val="00EA36E6"/>
    <w:rPr>
      <w:vertAlign w:val="superscript"/>
    </w:rPr>
  </w:style>
  <w:style w:styleId="UnresolvedMention" w:type="character">
    <w:name w:val="Unresolved Mention"/>
    <w:basedOn w:val="DefaultParagraphFont"/>
    <w:uiPriority w:val="99"/>
    <w:rsid w:val="006A3122"/>
    <w:rPr>
      <w:color w:val="605E5C"/>
      <w:shd w:color="auto" w:fill="E1DFDD" w:val="clear"/>
    </w:rPr>
  </w:style>
  <w:style w:styleId="FollowedHyperlink" w:type="character">
    <w:name w:val="FollowedHyperlink"/>
    <w:basedOn w:val="DefaultParagraphFont"/>
    <w:uiPriority w:val="99"/>
    <w:semiHidden/>
    <w:unhideWhenUsed/>
    <w:rsid w:val="004E616E"/>
    <w:rPr>
      <w:color w:themeColor="followedHyperlink" w:val="954F72"/>
      <w:u w:val="single"/>
    </w:rPr>
  </w:style>
  <w:style w:customStyle="1" w:styleId="ListParagraphChar" w:type="character">
    <w:name w:val="List Paragraph Char"/>
    <w:aliases w:val="lp1 Char,FooterText Char,numbered Char,List Paragraph1 Char,Paragraphe de liste1 Char,Bulletr List Paragraph Char,列出段落 Char,列出段落1 Char,Disadvantages bullet Char,Ref Char,Bullet List Paragraph Char,Use Case List Paragraph Char,L Char"/>
    <w:link w:val="ListParagraph"/>
    <w:uiPriority w:val="34"/>
    <w:qFormat/>
    <w:locked/>
    <w:rsid w:val="003610B6"/>
    <w:rPr>
      <w:rFonts w:ascii="Arial" w:hAnsi="Arial"/>
      <w:sz w:val="22"/>
    </w:rPr>
  </w:style>
  <w:style w:styleId="PlaceholderText" w:type="character">
    <w:name w:val="Placeholder Text"/>
    <w:uiPriority w:val="99"/>
    <w:semiHidden/>
    <w:rsid w:val="003610B6"/>
    <w:rPr>
      <w:rFonts w:cs="Times New Roman"/>
      <w:color w:val="808080"/>
    </w:rPr>
  </w:style>
  <w:style w:styleId="HTMLPreformatted" w:type="paragraph">
    <w:name w:val="HTML Preformatted"/>
    <w:basedOn w:val="Normal"/>
    <w:link w:val="HTMLPreformattedChar"/>
    <w:uiPriority w:val="99"/>
    <w:semiHidden/>
    <w:unhideWhenUsed/>
    <w:rsid w:val="00680ADF"/>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after="0" w:before="0" w:line="240" w:lineRule="auto"/>
      <w:ind w:firstLine="0" w:left="0"/>
    </w:pPr>
    <w:rPr>
      <w:rFonts w:ascii="Courier New" w:cs="Courier New" w:eastAsia="Times New Roman" w:hAnsi="Courier New"/>
      <w:sz w:val="20"/>
      <w:szCs w:val="20"/>
      <w:lang w:eastAsia="zh-CN"/>
    </w:rPr>
  </w:style>
  <w:style w:customStyle="1" w:styleId="HTMLPreformattedChar" w:type="character">
    <w:name w:val="HTML Preformatted Char"/>
    <w:basedOn w:val="DefaultParagraphFont"/>
    <w:link w:val="HTMLPreformatted"/>
    <w:uiPriority w:val="99"/>
    <w:semiHidden/>
    <w:rsid w:val="00680ADF"/>
    <w:rPr>
      <w:rFonts w:ascii="Courier New" w:cs="Courier New" w:eastAsia="Times New Roman" w:hAnsi="Courier New"/>
      <w:sz w:val="20"/>
      <w:szCs w:val="20"/>
      <w:lang w:eastAsia="zh-CN"/>
    </w:rPr>
  </w:style>
  <w:style w:styleId="HTMLCode" w:type="character">
    <w:name w:val="HTML Code"/>
    <w:basedOn w:val="DefaultParagraphFont"/>
    <w:uiPriority w:val="99"/>
    <w:semiHidden/>
    <w:unhideWhenUsed/>
    <w:rsid w:val="00680ADF"/>
    <w:rPr>
      <w:rFonts w:ascii="Courier New" w:cs="Courier New" w:eastAsia="Times New Roman" w:hAnsi="Courier New"/>
      <w:sz w:val="20"/>
      <w:szCs w:val="20"/>
    </w:rPr>
  </w:style>
  <w:style w:customStyle="1" w:styleId="hljs-keyword" w:type="character">
    <w:name w:val="hljs-keyword"/>
    <w:basedOn w:val="DefaultParagraphFont"/>
    <w:rsid w:val="00680ADF"/>
  </w:style>
  <w:style w:customStyle="1" w:styleId="hljs-string" w:type="character">
    <w:name w:val="hljs-string"/>
    <w:basedOn w:val="DefaultParagraphFont"/>
    <w:rsid w:val="00680ADF"/>
  </w:style>
  <w:style w:customStyle="1" w:styleId="hljs-builtin" w:type="character">
    <w:name w:val="hljs-built_in"/>
    <w:basedOn w:val="DefaultParagraphFont"/>
    <w:rsid w:val="00680ADF"/>
  </w:style>
  <w:style w:customStyle="1" w:styleId="hljs-number" w:type="character">
    <w:name w:val="hljs-number"/>
    <w:basedOn w:val="DefaultParagraphFont"/>
    <w:rsid w:val="00680ADF"/>
  </w:style>
  <w:style w:customStyle="1" w:styleId="hljs-comment" w:type="character">
    <w:name w:val="hljs-comment"/>
    <w:basedOn w:val="DefaultParagraphFont"/>
    <w:rsid w:val="00680AD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2281">
      <w:bodyDiv w:val="1"/>
      <w:marLeft w:val="0"/>
      <w:marRight w:val="0"/>
      <w:marTop w:val="0"/>
      <w:marBottom w:val="0"/>
      <w:divBdr>
        <w:top w:val="none" w:sz="0" w:space="0" w:color="auto"/>
        <w:left w:val="none" w:sz="0" w:space="0" w:color="auto"/>
        <w:bottom w:val="none" w:sz="0" w:space="0" w:color="auto"/>
        <w:right w:val="none" w:sz="0" w:space="0" w:color="auto"/>
      </w:divBdr>
    </w:div>
    <w:div w:id="485904300">
      <w:bodyDiv w:val="1"/>
      <w:marLeft w:val="0"/>
      <w:marRight w:val="0"/>
      <w:marTop w:val="0"/>
      <w:marBottom w:val="0"/>
      <w:divBdr>
        <w:top w:val="none" w:sz="0" w:space="0" w:color="auto"/>
        <w:left w:val="none" w:sz="0" w:space="0" w:color="auto"/>
        <w:bottom w:val="none" w:sz="0" w:space="0" w:color="auto"/>
        <w:right w:val="none" w:sz="0" w:space="0" w:color="auto"/>
      </w:divBdr>
    </w:div>
    <w:div w:id="713625518">
      <w:bodyDiv w:val="1"/>
      <w:marLeft w:val="0"/>
      <w:marRight w:val="0"/>
      <w:marTop w:val="0"/>
      <w:marBottom w:val="0"/>
      <w:divBdr>
        <w:top w:val="none" w:sz="0" w:space="0" w:color="auto"/>
        <w:left w:val="none" w:sz="0" w:space="0" w:color="auto"/>
        <w:bottom w:val="none" w:sz="0" w:space="0" w:color="auto"/>
        <w:right w:val="none" w:sz="0" w:space="0" w:color="auto"/>
      </w:divBdr>
    </w:div>
    <w:div w:id="734397102">
      <w:bodyDiv w:val="1"/>
      <w:marLeft w:val="0"/>
      <w:marRight w:val="0"/>
      <w:marTop w:val="0"/>
      <w:marBottom w:val="0"/>
      <w:divBdr>
        <w:top w:val="none" w:sz="0" w:space="0" w:color="auto"/>
        <w:left w:val="none" w:sz="0" w:space="0" w:color="auto"/>
        <w:bottom w:val="none" w:sz="0" w:space="0" w:color="auto"/>
        <w:right w:val="none" w:sz="0" w:space="0" w:color="auto"/>
      </w:divBdr>
    </w:div>
    <w:div w:id="747533942">
      <w:bodyDiv w:val="1"/>
      <w:marLeft w:val="0"/>
      <w:marRight w:val="0"/>
      <w:marTop w:val="0"/>
      <w:marBottom w:val="0"/>
      <w:divBdr>
        <w:top w:val="none" w:sz="0" w:space="0" w:color="auto"/>
        <w:left w:val="none" w:sz="0" w:space="0" w:color="auto"/>
        <w:bottom w:val="none" w:sz="0" w:space="0" w:color="auto"/>
        <w:right w:val="none" w:sz="0" w:space="0" w:color="auto"/>
      </w:divBdr>
      <w:divsChild>
        <w:div w:id="23748969">
          <w:marLeft w:val="432"/>
          <w:marRight w:val="432"/>
          <w:marTop w:val="150"/>
          <w:marBottom w:val="150"/>
          <w:divBdr>
            <w:top w:val="none" w:sz="0" w:space="0" w:color="auto"/>
            <w:left w:val="none" w:sz="0" w:space="0" w:color="auto"/>
            <w:bottom w:val="none" w:sz="0" w:space="0" w:color="auto"/>
            <w:right w:val="none" w:sz="0" w:space="0" w:color="auto"/>
          </w:divBdr>
        </w:div>
      </w:divsChild>
    </w:div>
    <w:div w:id="1255549859">
      <w:bodyDiv w:val="1"/>
      <w:marLeft w:val="0"/>
      <w:marRight w:val="0"/>
      <w:marTop w:val="0"/>
      <w:marBottom w:val="0"/>
      <w:divBdr>
        <w:top w:val="none" w:sz="0" w:space="0" w:color="auto"/>
        <w:left w:val="none" w:sz="0" w:space="0" w:color="auto"/>
        <w:bottom w:val="none" w:sz="0" w:space="0" w:color="auto"/>
        <w:right w:val="none" w:sz="0" w:space="0" w:color="auto"/>
      </w:divBdr>
    </w:div>
    <w:div w:id="1556695727">
      <w:bodyDiv w:val="1"/>
      <w:marLeft w:val="0"/>
      <w:marRight w:val="0"/>
      <w:marTop w:val="0"/>
      <w:marBottom w:val="0"/>
      <w:divBdr>
        <w:top w:val="none" w:sz="0" w:space="0" w:color="auto"/>
        <w:left w:val="none" w:sz="0" w:space="0" w:color="auto"/>
        <w:bottom w:val="none" w:sz="0" w:space="0" w:color="auto"/>
        <w:right w:val="none" w:sz="0" w:space="0" w:color="auto"/>
      </w:divBdr>
    </w:div>
    <w:div w:id="18560699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38" Target="../Admin/DSB_To_APIM_Sync.md" TargetMode="External" /><Relationship Type="http://schemas.openxmlformats.org/officeDocument/2006/relationships/hyperlink" Id="rId43" Target="../HowToGuides/DSBApplicationCatalogueMaintenance.md" TargetMode="External" /><Relationship Type="http://schemas.openxmlformats.org/officeDocument/2006/relationships/hyperlink" Id="rId42" Target="../HowToGuides/DSBApplicationCatalogueSQLDatabaseAlwaysEncrypted.md" TargetMode="External" /><Relationship Type="http://schemas.openxmlformats.org/officeDocument/2006/relationships/hyperlink" Id="rId30" Target="./DeploymentGuide.md" TargetMode="External" /><Relationship Type="http://schemas.openxmlformats.org/officeDocument/2006/relationships/hyperlink" Id="rId33" Target="./DeploymentGuide.md#deployment-dependency-order" TargetMode="External" /><Relationship Type="http://schemas.openxmlformats.org/officeDocument/2006/relationships/hyperlink" Id="rId41" Target="DeploymentGuide.md#deployment-instructions" TargetMode="External" /><Relationship Type="http://schemas.openxmlformats.org/officeDocument/2006/relationships/hyperlink" Id="rId31" Target="https://dev.azure.com/qed-qld-gov-au/DataHub-Interoperability/_git/DataHub-Interoperability?path=/src/Utilities/DataHubEnvironmentCreator" TargetMode="External" /><Relationship Type="http://schemas.openxmlformats.org/officeDocument/2006/relationships/hyperlink" Id="rId32" Target="https://dev.azure.com/qed-qld-gov-au/DataHub-Interoperability/_git/DataHub-Interoperability?path=/src/Utilities/DataHubEnvironmentCreator/readme.md" TargetMode="External" /><Relationship Type="http://schemas.openxmlformats.org/officeDocument/2006/relationships/hyperlink" Id="rId37" Target="https://dev.azure.com/qed-qld-gov-au/DataHub-Interoperability/_workitems/edit/206178" TargetMode="External" /><Relationship Type="http://schemas.openxmlformats.org/officeDocument/2006/relationships/hyperlink" Id="rId26" Target="https://qldqed.service-now.com/nav_to.do?uri=universal_request.do?sys_id=1790039587641d54dea732670cbb3575" TargetMode="External" /><Relationship Type="http://schemas.openxmlformats.org/officeDocument/2006/relationships/hyperlink" Id="rId28" Target="https://qldqed.service-now.com/nav_to.do?uri=universal_request.do?sys_id=5a4c939587205d54dea732670cbb35a0" TargetMode="External" /><Relationship Type="http://schemas.openxmlformats.org/officeDocument/2006/relationships/hyperlink" Id="rId25" Target="https://qldqed.service-now.com/sco/?sys_kb_id=d5a425fb87980110453643750cbb35da&amp;id=kb_article_view&amp;sysparm_rank=2&amp;sysparm_tsqueryId=04455f818720d954dea732670cbb353a" TargetMode="External" /></Relationships>
</file>

<file path=word/_rels/footnotes.xml.rels><?xml version="1.0" encoding="UTF-8"?><Relationships xmlns="http://schemas.openxmlformats.org/package/2006/relationships"><Relationship Type="http://schemas.openxmlformats.org/officeDocument/2006/relationships/hyperlink" Id="rId38" Target="../Admin/DSB_To_APIM_Sync.md" TargetMode="External" /><Relationship Type="http://schemas.openxmlformats.org/officeDocument/2006/relationships/hyperlink" Id="rId43" Target="../HowToGuides/DSBApplicationCatalogueMaintenance.md" TargetMode="External" /><Relationship Type="http://schemas.openxmlformats.org/officeDocument/2006/relationships/hyperlink" Id="rId42" Target="../HowToGuides/DSBApplicationCatalogueSQLDatabaseAlwaysEncrypted.md" TargetMode="External" /><Relationship Type="http://schemas.openxmlformats.org/officeDocument/2006/relationships/hyperlink" Id="rId30" Target="./DeploymentGuide.md" TargetMode="External" /><Relationship Type="http://schemas.openxmlformats.org/officeDocument/2006/relationships/hyperlink" Id="rId33" Target="./DeploymentGuide.md#deployment-dependency-order" TargetMode="External" /><Relationship Type="http://schemas.openxmlformats.org/officeDocument/2006/relationships/hyperlink" Id="rId41" Target="DeploymentGuide.md#deployment-instructions" TargetMode="External" /><Relationship Type="http://schemas.openxmlformats.org/officeDocument/2006/relationships/hyperlink" Id="rId31" Target="https://dev.azure.com/qed-qld-gov-au/DataHub-Interoperability/_git/DataHub-Interoperability?path=/src/Utilities/DataHubEnvironmentCreator" TargetMode="External" /><Relationship Type="http://schemas.openxmlformats.org/officeDocument/2006/relationships/hyperlink" Id="rId32" Target="https://dev.azure.com/qed-qld-gov-au/DataHub-Interoperability/_git/DataHub-Interoperability?path=/src/Utilities/DataHubEnvironmentCreator/readme.md" TargetMode="External" /><Relationship Type="http://schemas.openxmlformats.org/officeDocument/2006/relationships/hyperlink" Id="rId37" Target="https://dev.azure.com/qed-qld-gov-au/DataHub-Interoperability/_workitems/edit/206178" TargetMode="External" /><Relationship Type="http://schemas.openxmlformats.org/officeDocument/2006/relationships/hyperlink" Id="rId26" Target="https://qldqed.service-now.com/nav_to.do?uri=universal_request.do?sys_id=1790039587641d54dea732670cbb3575" TargetMode="External" /><Relationship Type="http://schemas.openxmlformats.org/officeDocument/2006/relationships/hyperlink" Id="rId28" Target="https://qldqed.service-now.com/nav_to.do?uri=universal_request.do?sys_id=5a4c939587205d54dea732670cbb35a0" TargetMode="External" /><Relationship Type="http://schemas.openxmlformats.org/officeDocument/2006/relationships/hyperlink" Id="rId25" Target="https://qldqed.service-now.com/sco/?sys_kb_id=d5a425fb87980110453643750cbb35da&amp;id=kb_article_view&amp;sysparm_rank=2&amp;sysparm_tsqueryId=04455f818720d954dea732670cbb353a"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QED\EQGlobal%20Project%20-%20Project%20team%20-%20Project%20team\08%20Deployment\Data%20Hub\DoE-corp-A4-booklet-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DoE-corp-A4-booklet-portrait.dotx</Template>
  <TotalTime>1260</TotalTime>
  <Pages>16</Pages>
  <Words>2454</Words>
  <Characters>13990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DoE corporate A4 booklet portrait</vt:lpstr>
    </vt:vector>
  </TitlesOfParts>
  <Company/>
  <LinksUpToDate>false</LinksUpToDate>
  <CharactersWithSpaces>16412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2023-01-12T07:04:17Z</dcterms:created>
  <dcterms:modified xsi:type="dcterms:W3CDTF">2023-01-12T07:04:17Z</dcterms:modified>
</cp:coreProperties>
</file>

<file path=docProps/custom.xml><?xml version="1.0" encoding="utf-8"?>
<Properties xmlns="http://schemas.openxmlformats.org/officeDocument/2006/custom-properties" xmlns:vt="http://schemas.openxmlformats.org/officeDocument/2006/docPropsVTypes"/>
</file>