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ERS paper:</w:t>
      </w:r>
    </w:p>
    <w:p w:rsidR="00000000" w:rsidDel="00000000" w:rsidP="00000000" w:rsidRDefault="00000000" w:rsidRPr="00000000" w14:paraId="00000002">
      <w:pPr>
        <w:rPr/>
      </w:pPr>
      <w:hyperlink r:id="rId6">
        <w:r w:rsidDel="00000000" w:rsidR="00000000" w:rsidRPr="00000000">
          <w:rPr>
            <w:color w:val="1155cc"/>
            <w:u w:val="single"/>
            <w:rtl w:val="0"/>
          </w:rPr>
          <w:t xml:space="preserve">https://erj.ersjournals.com/content/54/suppl_63/PA5029</w:t>
        </w:r>
      </w:hyperlink>
      <w:r w:rsidDel="00000000" w:rsidR="00000000" w:rsidRPr="00000000">
        <w:rPr>
          <w:rtl w:val="0"/>
        </w:rPr>
      </w:r>
    </w:p>
    <w:p w:rsidR="00000000" w:rsidDel="00000000" w:rsidP="00000000" w:rsidRDefault="00000000" w:rsidRPr="00000000" w14:paraId="00000003">
      <w:pPr>
        <w:spacing w:line="48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259403" cy="3807237"/>
            <wp:effectExtent b="0" l="0" r="0" t="0"/>
            <wp:docPr id="1" name="image1.jpg"/>
            <a:graphic>
              <a:graphicData uri="http://schemas.openxmlformats.org/drawingml/2006/picture">
                <pic:pic>
                  <pic:nvPicPr>
                    <pic:cNvPr id="0" name="image1.jpg"/>
                    <pic:cNvPicPr preferRelativeResize="0"/>
                  </pic:nvPicPr>
                  <pic:blipFill>
                    <a:blip r:embed="rId7"/>
                    <a:srcRect b="17385" l="0" r="25918" t="2088"/>
                    <a:stretch>
                      <a:fillRect/>
                    </a:stretch>
                  </pic:blipFill>
                  <pic:spPr>
                    <a:xfrm>
                      <a:off x="0" y="0"/>
                      <a:ext cx="4259403" cy="380723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 xml:space="preserve">Definitions: </w:t>
      </w:r>
      <w:hyperlink r:id="rId8">
        <w:r w:rsidDel="00000000" w:rsidR="00000000" w:rsidRPr="00000000">
          <w:rPr>
            <w:color w:val="1155cc"/>
            <w:u w:val="single"/>
            <w:rtl w:val="0"/>
          </w:rPr>
          <w:t xml:space="preserve">https://erj.ersjournals.com/content/56/suppl_64/2201?utm_source=TrendMD&amp;utm_medium=cpc&amp;utm_campaign=European_Respiratory_Journal_TrendMD_0</w:t>
        </w:r>
      </w:hyperlink>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 xml:space="preserve">Thorax Paper:</w:t>
      </w:r>
    </w:p>
    <w:p w:rsidR="00000000" w:rsidDel="00000000" w:rsidP="00000000" w:rsidRDefault="00000000" w:rsidRPr="00000000" w14:paraId="00000007">
      <w:pPr>
        <w:spacing w:line="480" w:lineRule="auto"/>
        <w:rPr/>
      </w:pPr>
      <w:hyperlink r:id="rId9">
        <w:r w:rsidDel="00000000" w:rsidR="00000000" w:rsidRPr="00000000">
          <w:rPr>
            <w:color w:val="1155cc"/>
            <w:u w:val="single"/>
            <w:rtl w:val="0"/>
          </w:rPr>
          <w:t xml:space="preserve">https://thorax.bmj.com/content/58/1/37.full</w:t>
        </w:r>
      </w:hyperlink>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114300</wp:posOffset>
            </wp:positionH>
            <wp:positionV relativeFrom="paragraph">
              <wp:posOffset>114300</wp:posOffset>
            </wp:positionV>
            <wp:extent cx="4929188" cy="2458568"/>
            <wp:effectExtent b="0" l="0" r="0" t="0"/>
            <wp:wrapSquare wrapText="bothSides" distB="57150" distT="57150" distL="57150" distR="5715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29188" cy="2458568"/>
                    </a:xfrm>
                    <a:prstGeom prst="rect"/>
                    <a:ln/>
                  </pic:spPr>
                </pic:pic>
              </a:graphicData>
            </a:graphic>
          </wp:anchor>
        </w:drawing>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drawing>
          <wp:inline distB="114300" distT="114300" distL="114300" distR="114300">
            <wp:extent cx="4919663" cy="2995948"/>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19663" cy="299594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t xml:space="preserve">Definitions:</w:t>
      </w:r>
    </w:p>
    <w:p w:rsidR="00000000" w:rsidDel="00000000" w:rsidP="00000000" w:rsidRDefault="00000000" w:rsidRPr="00000000" w14:paraId="00000011">
      <w:pPr>
        <w:spacing w:line="360" w:lineRule="auto"/>
        <w:rPr/>
      </w:pPr>
      <w:r w:rsidDel="00000000" w:rsidR="00000000" w:rsidRPr="00000000">
        <w:rPr>
          <w:rtl w:val="0"/>
        </w:rPr>
        <w:t xml:space="preserve">Exacerbation of COPD: condition according to the definition given above plus worsening in dyspnoea, cough and expectoration.</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Stable COPD: condition according to the definition given above without exacerbation (defined above) in the 30 days before hospital admission and without changes in treatment within the last 14 days (including inhaled and oral medication).</w:t>
      </w:r>
    </w:p>
    <w:p w:rsidR="00000000" w:rsidDel="00000000" w:rsidP="00000000" w:rsidRDefault="00000000" w:rsidRPr="00000000" w14:paraId="00000014">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s://erj.ersjournals.com/content/56/suppl_64/2201?utm_source=TrendMD&amp;utm_medium=cpc&amp;utm_campaign=European_Respiratory_Journal_TrendMD_0" TargetMode="Externa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image" Target="media/image2.png"/><Relationship Id="rId6" Type="http://schemas.openxmlformats.org/officeDocument/2006/relationships/hyperlink" Target="https://erj.ersjournals.com/content/54/suppl_63/PA5029"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hyperlink" Target="https://thorax.bmj.com/content/58/1/37.full"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4227BEC927FD419FFEF846AF5482AB" ma:contentTypeVersion="4" ma:contentTypeDescription="Create a new document." ma:contentTypeScope="" ma:versionID="4c3f3285ae58bea8f19a3a0e701f85e1">
  <xsd:schema xmlns:xsd="http://www.w3.org/2001/XMLSchema" xmlns:xs="http://www.w3.org/2001/XMLSchema" xmlns:p="http://schemas.microsoft.com/office/2006/metadata/properties" xmlns:ns2="8147a798-deaf-4b42-99c4-43b208b26aae" targetNamespace="http://schemas.microsoft.com/office/2006/metadata/properties" ma:root="true" ma:fieldsID="7936c255c3b244c568e22f97a0298441" ns2:_="">
    <xsd:import namespace="8147a798-deaf-4b42-99c4-43b208b26aa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7a798-deaf-4b42-99c4-43b208b26a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99CE9B-79DB-4692-8752-15C08ACD3D68}"/>
</file>

<file path=customXml/itemProps2.xml><?xml version="1.0" encoding="utf-8"?>
<ds:datastoreItem xmlns:ds="http://schemas.openxmlformats.org/officeDocument/2006/customXml" ds:itemID="{A156E668-1A45-4306-A0D5-AF91CDEE7C81}"/>
</file>

<file path=customXml/itemProps3.xml><?xml version="1.0" encoding="utf-8"?>
<ds:datastoreItem xmlns:ds="http://schemas.openxmlformats.org/officeDocument/2006/customXml" ds:itemID="{40CC1D96-9207-471E-BE29-E9904AC8F02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0x0101000B4227BEC927FD419FFEF846AF5482AB</vt:lpwstr>
  </property>
</Properties>
</file>