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80" w:before="0"/>
        <w:jc w:val="center"/>
      </w:pPr>
      <w:r>
        <w:rPr>
          <w:rFonts w:ascii="Times New Roman" w:cs="Times New Roman" w:eastAsia="Times New Roman" w:hAnsi="Times New Roman"/>
          <w:b/>
          <w:bCs/>
          <w:sz w:val="32"/>
          <w:szCs w:val="32"/>
        </w:rPr>
        <w:t xml:space="preserve">A Comprehensive Review of Hybrid Deep Learning Approaches for Drug–Target Interaction Prediction: Architectures, Fusion Mechanisms, and Evaluation Frameworks</w:t>
      </w:r>
    </w:p>
    <w:p>
      <w:pPr>
        <w:spacing w:after="120"/>
        <w:jc w:val="center"/>
      </w:pPr>
      <w:r>
        <w:rPr>
          <w:rFonts w:ascii="Times New Roman" w:cs="Times New Roman" w:eastAsia="Times New Roman" w:hAnsi="Times New Roman"/>
          <w:b/>
          <w:bCs/>
          <w:sz w:val="26"/>
          <w:szCs w:val="26"/>
        </w:rPr>
        <w:t xml:space="preserve">Jamila Abdul-Hadi</w:t>
      </w:r>
    </w:p>
    <w:p>
      <w:pPr>
        <w:spacing w:after="100"/>
        <w:jc w:val="center"/>
      </w:pPr>
      <w:r>
        <w:rPr>
          <w:rFonts w:ascii="Times New Roman" w:cs="Times New Roman" w:eastAsia="Times New Roman" w:hAnsi="Times New Roman"/>
          <w:i/>
          <w:iCs/>
          <w:sz w:val="22"/>
          <w:szCs w:val="22"/>
        </w:rPr>
        <w:t xml:space="preserve">School of Computer Sciences, Universiti Sains Malaysia, 11800 Penang, Malaysia</w:t>
      </w:r>
    </w:p>
    <w:p>
      <w:pPr>
        <w:spacing w:after="100"/>
        <w:jc w:val="center"/>
      </w:pPr>
      <w:r>
        <w:rPr>
          <w:rFonts w:ascii="Times New Roman" w:cs="Times New Roman" w:eastAsia="Times New Roman" w:hAnsi="Times New Roman"/>
          <w:i/>
          <w:iCs/>
          <w:sz w:val="22"/>
          <w:szCs w:val="22"/>
        </w:rPr>
        <w:t xml:space="preserve">Supervisor: Assoc. Prof. Dr. Nurul Hashimah Ahamed Hassain Malim</w:t>
      </w:r>
    </w:p>
    <w:p>
      <w:pPr>
        <w:spacing w:after="360"/>
        <w:jc w:val="center"/>
      </w:pPr>
      <w:r>
        <w:rPr>
          <w:rFonts w:ascii="Times New Roman" w:cs="Times New Roman" w:eastAsia="Times New Roman" w:hAnsi="Times New Roman"/>
          <w:sz w:val="22"/>
          <w:szCs w:val="22"/>
        </w:rPr>
        <w:t xml:space="preserve">Correspondence: jamcy98@gmail.com</w:t>
      </w:r>
    </w:p>
    <w:p>
      <w:pPr>
        <w:spacing w:after="360"/>
        <w:jc w:val="center"/>
      </w:pPr>
      <w:r>
        <w:rPr>
          <w:rFonts w:ascii="Times New Roman" w:cs="Times New Roman" w:eastAsia="Times New Roman" w:hAnsi="Times New Roman"/>
          <w:sz w:val="22"/>
          <w:szCs w:val="22"/>
        </w:rPr>
        <w:t xml:space="preserve">Date: May 2026</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Abstract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 This review provides a systematic and critical analysis of over thirty prominent DTI prediction models, organized by architectural paradigm: CNN-based, GNN-based, RNN-based, Transformer-based, knowledge graph-based, and hybrid multimodal approaches. For each model category and individual model, we present conceptual architecture sketches, key mathematical formulations, benchmark performance data, and critical limitation analysis. We construct four comparative tables covering model taxonomy, benchmark performance across established datasets (DAVIS, KIBA, BindingDB,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(Abdul-Hadi, 2025) is analyzed as a representative next-generation framework that addresses these gaps through a novel Gated Cross-Attention mechanism, imbalance-aware training, and intrinsic attention-based interpretability.</w:t>
      </w:r>
    </w:p>
    <w:p>
      <w:pPr>
        <w:spacing w:after="60" w:before="6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Keywords: drug–target interaction, graph neural network, recurrent neural network, hybrid deep learning, cross-modal attention, cold-start generalization, molecular graph, protein sequence, interpretability, drug discovery.</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1. Introduction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Early computational methods included molecular docking—simulating physical binding via scoring functions—and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Dhannoon, 2024). Deep learning transformed the field by enabling automatic, end-to-end feature extraction: CNNs from character-level sequence encodings (DeepDTA; Öztürk et al., 2018); GNNs from molecular topology (GraphDTA; Nguyen et al., 2021); RNNs from protein primary sequences (GDGRU-DTA; Zhijian et al., 2022); and Transformers from long-range context (TransformerCPI; Chen et al., 2020).</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dominant paradigm is now hybrid multimodal architecture, which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representations—a feature bottleneck—that limits predictive accuracy (Yang et al., 2024; Zuo et al., 2025). Hybrid models pairing GNNs for drug encoding with RNNs or Transformers for protein encoding have achieved state-of-the-art performance.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Despite progress, four critical challenges persist. First, many models employ static, concatenation-based fusion that fails to capture fine-grained cross-modal interactions between drug substructures and protein residues (Zhu et al., 2024; Sun et al., 2024). Second, cold-start generalization—predicting DTIs for novel drugs or targets—degrades severely due to data sparsity and distribution shift (Minh et al., 2022; Talo &amp; Bozdag, 2025). Third, model interpretability remains limited, restricting utility in structure–activity relationship (SAR) studies (Panahandeh &amp; Mansouri, 2025; Vefghi et al., 2025). Fourth, severe class imbalance (few known positives vs. vast unknown pairs) introduces systematic prediction bias (Bagherian et al., 2021; Suruliandi et al., 2024).</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This review makes the following contributions: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A systematic taxonomy tracing DTI computational methodology from molecular docking to hybrid deep learning.</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Critical reviews of 36 models organized by architectural paradigm with mathematical formulations, architecture conceptual sketches, and limitation analysis.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Four comparative tables: model taxonomy, benchmark performance (DAVIS, KIBA, BindingDB, Yamanishi_08, Luo_17), cold-start evaluation (S1/S2/S3), and interpretability features.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A structured synthesis of research gaps and future research directions.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Contextual positioning of the proposed H-GNN-RNN-DTI architecture as a next-generation response to identified limitations.</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2. Background</w:t>
      </w:r>
    </w:p>
    <w:p>
      <w:pPr>
        <w:pStyle w:val="Heading2"/>
        <w:spacing w:after="180" w:before="360"/>
      </w:pPr>
      <w:r>
        <w:rPr>
          <w:rFonts w:ascii="Times New Roman" w:cs="Times New Roman" w:eastAsia="Times New Roman" w:hAnsi="Times New Roman"/>
          <w:b/>
          <w:bCs/>
          <w:sz w:val="28"/>
          <w:szCs w:val="28"/>
        </w:rPr>
        <w:t xml:space="preserve">2.1 Biological Foundations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Drug–target interactions describe non-covalent binding events between small-molecule drugs and protein macromolecules. Binding affinity, quantified as dissociation constant K_d, inhibitory constant K_i, or half-maximal inhibitory concentration IC₅₀, governs therapeutic efficacy. DTI prediction tasks are cast as either binary classification (interaction vs. no interaction) or regression (affinity value estimation, e.g., pK_d = −log₁₀(K_d)). Target protein classes include enzymes, ion channels, G-protein coupled receptors (GPCRs), nuclear receptors, and transporter proteins—categories formalized in the Yamanishi_08 benchmark.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Drug molecules are canonically encoded as SMILES strings or molecular graphs G = (V, E), where V represents atoms as nodes with feature vectors (atomic number, valence, aromaticity, formal charge, hybridization) and E represents covalent bonds as edges with features (bond type, conjugation, ring membership). Protein primary sequences are encoded as ordered amino acid strings x = (x₁, x₂, ..., x_T), where T may range from tens to thousands of residues.</w:t>
      </w:r>
    </w:p>
    <w:p>
      <w:pPr>
        <w:pStyle w:val="Heading2"/>
        <w:spacing w:after="180" w:before="360"/>
      </w:pPr>
      <w:r>
        <w:rPr>
          <w:rFonts w:ascii="Times New Roman" w:cs="Times New Roman" w:eastAsia="Times New Roman" w:hAnsi="Times New Roman"/>
          <w:b/>
          <w:bCs/>
          <w:sz w:val="28"/>
          <w:szCs w:val="28"/>
        </w:rPr>
        <w:t xml:space="preserve">2.2 Taxonomy of Computational DTI Methods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Five generations of computational DTI methodology have emerged, each addressing predecessor limitations:</w:t>
      </w:r>
    </w:p>
    <w:p>
      <w:pPr>
        <w:pStyle w:val="Heading3"/>
        <w:spacing w:after="120" w:before="240"/>
      </w:pPr>
      <w:r>
        <w:rPr>
          <w:rFonts w:ascii="Times New Roman" w:cs="Times New Roman" w:eastAsia="Times New Roman" w:hAnsi="Times New Roman"/>
          <w:b/>
          <w:bCs/>
          <w:sz w:val="24"/>
          <w:szCs w:val="24"/>
        </w:rPr>
        <w:t xml:space="preserve">2.2.1 Molecular Docking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Physics-based simulation of drug–protein binding geometry using force-field scoring functions (AutoDock Vina, Glide). Provides atomistic binding pose predictions but requires high-resolution 3D protein structures, costs hours per compound, and cannot scale to millions of candidates (Dai et al., 2025; Lu et al., 2025).</w:t>
      </w:r>
    </w:p>
    <w:p>
      <w:pPr>
        <w:pStyle w:val="Heading3"/>
        <w:spacing w:after="120" w:before="240"/>
      </w:pPr>
      <w:r>
        <w:rPr>
          <w:rFonts w:ascii="Times New Roman" w:cs="Times New Roman" w:eastAsia="Times New Roman" w:hAnsi="Times New Roman"/>
          <w:b/>
          <w:bCs/>
          <w:sz w:val="24"/>
          <w:szCs w:val="24"/>
        </w:rPr>
        <w:t xml:space="preserve">2.2.2 Ligand-Based and QSAR Methods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Infer activity from molecular similarity to known active compounds using fingerprints (ECFP, MACCS) and QSAR descriptors. Eliminates structure dependence but fails for targets with sparse known binders (cold-start) and cannot generalize to novel chemotypes (Lee et al., 2024; Chen et al., 2016).</w:t>
      </w:r>
    </w:p>
    <w:p>
      <w:pPr>
        <w:pStyle w:val="Heading3"/>
        <w:spacing w:after="120" w:before="240"/>
      </w:pPr>
      <w:r>
        <w:rPr>
          <w:rFonts w:ascii="Times New Roman" w:cs="Times New Roman" w:eastAsia="Times New Roman" w:hAnsi="Times New Roman"/>
          <w:b/>
          <w:bCs/>
          <w:sz w:val="24"/>
          <w:szCs w:val="24"/>
        </w:rPr>
        <w:t xml:space="preserve">2.2.3 Classical Machine Learning and Network-Based Methods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SVMs, Random Forests, Gradient Boosting, and Multilayer Perceptrons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pPr>
        <w:pStyle w:val="Heading3"/>
        <w:spacing w:after="120" w:before="240"/>
      </w:pPr>
      <w:r>
        <w:rPr>
          <w:rFonts w:ascii="Times New Roman" w:cs="Times New Roman" w:eastAsia="Times New Roman" w:hAnsi="Times New Roman"/>
          <w:b/>
          <w:bCs/>
          <w:sz w:val="24"/>
          <w:szCs w:val="24"/>
        </w:rPr>
        <w:t xml:space="preserve">2.2.4 Deep Learning Models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End-to-end feature learning from raw biological data eliminates manual feature engineering. CNNs (DeepDTA), GNNs (GraphDTA), RNNs (GDGRU-DTA), and Transformers (TransformerCPI, MolTrans) each capture distinct aspects of molecular and sequence information but face limitations as single-modality encoders (Vefghi et al., 2025; Panahandeh &amp; Mansouri, 2025).</w:t>
      </w:r>
    </w:p>
    <w:p>
      <w:pPr>
        <w:pStyle w:val="Heading3"/>
        <w:spacing w:after="120" w:before="240"/>
      </w:pPr>
      <w:r>
        <w:rPr>
          <w:rFonts w:ascii="Times New Roman" w:cs="Times New Roman" w:eastAsia="Times New Roman" w:hAnsi="Times New Roman"/>
          <w:b/>
          <w:bCs/>
          <w:sz w:val="24"/>
          <w:szCs w:val="24"/>
        </w:rPr>
        <w:t xml:space="preserve">2.2.5 Hybrid Multimodal Deep Learning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current state of the art combines GNNs for drug topology with RNNs, CNNs, or Transformers for protein sequences, fusing modalities through concatenation, attention, bilinear interaction, or gated mechanisms. Foundation model embeddings (ChemBERTa for drugs, ESM-2/ProtT5 for proteins) pre-trained on large corpora further improve cold-start generalization. Interpretability mechanisms—attention visualization, Grad-CAM, mutual attribution—are integrated to support SAR analysis (Talo &amp; Bozdag, 2025; Sun et al., 2024; Yuan et al., 2025).</w:t>
      </w:r>
    </w:p>
    <w:p>
      <w:pPr>
        <w:pStyle w:val="Heading2"/>
        <w:spacing w:after="180" w:before="360"/>
      </w:pPr>
      <w:r>
        <w:rPr>
          <w:rFonts w:ascii="Times New Roman" w:cs="Times New Roman" w:eastAsia="Times New Roman" w:hAnsi="Times New Roman"/>
          <w:b/>
          <w:bCs/>
          <w:sz w:val="28"/>
          <w:szCs w:val="28"/>
        </w:rPr>
        <w:t xml:space="preserve">2.3 Benchmark Datasets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datasets are used as evaluation benchmarks across the reviewed literature:</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DAVIS: 30,056 K_d measurements for 442 kinases and 68 inhibitors. Standard DTA regression benchmark (CI, RMSE). Widely used since BindingDB splits may yield optimistic results.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KIBA: 52,498 bioactivity values integrating K_i, K_d, IC₅₀ across 467 targets and 229 drugs. DTA regression benchmark.</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BindingDB: Millions of binding affinities across diverse targets. Used for large-scale training and generalizability testing (BindingDB-random, BindingDB-cold-drug, BindingDB-cold-target splits).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ChEMBL: Comprehensive manually curated bioactivity database (~2M compounds). Used for pretraining and large-scale experiments.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Yamanishi_08: Gold-standard binary DTI dataset with four target classes (enzyme: 664 pairs, ion channel: 1476 pairs, GPCR: 635 pairs, nuclear receptor: 90 pairs). Widely used for cold-start evaluation (S1 warm, S2 cold-drug, S3 cold-target).</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Luo_17: Larger heterogeneous network DTI dataset integrating drug–drug, protein–protein, and DTI networks (1,923 drugs, 3,770 targets, 37,554 interactions). Used in GSRF-DTI and network-based benchmarks.</w:t>
      </w:r>
    </w:p>
    <w:p>
      <w:pPr>
        <w:pStyle w:val="ListParagraph"/>
        <w:numPr>
          <w:ilvl w:val="0"/>
          <w:numId w:val="1"/>
        </w:numPr>
        <w:spacing w:after="60" w:before="60"/>
        <w:ind w:left="720"/>
      </w:pPr>
      <w:r>
        <w:rPr>
          <w:rFonts w:ascii="Times New Roman" w:cs="Times New Roman" w:eastAsia="Times New Roman" w:hAnsi="Times New Roman"/>
          <w:sz w:val="24"/>
          <w:szCs w:val="24"/>
        </w:rPr>
        <w:t xml:space="preserve">DrugBank: Curated database of approved and experimental drugs with annotated targets. Used for feature sourcing, generalizability testing, and pretraining.</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3. Mathematical Foundations</w:t>
      </w:r>
    </w:p>
    <w:p>
      <w:pPr>
        <w:pStyle w:val="Heading2"/>
        <w:spacing w:after="180" w:before="360"/>
      </w:pPr>
      <w:r>
        <w:rPr>
          <w:rFonts w:ascii="Times New Roman" w:cs="Times New Roman" w:eastAsia="Times New Roman" w:hAnsi="Times New Roman"/>
          <w:b/>
          <w:bCs/>
          <w:sz w:val="28"/>
          <w:szCs w:val="28"/>
        </w:rPr>
        <w:t xml:space="preserve">3.1 Graph Neural Network Formulations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Let G = (V, E) be a molecular graph with atom node set V and bond edge set E. Node v has initial feature vector hᵥ⁻⁻⁻⁻ = h_v⁰. GNNs iterate message passing across L layers:</w:t>
      </w:r>
    </w:p>
    <w:p>
      <w:pPr>
        <w:pStyle w:val="Heading3"/>
        <w:spacing w:after="120" w:before="240"/>
      </w:pPr>
      <w:r>
        <w:rPr>
          <w:rFonts w:ascii="Times New Roman" w:cs="Times New Roman" w:eastAsia="Times New Roman" w:hAnsi="Times New Roman"/>
          <w:b/>
          <w:bCs/>
          <w:sz w:val="24"/>
          <w:szCs w:val="24"/>
        </w:rPr>
        <w:t xml:space="preserve">3.1.1 General Message Passing Framework</w:t>
      </w:r>
    </w:p>
    <w:p>
      <w:pPr>
        <w:spacing w:after="80" w:before="80"/>
        <w:ind w:left="720"/>
        <w:jc w:val="left"/>
      </w:pPr>
      <w:r>
        <w:rPr>
          <w:rFonts w:ascii="Courier New" w:cs="Courier New" w:eastAsia="Courier New" w:hAnsi="Courier New"/>
          <w:sz w:val="24"/>
          <w:szCs w:val="24"/>
        </w:rPr>
        <w:t xml:space="preserve">    m_v^(l) = AGGREGATE^(l)( { h_u^(l-1), e_uv : u in N(v) } )</w:t>
      </w:r>
      <w:r>
        <w:rPr>
          <w:rFonts w:ascii="Times New Roman" w:cs="Times New Roman" w:eastAsia="Times New Roman" w:hAnsi="Times New Roman"/>
          <w:i/>
          <w:iCs/>
          <w:sz w:val="24"/>
          <w:szCs w:val="24"/>
        </w:rPr>
        <w:t xml:space="preserve">   ... (1)</w:t>
      </w:r>
    </w:p>
    <w:p>
      <w:pPr>
        <w:spacing w:after="80" w:before="80"/>
        <w:ind w:left="720"/>
        <w:jc w:val="left"/>
      </w:pPr>
      <w:r>
        <w:rPr>
          <w:rFonts w:ascii="Courier New" w:cs="Courier New" w:eastAsia="Courier New" w:hAnsi="Courier New"/>
          <w:sz w:val="24"/>
          <w:szCs w:val="24"/>
        </w:rPr>
        <w:t xml:space="preserve">    h_v^(l) = UPDATE^(l)( h_v^(l-1), m_v^(l) )</w:t>
      </w:r>
      <w:r>
        <w:rPr>
          <w:rFonts w:ascii="Times New Roman" w:cs="Times New Roman" w:eastAsia="Times New Roman" w:hAnsi="Times New Roman"/>
          <w:i/>
          <w:iCs/>
          <w:sz w:val="24"/>
          <w:szCs w:val="24"/>
        </w:rPr>
        <w:t xml:space="preserve">   ... (2)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N(v) is the neighborhood of v, e_uv are edge features, and l is the layer index.</w:t>
      </w:r>
    </w:p>
    <w:p>
      <w:pPr>
        <w:pStyle w:val="Heading3"/>
        <w:spacing w:after="120" w:before="240"/>
      </w:pPr>
      <w:r>
        <w:rPr>
          <w:rFonts w:ascii="Times New Roman" w:cs="Times New Roman" w:eastAsia="Times New Roman" w:hAnsi="Times New Roman"/>
          <w:b/>
          <w:bCs/>
          <w:sz w:val="24"/>
          <w:szCs w:val="24"/>
        </w:rPr>
        <w:t xml:space="preserve">3.1.2 Graph Convolutional Network (GCN)</w:t>
      </w:r>
    </w:p>
    <w:p>
      <w:pPr>
        <w:spacing w:after="80" w:before="80"/>
        <w:ind w:left="720"/>
        <w:jc w:val="left"/>
      </w:pPr>
      <w:r>
        <w:rPr>
          <w:rFonts w:ascii="Courier New" w:cs="Courier New" w:eastAsia="Courier New" w:hAnsi="Courier New"/>
          <w:sz w:val="24"/>
          <w:szCs w:val="24"/>
        </w:rPr>
        <w:t xml:space="preserve">    H^(l+1) = sigma( D~^(-1/2) A~ D~^(-1/2) H^(l) W^(l) )</w:t>
      </w:r>
      <w:r>
        <w:rPr>
          <w:rFonts w:ascii="Times New Roman" w:cs="Times New Roman" w:eastAsia="Times New Roman" w:hAnsi="Times New Roman"/>
          <w:i/>
          <w:iCs/>
          <w:sz w:val="24"/>
          <w:szCs w:val="24"/>
        </w:rPr>
        <w:t xml:space="preserve">   ... (3)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A~ = A + I_N (adjacency with self-loops), D~ is the diagonal degree matrix of A~, W^(l) is a learnable weight matrix, and sigma is a nonlinear activation (Kipf &amp; Welling, 2017). GCN performs symmetric normalization of neighbor aggregation.</w:t>
      </w:r>
    </w:p>
    <w:p>
      <w:pPr>
        <w:pStyle w:val="Heading3"/>
        <w:spacing w:after="120" w:before="240"/>
      </w:pPr>
      <w:r>
        <w:rPr>
          <w:rFonts w:ascii="Times New Roman" w:cs="Times New Roman" w:eastAsia="Times New Roman" w:hAnsi="Times New Roman"/>
          <w:b/>
          <w:bCs/>
          <w:sz w:val="24"/>
          <w:szCs w:val="24"/>
        </w:rPr>
        <w:t xml:space="preserve">3.1.3 Graph Attention Network (GAT)</w:t>
      </w:r>
    </w:p>
    <w:p>
      <w:pPr>
        <w:spacing w:after="80" w:before="80"/>
        <w:ind w:left="720"/>
        <w:jc w:val="left"/>
      </w:pPr>
      <w:r>
        <w:rPr>
          <w:rFonts w:ascii="Courier New" w:cs="Courier New" w:eastAsia="Courier New" w:hAnsi="Courier New"/>
          <w:sz w:val="24"/>
          <w:szCs w:val="24"/>
        </w:rPr>
        <w:t xml:space="preserve">    e_ij = LeakyReLU( a^T [W h_i || W h_j] )</w:t>
      </w:r>
      <w:r>
        <w:rPr>
          <w:rFonts w:ascii="Times New Roman" w:cs="Times New Roman" w:eastAsia="Times New Roman" w:hAnsi="Times New Roman"/>
          <w:i/>
          <w:iCs/>
          <w:sz w:val="24"/>
          <w:szCs w:val="24"/>
        </w:rPr>
        <w:t xml:space="preserve">   ... (4)</w:t>
      </w:r>
    </w:p>
    <w:p>
      <w:pPr>
        <w:spacing w:after="80" w:before="80"/>
        <w:ind w:left="720"/>
        <w:jc w:val="left"/>
      </w:pPr>
      <w:r>
        <w:rPr>
          <w:rFonts w:ascii="Courier New" w:cs="Courier New" w:eastAsia="Courier New" w:hAnsi="Courier New"/>
          <w:sz w:val="24"/>
          <w:szCs w:val="24"/>
        </w:rPr>
        <w:t xml:space="preserve">    alpha_ij = exp(e_ij) / SUM_{k in N(i)} exp(e_ik)</w:t>
      </w:r>
      <w:r>
        <w:rPr>
          <w:rFonts w:ascii="Times New Roman" w:cs="Times New Roman" w:eastAsia="Times New Roman" w:hAnsi="Times New Roman"/>
          <w:i/>
          <w:iCs/>
          <w:sz w:val="24"/>
          <w:szCs w:val="24"/>
        </w:rPr>
        <w:t xml:space="preserve">   ... (5)</w:t>
      </w:r>
    </w:p>
    <w:p>
      <w:pPr>
        <w:spacing w:after="80" w:before="80"/>
        <w:ind w:left="720"/>
        <w:jc w:val="left"/>
      </w:pPr>
      <w:r>
        <w:rPr>
          <w:rFonts w:ascii="Courier New" w:cs="Courier New" w:eastAsia="Courier New" w:hAnsi="Courier New"/>
          <w:sz w:val="24"/>
          <w:szCs w:val="24"/>
        </w:rPr>
        <w:t xml:space="preserve">    h_v^(l+1) = sigma( SUM_{j in N(v)} alpha_vj * W * h_j^(l) )</w:t>
      </w:r>
      <w:r>
        <w:rPr>
          <w:rFonts w:ascii="Times New Roman" w:cs="Times New Roman" w:eastAsia="Times New Roman" w:hAnsi="Times New Roman"/>
          <w:i/>
          <w:iCs/>
          <w:sz w:val="24"/>
          <w:szCs w:val="24"/>
        </w:rPr>
        <w:t xml:space="preserve">   ... (6)</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a is a learnable attention vector, W is a weight matrix, and || denotes vector concatenation. Multi-head GAT computes K parallel attention functions and concatenates their outputs (Velickovic et al., 2018). H-GNN-RNN-DTI employs a hierarchical variant (H-GAT) with 3 layers and 8 attention heads per layer.</w:t>
      </w:r>
    </w:p>
    <w:p>
      <w:pPr>
        <w:pStyle w:val="Heading3"/>
        <w:spacing w:after="120" w:before="240"/>
      </w:pPr>
      <w:r>
        <w:rPr>
          <w:rFonts w:ascii="Times New Roman" w:cs="Times New Roman" w:eastAsia="Times New Roman" w:hAnsi="Times New Roman"/>
          <w:b/>
          <w:bCs/>
          <w:sz w:val="24"/>
          <w:szCs w:val="24"/>
        </w:rPr>
        <w:t xml:space="preserve">3.1.4 GraphSAGE</w:t>
      </w:r>
    </w:p>
    <w:p>
      <w:pPr>
        <w:spacing w:after="80" w:before="80"/>
        <w:ind w:left="720"/>
        <w:jc w:val="left"/>
      </w:pPr>
      <w:r>
        <w:rPr>
          <w:rFonts w:ascii="Courier New" w:cs="Courier New" w:eastAsia="Courier New" w:hAnsi="Courier New"/>
          <w:sz w:val="24"/>
          <w:szCs w:val="24"/>
        </w:rPr>
        <w:t xml:space="preserve">    h_v^(l) = sigma( W^(l) * [ h_v^(l-1) || MEAN_{u in N(v)} h_u^(l-1) ] )</w:t>
      </w:r>
      <w:r>
        <w:rPr>
          <w:rFonts w:ascii="Times New Roman" w:cs="Times New Roman" w:eastAsia="Times New Roman" w:hAnsi="Times New Roman"/>
          <w:i/>
          <w:iCs/>
          <w:sz w:val="24"/>
          <w:szCs w:val="24"/>
        </w:rPr>
        <w:t xml:space="preserve">   ... (7)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Concatenates ego representation with mean of neighbor representations, enabling inductive learning (Hamilton et al., 2017). Employed by GSRF-DTI for drug–target pair network encoding.</w:t>
      </w:r>
    </w:p>
    <w:p>
      <w:pPr>
        <w:pStyle w:val="Heading3"/>
        <w:spacing w:after="120" w:before="240"/>
      </w:pPr>
      <w:r>
        <w:rPr>
          <w:rFonts w:ascii="Times New Roman" w:cs="Times New Roman" w:eastAsia="Times New Roman" w:hAnsi="Times New Roman"/>
          <w:b/>
          <w:bCs/>
          <w:sz w:val="24"/>
          <w:szCs w:val="24"/>
        </w:rPr>
        <w:t xml:space="preserve">3.1.5 Graph Readout (Attention Pooling)</w:t>
      </w:r>
    </w:p>
    <w:p>
      <w:pPr>
        <w:spacing w:after="80" w:before="80"/>
        <w:ind w:left="720"/>
        <w:jc w:val="left"/>
      </w:pPr>
      <w:r>
        <w:rPr>
          <w:rFonts w:ascii="Courier New" w:cs="Courier New" w:eastAsia="Courier New" w:hAnsi="Courier New"/>
          <w:sz w:val="24"/>
          <w:szCs w:val="24"/>
        </w:rPr>
        <w:t xml:space="preserve">    h_G = SUM_{v in V} softmax( w^T h_v^(L) ) * h_v^(L)</w:t>
      </w:r>
      <w:r>
        <w:rPr>
          <w:rFonts w:ascii="Times New Roman" w:cs="Times New Roman" w:eastAsia="Times New Roman" w:hAnsi="Times New Roman"/>
          <w:i/>
          <w:iCs/>
          <w:sz w:val="24"/>
          <w:szCs w:val="24"/>
        </w:rPr>
        <w:t xml:space="preserve">   ... (8)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Maps node embeddings to a graph-level representation through attention-weighted pooling. H-GNN-RNN-DTI applies this readout followed by an MLP to produce the drug embedding z_d.</w:t>
      </w:r>
    </w:p>
    <w:p>
      <w:pPr>
        <w:pStyle w:val="Heading2"/>
        <w:spacing w:after="180" w:before="360"/>
      </w:pPr>
      <w:r>
        <w:rPr>
          <w:rFonts w:ascii="Times New Roman" w:cs="Times New Roman" w:eastAsia="Times New Roman" w:hAnsi="Times New Roman"/>
          <w:b/>
          <w:bCs/>
          <w:sz w:val="28"/>
          <w:szCs w:val="28"/>
        </w:rPr>
        <w:t xml:space="preserve">3.2 Recurrent Neural Network Formulations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Protein sequences x = (x₁, ..., x_T) are processed recurrently, where each x_t is an amino acid residue embedding:</w:t>
      </w:r>
    </w:p>
    <w:p>
      <w:pPr>
        <w:pStyle w:val="Heading3"/>
        <w:spacing w:after="120" w:before="240"/>
      </w:pPr>
      <w:r>
        <w:rPr>
          <w:rFonts w:ascii="Times New Roman" w:cs="Times New Roman" w:eastAsia="Times New Roman" w:hAnsi="Times New Roman"/>
          <w:b/>
          <w:bCs/>
          <w:sz w:val="24"/>
          <w:szCs w:val="24"/>
        </w:rPr>
        <w:t xml:space="preserve">3.2.1 LSTM Equations</w:t>
      </w:r>
    </w:p>
    <w:p>
      <w:pPr>
        <w:spacing w:after="80" w:before="80"/>
        <w:ind w:left="720"/>
        <w:jc w:val="left"/>
      </w:pPr>
      <w:r>
        <w:rPr>
          <w:rFonts w:ascii="Courier New" w:cs="Courier New" w:eastAsia="Courier New" w:hAnsi="Courier New"/>
          <w:sz w:val="24"/>
          <w:szCs w:val="24"/>
        </w:rPr>
        <w:t xml:space="preserve">    f_t = sigma( W_f [h_{t-1}, x_t] + b_f )   [forget gate]</w:t>
      </w:r>
      <w:r>
        <w:rPr>
          <w:rFonts w:ascii="Times New Roman" w:cs="Times New Roman" w:eastAsia="Times New Roman" w:hAnsi="Times New Roman"/>
          <w:i/>
          <w:iCs/>
          <w:sz w:val="24"/>
          <w:szCs w:val="24"/>
        </w:rPr>
        <w:t xml:space="preserve">   ... (9)</w:t>
      </w:r>
    </w:p>
    <w:p>
      <w:pPr>
        <w:spacing w:after="80" w:before="80"/>
        <w:ind w:left="720"/>
        <w:jc w:val="left"/>
      </w:pPr>
      <w:r>
        <w:rPr>
          <w:rFonts w:ascii="Courier New" w:cs="Courier New" w:eastAsia="Courier New" w:hAnsi="Courier New"/>
          <w:sz w:val="24"/>
          <w:szCs w:val="24"/>
        </w:rPr>
        <w:t xml:space="preserve">    i_t = sigma( W_i [h_{t-1}, x_t] + b_i )   [input gate]</w:t>
      </w:r>
      <w:r>
        <w:rPr>
          <w:rFonts w:ascii="Times New Roman" w:cs="Times New Roman" w:eastAsia="Times New Roman" w:hAnsi="Times New Roman"/>
          <w:i/>
          <w:iCs/>
          <w:sz w:val="24"/>
          <w:szCs w:val="24"/>
        </w:rPr>
        <w:t xml:space="preserve">   ... (10)</w:t>
      </w:r>
    </w:p>
    <w:p>
      <w:pPr>
        <w:spacing w:after="80" w:before="80"/>
        <w:ind w:left="720"/>
        <w:jc w:val="left"/>
      </w:pPr>
      <w:r>
        <w:rPr>
          <w:rFonts w:ascii="Courier New" w:cs="Courier New" w:eastAsia="Courier New" w:hAnsi="Courier New"/>
          <w:sz w:val="24"/>
          <w:szCs w:val="24"/>
        </w:rPr>
        <w:t xml:space="preserve">    o_t = sigma( W_o [h_{t-1}, x_t] + b_o )   [output gate]</w:t>
      </w:r>
      <w:r>
        <w:rPr>
          <w:rFonts w:ascii="Times New Roman" w:cs="Times New Roman" w:eastAsia="Times New Roman" w:hAnsi="Times New Roman"/>
          <w:i/>
          <w:iCs/>
          <w:sz w:val="24"/>
          <w:szCs w:val="24"/>
        </w:rPr>
        <w:t xml:space="preserve">   ... (11)</w:t>
      </w:r>
    </w:p>
    <w:p>
      <w:pPr>
        <w:spacing w:after="80" w:before="80"/>
        <w:ind w:left="720"/>
        <w:jc w:val="left"/>
      </w:pPr>
      <w:r>
        <w:rPr>
          <w:rFonts w:ascii="Courier New" w:cs="Courier New" w:eastAsia="Courier New" w:hAnsi="Courier New"/>
          <w:sz w:val="24"/>
          <w:szCs w:val="24"/>
        </w:rPr>
        <w:t xml:space="preserve">    c~_t = tanh( W_c [h_{t-1}, x_t] + b_c )   [candidate cell]</w:t>
      </w:r>
      <w:r>
        <w:rPr>
          <w:rFonts w:ascii="Times New Roman" w:cs="Times New Roman" w:eastAsia="Times New Roman" w:hAnsi="Times New Roman"/>
          <w:i/>
          <w:iCs/>
          <w:sz w:val="24"/>
          <w:szCs w:val="24"/>
        </w:rPr>
        <w:t xml:space="preserve">   ... (12)</w:t>
      </w:r>
    </w:p>
    <w:p>
      <w:pPr>
        <w:spacing w:after="80" w:before="80"/>
        <w:ind w:left="720"/>
        <w:jc w:val="left"/>
      </w:pPr>
      <w:r>
        <w:rPr>
          <w:rFonts w:ascii="Courier New" w:cs="Courier New" w:eastAsia="Courier New" w:hAnsi="Courier New"/>
          <w:sz w:val="24"/>
          <w:szCs w:val="24"/>
        </w:rPr>
        <w:t xml:space="preserve">    c_t = f_t ⊙ c_{t-1} + i_t ⊙ c~_t         [cell state]</w:t>
      </w:r>
      <w:r>
        <w:rPr>
          <w:rFonts w:ascii="Times New Roman" w:cs="Times New Roman" w:eastAsia="Times New Roman" w:hAnsi="Times New Roman"/>
          <w:i/>
          <w:iCs/>
          <w:sz w:val="24"/>
          <w:szCs w:val="24"/>
        </w:rPr>
        <w:t xml:space="preserve">   ... (13)</w:t>
      </w:r>
    </w:p>
    <w:p>
      <w:pPr>
        <w:spacing w:after="80" w:before="80"/>
        <w:ind w:left="720"/>
        <w:jc w:val="left"/>
      </w:pPr>
      <w:r>
        <w:rPr>
          <w:rFonts w:ascii="Courier New" w:cs="Courier New" w:eastAsia="Courier New" w:hAnsi="Courier New"/>
          <w:sz w:val="24"/>
          <w:szCs w:val="24"/>
        </w:rPr>
        <w:t xml:space="preserve">    h_t = o_t ⊙ tanh(c_t)                     [hidden state]</w:t>
      </w:r>
      <w:r>
        <w:rPr>
          <w:rFonts w:ascii="Times New Roman" w:cs="Times New Roman" w:eastAsia="Times New Roman" w:hAnsi="Times New Roman"/>
          <w:i/>
          <w:iCs/>
          <w:sz w:val="24"/>
          <w:szCs w:val="24"/>
        </w:rPr>
        <w:t xml:space="preserve">   ... (14)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multiplicative gates control information flow, enabling LSTMs to capture long-range dependencies that vanilla RNNs lose to gradient vanishing (Mienye et al., 2024).</w:t>
      </w:r>
    </w:p>
    <w:p>
      <w:pPr>
        <w:pStyle w:val="Heading3"/>
        <w:spacing w:after="120" w:before="240"/>
      </w:pPr>
      <w:r>
        <w:rPr>
          <w:rFonts w:ascii="Times New Roman" w:cs="Times New Roman" w:eastAsia="Times New Roman" w:hAnsi="Times New Roman"/>
          <w:b/>
          <w:bCs/>
          <w:sz w:val="24"/>
          <w:szCs w:val="24"/>
        </w:rPr>
        <w:t xml:space="preserve">3.2.2 GRU Equations</w:t>
      </w:r>
    </w:p>
    <w:p>
      <w:pPr>
        <w:spacing w:after="80" w:before="80"/>
        <w:ind w:left="720"/>
        <w:jc w:val="left"/>
      </w:pPr>
      <w:r>
        <w:rPr>
          <w:rFonts w:ascii="Courier New" w:cs="Courier New" w:eastAsia="Courier New" w:hAnsi="Courier New"/>
          <w:sz w:val="24"/>
          <w:szCs w:val="24"/>
        </w:rPr>
        <w:t xml:space="preserve">    z_t = sigma( W_z [h_{t-1}, x_t] + b_z )   [update gate]</w:t>
      </w:r>
      <w:r>
        <w:rPr>
          <w:rFonts w:ascii="Times New Roman" w:cs="Times New Roman" w:eastAsia="Times New Roman" w:hAnsi="Times New Roman"/>
          <w:i/>
          <w:iCs/>
          <w:sz w:val="24"/>
          <w:szCs w:val="24"/>
        </w:rPr>
        <w:t xml:space="preserve">   ... (15)</w:t>
      </w:r>
    </w:p>
    <w:p>
      <w:pPr>
        <w:spacing w:after="80" w:before="80"/>
        <w:ind w:left="720"/>
        <w:jc w:val="left"/>
      </w:pPr>
      <w:r>
        <w:rPr>
          <w:rFonts w:ascii="Courier New" w:cs="Courier New" w:eastAsia="Courier New" w:hAnsi="Courier New"/>
          <w:sz w:val="24"/>
          <w:szCs w:val="24"/>
        </w:rPr>
        <w:t xml:space="preserve">    r_t = sigma( W_r [h_{t-1}, x_t] + b_r )   [reset gate]</w:t>
      </w:r>
      <w:r>
        <w:rPr>
          <w:rFonts w:ascii="Times New Roman" w:cs="Times New Roman" w:eastAsia="Times New Roman" w:hAnsi="Times New Roman"/>
          <w:i/>
          <w:iCs/>
          <w:sz w:val="24"/>
          <w:szCs w:val="24"/>
        </w:rPr>
        <w:t xml:space="preserve">   ... (16)</w:t>
      </w:r>
    </w:p>
    <w:p>
      <w:pPr>
        <w:spacing w:after="80" w:before="80"/>
        <w:ind w:left="720"/>
        <w:jc w:val="left"/>
      </w:pPr>
      <w:r>
        <w:rPr>
          <w:rFonts w:ascii="Courier New" w:cs="Courier New" w:eastAsia="Courier New" w:hAnsi="Courier New"/>
          <w:sz w:val="24"/>
          <w:szCs w:val="24"/>
        </w:rPr>
        <w:t xml:space="preserve">    h~_t = tanh( W [r_t ⊙ h_{t-1}, x_t] + b ) [candidate]</w:t>
      </w:r>
      <w:r>
        <w:rPr>
          <w:rFonts w:ascii="Times New Roman" w:cs="Times New Roman" w:eastAsia="Times New Roman" w:hAnsi="Times New Roman"/>
          <w:i/>
          <w:iCs/>
          <w:sz w:val="24"/>
          <w:szCs w:val="24"/>
        </w:rPr>
        <w:t xml:space="preserve">   ... (17)</w:t>
      </w:r>
    </w:p>
    <w:p>
      <w:pPr>
        <w:spacing w:after="80" w:before="80"/>
        <w:ind w:left="720"/>
        <w:jc w:val="left"/>
      </w:pPr>
      <w:r>
        <w:rPr>
          <w:rFonts w:ascii="Courier New" w:cs="Courier New" w:eastAsia="Courier New" w:hAnsi="Courier New"/>
          <w:sz w:val="24"/>
          <w:szCs w:val="24"/>
        </w:rPr>
        <w:t xml:space="preserve">    h_t = (1 - z_t) ⊙ h_{t-1} + z_t ⊙ h~_t  [hidden state]</w:t>
      </w:r>
      <w:r>
        <w:rPr>
          <w:rFonts w:ascii="Times New Roman" w:cs="Times New Roman" w:eastAsia="Times New Roman" w:hAnsi="Times New Roman"/>
          <w:i/>
          <w:iCs/>
          <w:sz w:val="24"/>
          <w:szCs w:val="24"/>
        </w:rPr>
        <w:t xml:space="preserve">   ... (18)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GRUs use two gates instead of three, offering comparable expressiveness to LSTMs with lower computational cost. Bidirectional GRU processes sequences in both directions:</w:t>
      </w:r>
    </w:p>
    <w:p>
      <w:pPr>
        <w:spacing w:after="80" w:before="80"/>
        <w:ind w:left="720"/>
        <w:jc w:val="left"/>
      </w:pPr>
      <w:r>
        <w:rPr>
          <w:rFonts w:ascii="Courier New" w:cs="Courier New" w:eastAsia="Courier New" w:hAnsi="Courier New"/>
          <w:sz w:val="24"/>
          <w:szCs w:val="24"/>
        </w:rPr>
        <w:t xml:space="preserve">    h_t = [ h_t(forward) || h_t(backward) ]</w:t>
      </w:r>
      <w:r>
        <w:rPr>
          <w:rFonts w:ascii="Times New Roman" w:cs="Times New Roman" w:eastAsia="Times New Roman" w:hAnsi="Times New Roman"/>
          <w:i/>
          <w:iCs/>
          <w:sz w:val="24"/>
          <w:szCs w:val="24"/>
        </w:rPr>
        <w:t xml:space="preserve">   ... (19)</w:t>
      </w:r>
    </w:p>
    <w:p>
      <w:pPr>
        <w:pStyle w:val="Heading2"/>
        <w:spacing w:after="180" w:before="360"/>
      </w:pPr>
      <w:r>
        <w:rPr>
          <w:rFonts w:ascii="Times New Roman" w:cs="Times New Roman" w:eastAsia="Times New Roman" w:hAnsi="Times New Roman"/>
          <w:b/>
          <w:bCs/>
          <w:sz w:val="28"/>
          <w:szCs w:val="28"/>
        </w:rPr>
        <w:t xml:space="preserve">3.3 Attention Mechanisms</w:t>
      </w:r>
    </w:p>
    <w:p>
      <w:pPr>
        <w:pStyle w:val="Heading3"/>
        <w:spacing w:after="120" w:before="240"/>
      </w:pPr>
      <w:r>
        <w:rPr>
          <w:rFonts w:ascii="Times New Roman" w:cs="Times New Roman" w:eastAsia="Times New Roman" w:hAnsi="Times New Roman"/>
          <w:b/>
          <w:bCs/>
          <w:sz w:val="24"/>
          <w:szCs w:val="24"/>
        </w:rPr>
        <w:t xml:space="preserve">3.3.1 Scaled Dot-Product Attention</w:t>
      </w:r>
    </w:p>
    <w:p>
      <w:pPr>
        <w:spacing w:after="80" w:before="80"/>
        <w:ind w:left="720"/>
        <w:jc w:val="left"/>
      </w:pPr>
      <w:r>
        <w:rPr>
          <w:rFonts w:ascii="Courier New" w:cs="Courier New" w:eastAsia="Courier New" w:hAnsi="Courier New"/>
          <w:sz w:val="24"/>
          <w:szCs w:val="24"/>
        </w:rPr>
        <w:t xml:space="preserve">    Attention(Q, K, V) = softmax( Q K^T / sqrt(d_k) ) V</w:t>
      </w:r>
      <w:r>
        <w:rPr>
          <w:rFonts w:ascii="Times New Roman" w:cs="Times New Roman" w:eastAsia="Times New Roman" w:hAnsi="Times New Roman"/>
          <w:i/>
          <w:iCs/>
          <w:sz w:val="24"/>
          <w:szCs w:val="24"/>
        </w:rPr>
        <w:t xml:space="preserve">   ... (20)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Q (queries), K (keys), V (values) are linear projections and d_k is the key dimension (Vaswani et al., 2017).</w:t>
      </w:r>
    </w:p>
    <w:p>
      <w:pPr>
        <w:pStyle w:val="Heading3"/>
        <w:spacing w:after="120" w:before="240"/>
      </w:pPr>
      <w:r>
        <w:rPr>
          <w:rFonts w:ascii="Times New Roman" w:cs="Times New Roman" w:eastAsia="Times New Roman" w:hAnsi="Times New Roman"/>
          <w:b/>
          <w:bCs/>
          <w:sz w:val="24"/>
          <w:szCs w:val="24"/>
        </w:rPr>
        <w:t xml:space="preserve">3.3.2 Multi-Head Attention</w:t>
      </w:r>
    </w:p>
    <w:p>
      <w:pPr>
        <w:spacing w:after="80" w:before="80"/>
        <w:ind w:left="720"/>
        <w:jc w:val="left"/>
      </w:pPr>
      <w:r>
        <w:rPr>
          <w:rFonts w:ascii="Courier New" w:cs="Courier New" w:eastAsia="Courier New" w:hAnsi="Courier New"/>
          <w:sz w:val="24"/>
          <w:szCs w:val="24"/>
        </w:rPr>
        <w:t xml:space="preserve">    head_i = Attention( Q W_i^Q, K W_i^K, V W_i^V )</w:t>
      </w:r>
      <w:r>
        <w:rPr>
          <w:rFonts w:ascii="Times New Roman" w:cs="Times New Roman" w:eastAsia="Times New Roman" w:hAnsi="Times New Roman"/>
          <w:i/>
          <w:iCs/>
          <w:sz w:val="24"/>
          <w:szCs w:val="24"/>
        </w:rPr>
        <w:t xml:space="preserve">   ... (21a)</w:t>
      </w:r>
    </w:p>
    <w:p>
      <w:pPr>
        <w:spacing w:after="80" w:before="80"/>
        <w:ind w:left="720"/>
        <w:jc w:val="left"/>
      </w:pPr>
      <w:r>
        <w:rPr>
          <w:rFonts w:ascii="Courier New" w:cs="Courier New" w:eastAsia="Courier New" w:hAnsi="Courier New"/>
          <w:sz w:val="24"/>
          <w:szCs w:val="24"/>
        </w:rPr>
        <w:t xml:space="preserve">    MultiHead(Q,K,V) = Concat(head_1,...,head_h) W^O</w:t>
      </w:r>
      <w:r>
        <w:rPr>
          <w:rFonts w:ascii="Times New Roman" w:cs="Times New Roman" w:eastAsia="Times New Roman" w:hAnsi="Times New Roman"/>
          <w:i/>
          <w:iCs/>
          <w:sz w:val="24"/>
          <w:szCs w:val="24"/>
        </w:rPr>
        <w:t xml:space="preserve">   ... (21b)</w:t>
      </w:r>
    </w:p>
    <w:p>
      <w:pPr>
        <w:pStyle w:val="Heading3"/>
        <w:spacing w:after="120" w:before="240"/>
      </w:pPr>
      <w:r>
        <w:rPr>
          <w:rFonts w:ascii="Times New Roman" w:cs="Times New Roman" w:eastAsia="Times New Roman" w:hAnsi="Times New Roman"/>
          <w:b/>
          <w:bCs/>
          <w:sz w:val="24"/>
          <w:szCs w:val="24"/>
        </w:rPr>
        <w:t xml:space="preserve">3.3.3 Bidirectional Cross-Modal Attention (Drug ↔ Protein)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Let h_d in R^(n x d) be drug atom embeddings and h_p in R^(m x d) be protein residue embeddings:</w:t>
      </w:r>
    </w:p>
    <w:p>
      <w:pPr>
        <w:spacing w:after="80" w:before="80"/>
        <w:ind w:left="720"/>
        <w:jc w:val="left"/>
      </w:pPr>
      <w:r>
        <w:rPr>
          <w:rFonts w:ascii="Courier New" w:cs="Courier New" w:eastAsia="Courier New" w:hAnsi="Courier New"/>
          <w:sz w:val="24"/>
          <w:szCs w:val="24"/>
        </w:rPr>
        <w:t xml:space="preserve">    A_{d-&gt;p} = softmax( Q_d K_p^T / sqrt(d_k) ) V_p   [drug queries protein]</w:t>
      </w:r>
      <w:r>
        <w:rPr>
          <w:rFonts w:ascii="Times New Roman" w:cs="Times New Roman" w:eastAsia="Times New Roman" w:hAnsi="Times New Roman"/>
          <w:i/>
          <w:iCs/>
          <w:sz w:val="24"/>
          <w:szCs w:val="24"/>
        </w:rPr>
        <w:t xml:space="preserve">   ... (22)</w:t>
      </w:r>
    </w:p>
    <w:p>
      <w:pPr>
        <w:spacing w:after="80" w:before="80"/>
        <w:ind w:left="720"/>
        <w:jc w:val="left"/>
      </w:pPr>
      <w:r>
        <w:rPr>
          <w:rFonts w:ascii="Courier New" w:cs="Courier New" w:eastAsia="Courier New" w:hAnsi="Courier New"/>
          <w:sz w:val="24"/>
          <w:szCs w:val="24"/>
        </w:rPr>
        <w:t xml:space="preserve">    A_{p-&gt;d} = softmax( Q_p K_d^T / sqrt(d_k) ) V_d   [protein queries drug]</w:t>
      </w:r>
      <w:r>
        <w:rPr>
          <w:rFonts w:ascii="Times New Roman" w:cs="Times New Roman" w:eastAsia="Times New Roman" w:hAnsi="Times New Roman"/>
          <w:i/>
          <w:iCs/>
          <w:sz w:val="24"/>
          <w:szCs w:val="24"/>
        </w:rPr>
        <w:t xml:space="preserve">   ... (23)</w:t>
      </w:r>
    </w:p>
    <w:p>
      <w:pPr>
        <w:pStyle w:val="Heading3"/>
        <w:spacing w:after="120" w:before="240"/>
      </w:pPr>
      <w:r>
        <w:rPr>
          <w:rFonts w:ascii="Times New Roman" w:cs="Times New Roman" w:eastAsia="Times New Roman" w:hAnsi="Times New Roman"/>
          <w:b/>
          <w:bCs/>
          <w:sz w:val="24"/>
          <w:szCs w:val="24"/>
        </w:rPr>
        <w:t xml:space="preserve">3.3.4 Gated Cross-Attention Fusion (H-GNN-RNN-DTI)</w:t>
      </w:r>
    </w:p>
    <w:p>
      <w:pPr>
        <w:spacing w:after="80" w:before="80"/>
        <w:ind w:left="720"/>
        <w:jc w:val="left"/>
      </w:pPr>
      <w:r>
        <w:rPr>
          <w:rFonts w:ascii="Courier New" w:cs="Courier New" w:eastAsia="Courier New" w:hAnsi="Courier New"/>
          <w:sz w:val="24"/>
          <w:szCs w:val="24"/>
        </w:rPr>
        <w:t xml:space="preserve">    G_d = sigma( W_g [h_d || A_{d-&gt;p}] + b_g )</w:t>
      </w:r>
      <w:r>
        <w:rPr>
          <w:rFonts w:ascii="Times New Roman" w:cs="Times New Roman" w:eastAsia="Times New Roman" w:hAnsi="Times New Roman"/>
          <w:i/>
          <w:iCs/>
          <w:sz w:val="24"/>
          <w:szCs w:val="24"/>
        </w:rPr>
        <w:t xml:space="preserve">   ... (24)</w:t>
      </w:r>
    </w:p>
    <w:p>
      <w:pPr>
        <w:spacing w:after="80" w:before="80"/>
        <w:ind w:left="720"/>
        <w:jc w:val="left"/>
      </w:pPr>
      <w:r>
        <w:rPr>
          <w:rFonts w:ascii="Courier New" w:cs="Courier New" w:eastAsia="Courier New" w:hAnsi="Courier New"/>
          <w:sz w:val="24"/>
          <w:szCs w:val="24"/>
        </w:rPr>
        <w:t xml:space="preserve">    h_d' = G_d ⊙ A_{d-&gt;p} + (1 - G_d) ⊙ h_d</w:t>
      </w:r>
      <w:r>
        <w:rPr>
          <w:rFonts w:ascii="Times New Roman" w:cs="Times New Roman" w:eastAsia="Times New Roman" w:hAnsi="Times New Roman"/>
          <w:i/>
          <w:iCs/>
          <w:sz w:val="24"/>
          <w:szCs w:val="24"/>
        </w:rPr>
        <w:t xml:space="preserve">   ... (25)</w:t>
      </w:r>
    </w:p>
    <w:p>
      <w:pPr>
        <w:spacing w:after="80" w:before="80"/>
        <w:ind w:left="720"/>
        <w:jc w:val="left"/>
      </w:pPr>
      <w:r>
        <w:rPr>
          <w:rFonts w:ascii="Courier New" w:cs="Courier New" w:eastAsia="Courier New" w:hAnsi="Courier New"/>
          <w:sz w:val="24"/>
          <w:szCs w:val="24"/>
        </w:rPr>
        <w:t xml:space="preserve">    G_p = sigma( W_g' [h_p || A_{p-&gt;d}] + b_g' )</w:t>
      </w:r>
      <w:r>
        <w:rPr>
          <w:rFonts w:ascii="Times New Roman" w:cs="Times New Roman" w:eastAsia="Times New Roman" w:hAnsi="Times New Roman"/>
          <w:i/>
          <w:iCs/>
          <w:sz w:val="24"/>
          <w:szCs w:val="24"/>
        </w:rPr>
        <w:t xml:space="preserve">   ... (26)</w:t>
      </w:r>
    </w:p>
    <w:p>
      <w:pPr>
        <w:spacing w:after="80" w:before="80"/>
        <w:ind w:left="720"/>
        <w:jc w:val="left"/>
      </w:pPr>
      <w:r>
        <w:rPr>
          <w:rFonts w:ascii="Courier New" w:cs="Courier New" w:eastAsia="Courier New" w:hAnsi="Courier New"/>
          <w:sz w:val="24"/>
          <w:szCs w:val="24"/>
        </w:rPr>
        <w:t xml:space="preserve">    h_p' = G_p ⊙ A_{p-&gt;d} + (1 - G_p) ⊙ h_p</w:t>
      </w:r>
      <w:r>
        <w:rPr>
          <w:rFonts w:ascii="Times New Roman" w:cs="Times New Roman" w:eastAsia="Times New Roman" w:hAnsi="Times New Roman"/>
          <w:i/>
          <w:iCs/>
          <w:sz w:val="24"/>
          <w:szCs w:val="24"/>
        </w:rPr>
        <w:t xml:space="preserve">   ... (27)</w:t>
      </w:r>
    </w:p>
    <w:p>
      <w:pPr>
        <w:spacing w:after="80" w:before="80"/>
        <w:ind w:left="720"/>
        <w:jc w:val="left"/>
      </w:pPr>
      <w:r>
        <w:rPr>
          <w:rFonts w:ascii="Courier New" w:cs="Courier New" w:eastAsia="Courier New" w:hAnsi="Courier New"/>
          <w:sz w:val="24"/>
          <w:szCs w:val="24"/>
        </w:rPr>
        <w:t xml:space="preserve">    h_fused = sigma( W_f [z_d || z_p] + b_f )</w:t>
      </w:r>
      <w:r>
        <w:rPr>
          <w:rFonts w:ascii="Times New Roman" w:cs="Times New Roman" w:eastAsia="Times New Roman" w:hAnsi="Times New Roman"/>
          <w:i/>
          <w:iCs/>
          <w:sz w:val="24"/>
          <w:szCs w:val="24"/>
        </w:rPr>
        <w:t xml:space="preserve">   ... (28)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Gates G_d, G_p in (0,1)^d adaptively balance cross-modal enrichment with original modality preservation, overcoming the information loss of static concatenation.</w:t>
      </w:r>
    </w:p>
    <w:p>
      <w:pPr>
        <w:pStyle w:val="Heading2"/>
        <w:spacing w:after="180" w:before="360"/>
      </w:pPr>
      <w:r>
        <w:rPr>
          <w:rFonts w:ascii="Times New Roman" w:cs="Times New Roman" w:eastAsia="Times New Roman" w:hAnsi="Times New Roman"/>
          <w:b/>
          <w:bCs/>
          <w:sz w:val="28"/>
          <w:szCs w:val="28"/>
        </w:rPr>
        <w:t xml:space="preserve">3.4 Loss Functions</w:t>
      </w:r>
    </w:p>
    <w:p>
      <w:pPr>
        <w:pStyle w:val="Heading3"/>
        <w:spacing w:after="120" w:before="240"/>
      </w:pPr>
      <w:r>
        <w:rPr>
          <w:rFonts w:ascii="Times New Roman" w:cs="Times New Roman" w:eastAsia="Times New Roman" w:hAnsi="Times New Roman"/>
          <w:b/>
          <w:bCs/>
          <w:sz w:val="24"/>
          <w:szCs w:val="24"/>
        </w:rPr>
        <w:t xml:space="preserve">3.4.1 Focal Loss (for class imbalance)</w:t>
      </w:r>
    </w:p>
    <w:p>
      <w:pPr>
        <w:spacing w:after="80" w:before="80"/>
        <w:ind w:left="720"/>
        <w:jc w:val="left"/>
      </w:pPr>
      <w:r>
        <w:rPr>
          <w:rFonts w:ascii="Courier New" w:cs="Courier New" w:eastAsia="Courier New" w:hAnsi="Courier New"/>
          <w:sz w:val="24"/>
          <w:szCs w:val="24"/>
        </w:rPr>
        <w:t xml:space="preserve">    FL(p_t) = -alpha_t (1 - p_t)^gamma log(p_t)</w:t>
      </w:r>
      <w:r>
        <w:rPr>
          <w:rFonts w:ascii="Times New Roman" w:cs="Times New Roman" w:eastAsia="Times New Roman" w:hAnsi="Times New Roman"/>
          <w:i/>
          <w:iCs/>
          <w:sz w:val="24"/>
          <w:szCs w:val="24"/>
        </w:rPr>
        <w:t xml:space="preserve">   ... (29)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p_t = p if y=1 else (1-p), gamma (typically 2.0) focuses on hard examples, and alpha_t addresses class frequency. Employed in H-GNN-RNN-DTI.</w:t>
      </w:r>
    </w:p>
    <w:p>
      <w:pPr>
        <w:pStyle w:val="Heading3"/>
        <w:spacing w:after="120" w:before="240"/>
      </w:pPr>
      <w:r>
        <w:rPr>
          <w:rFonts w:ascii="Times New Roman" w:cs="Times New Roman" w:eastAsia="Times New Roman" w:hAnsi="Times New Roman"/>
          <w:b/>
          <w:bCs/>
          <w:sz w:val="24"/>
          <w:szCs w:val="24"/>
        </w:rPr>
        <w:t xml:space="preserve">3.4.2 Weighted Binary Cross-Entropy</w:t>
      </w:r>
    </w:p>
    <w:p>
      <w:pPr>
        <w:spacing w:after="80" w:before="80"/>
        <w:ind w:left="720"/>
        <w:jc w:val="left"/>
      </w:pPr>
      <w:r>
        <w:rPr>
          <w:rFonts w:ascii="Courier New" w:cs="Courier New" w:eastAsia="Courier New" w:hAnsi="Courier New"/>
          <w:sz w:val="24"/>
          <w:szCs w:val="24"/>
        </w:rPr>
        <w:t xml:space="preserve">    L_wBCE = -(1/N) SUM_i [ w+ y_i log(p_i) + w- (1-y_i) log(1-p_i) ]</w:t>
      </w:r>
      <w:r>
        <w:rPr>
          <w:rFonts w:ascii="Times New Roman" w:cs="Times New Roman" w:eastAsia="Times New Roman" w:hAnsi="Times New Roman"/>
          <w:i/>
          <w:iCs/>
          <w:sz w:val="24"/>
          <w:szCs w:val="24"/>
        </w:rPr>
        <w:t xml:space="preserve">   ... (30)</w:t>
      </w:r>
    </w:p>
    <w:p>
      <w:pPr>
        <w:pStyle w:val="Heading3"/>
        <w:spacing w:after="120" w:before="240"/>
      </w:pPr>
      <w:r>
        <w:rPr>
          <w:rFonts w:ascii="Times New Roman" w:cs="Times New Roman" w:eastAsia="Times New Roman" w:hAnsi="Times New Roman"/>
          <w:b/>
          <w:bCs/>
          <w:sz w:val="24"/>
          <w:szCs w:val="24"/>
        </w:rPr>
        <w:t xml:space="preserve">3.4.3 Mean Squared Error (Regression)</w:t>
      </w:r>
    </w:p>
    <w:p>
      <w:pPr>
        <w:spacing w:after="80" w:before="80"/>
        <w:ind w:left="720"/>
        <w:jc w:val="left"/>
      </w:pPr>
      <w:r>
        <w:rPr>
          <w:rFonts w:ascii="Courier New" w:cs="Courier New" w:eastAsia="Courier New" w:hAnsi="Courier New"/>
          <w:sz w:val="24"/>
          <w:szCs w:val="24"/>
        </w:rPr>
        <w:t xml:space="preserve">    L_MSE = (1/N) SUM_{i=1}^{N} (y_hat_i - y_i)^2</w:t>
      </w:r>
      <w:r>
        <w:rPr>
          <w:rFonts w:ascii="Times New Roman" w:cs="Times New Roman" w:eastAsia="Times New Roman" w:hAnsi="Times New Roman"/>
          <w:i/>
          <w:iCs/>
          <w:sz w:val="24"/>
          <w:szCs w:val="24"/>
        </w:rPr>
        <w:t xml:space="preserve">   ... (31)</w:t>
      </w:r>
    </w:p>
    <w:p>
      <w:pPr>
        <w:pStyle w:val="Heading2"/>
        <w:spacing w:after="180" w:before="360"/>
      </w:pPr>
      <w:r>
        <w:rPr>
          <w:rFonts w:ascii="Times New Roman" w:cs="Times New Roman" w:eastAsia="Times New Roman" w:hAnsi="Times New Roman"/>
          <w:b/>
          <w:bCs/>
          <w:sz w:val="28"/>
          <w:szCs w:val="28"/>
        </w:rPr>
        <w:t xml:space="preserve">3.5 Evaluation Metrics</w:t>
      </w:r>
    </w:p>
    <w:p>
      <w:pPr>
        <w:pStyle w:val="Heading3"/>
        <w:spacing w:after="120" w:before="240"/>
      </w:pPr>
      <w:r>
        <w:rPr>
          <w:rFonts w:ascii="Times New Roman" w:cs="Times New Roman" w:eastAsia="Times New Roman" w:hAnsi="Times New Roman"/>
          <w:b/>
          <w:bCs/>
          <w:sz w:val="24"/>
          <w:szCs w:val="24"/>
        </w:rPr>
        <w:t xml:space="preserve">3.5.1 AUC-ROC and AUPR (Classification)</w:t>
      </w:r>
    </w:p>
    <w:p>
      <w:pPr>
        <w:spacing w:after="80" w:before="80"/>
        <w:ind w:left="720"/>
        <w:jc w:val="left"/>
      </w:pPr>
      <w:r>
        <w:rPr>
          <w:rFonts w:ascii="Courier New" w:cs="Courier New" w:eastAsia="Courier New" w:hAnsi="Courier New"/>
          <w:sz w:val="24"/>
          <w:szCs w:val="24"/>
        </w:rPr>
        <w:t xml:space="preserve">    AUC-ROC = integral_0^1 TPR(FPR) d(FPR)</w:t>
      </w:r>
      <w:r>
        <w:rPr>
          <w:rFonts w:ascii="Times New Roman" w:cs="Times New Roman" w:eastAsia="Times New Roman" w:hAnsi="Times New Roman"/>
          <w:i/>
          <w:iCs/>
          <w:sz w:val="24"/>
          <w:szCs w:val="24"/>
        </w:rPr>
        <w:t xml:space="preserve">   ... (32)</w:t>
      </w:r>
    </w:p>
    <w:p>
      <w:pPr>
        <w:spacing w:after="80" w:before="80"/>
        <w:ind w:left="720"/>
        <w:jc w:val="left"/>
      </w:pPr>
      <w:r>
        <w:rPr>
          <w:rFonts w:ascii="Courier New" w:cs="Courier New" w:eastAsia="Courier New" w:hAnsi="Courier New"/>
          <w:sz w:val="24"/>
          <w:szCs w:val="24"/>
        </w:rPr>
        <w:t xml:space="preserve">    AUPR = integral_0^1 Precision(Recall) d(Recall)</w:t>
      </w:r>
      <w:r>
        <w:rPr>
          <w:rFonts w:ascii="Times New Roman" w:cs="Times New Roman" w:eastAsia="Times New Roman" w:hAnsi="Times New Roman"/>
          <w:i/>
          <w:iCs/>
          <w:sz w:val="24"/>
          <w:szCs w:val="24"/>
        </w:rPr>
        <w:t xml:space="preserve">   ... (33)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AUPR is preferred for imbalanced datasets; it is more sensitive to positive-class performance than AUC-ROC.</w:t>
      </w:r>
    </w:p>
    <w:p>
      <w:pPr>
        <w:pStyle w:val="Heading3"/>
        <w:spacing w:after="120" w:before="240"/>
      </w:pPr>
      <w:r>
        <w:rPr>
          <w:rFonts w:ascii="Times New Roman" w:cs="Times New Roman" w:eastAsia="Times New Roman" w:hAnsi="Times New Roman"/>
          <w:b/>
          <w:bCs/>
          <w:sz w:val="24"/>
          <w:szCs w:val="24"/>
        </w:rPr>
        <w:t xml:space="preserve">3.5.2 RMSE, MAE (Regression)</w:t>
      </w:r>
    </w:p>
    <w:p>
      <w:pPr>
        <w:spacing w:after="80" w:before="80"/>
        <w:ind w:left="720"/>
        <w:jc w:val="left"/>
      </w:pPr>
      <w:r>
        <w:rPr>
          <w:rFonts w:ascii="Courier New" w:cs="Courier New" w:eastAsia="Courier New" w:hAnsi="Courier New"/>
          <w:sz w:val="24"/>
          <w:szCs w:val="24"/>
        </w:rPr>
        <w:t xml:space="preserve">    RMSE = sqrt( (1/N) SUM (y_hat_i - y_i)^2 )</w:t>
      </w:r>
      <w:r>
        <w:rPr>
          <w:rFonts w:ascii="Times New Roman" w:cs="Times New Roman" w:eastAsia="Times New Roman" w:hAnsi="Times New Roman"/>
          <w:i/>
          <w:iCs/>
          <w:sz w:val="24"/>
          <w:szCs w:val="24"/>
        </w:rPr>
        <w:t xml:space="preserve">   ... (34)</w:t>
      </w:r>
    </w:p>
    <w:p>
      <w:pPr>
        <w:spacing w:after="80" w:before="80"/>
        <w:ind w:left="720"/>
        <w:jc w:val="left"/>
      </w:pPr>
      <w:r>
        <w:rPr>
          <w:rFonts w:ascii="Courier New" w:cs="Courier New" w:eastAsia="Courier New" w:hAnsi="Courier New"/>
          <w:sz w:val="24"/>
          <w:szCs w:val="24"/>
        </w:rPr>
        <w:t xml:space="preserve">    MAE  = (1/N) SUM |y_hat_i - y_i|</w:t>
      </w:r>
      <w:r>
        <w:rPr>
          <w:rFonts w:ascii="Times New Roman" w:cs="Times New Roman" w:eastAsia="Times New Roman" w:hAnsi="Times New Roman"/>
          <w:i/>
          <w:iCs/>
          <w:sz w:val="24"/>
          <w:szCs w:val="24"/>
        </w:rPr>
        <w:t xml:space="preserve">   ... (35)</w:t>
      </w:r>
    </w:p>
    <w:p>
      <w:pPr>
        <w:pStyle w:val="Heading3"/>
        <w:spacing w:after="120" w:before="240"/>
      </w:pPr>
      <w:r>
        <w:rPr>
          <w:rFonts w:ascii="Times New Roman" w:cs="Times New Roman" w:eastAsia="Times New Roman" w:hAnsi="Times New Roman"/>
          <w:b/>
          <w:bCs/>
          <w:sz w:val="24"/>
          <w:szCs w:val="24"/>
        </w:rPr>
        <w:t xml:space="preserve">3.5.3 Concordance Index (CI)</w:t>
      </w:r>
    </w:p>
    <w:p>
      <w:pPr>
        <w:spacing w:after="80" w:before="80"/>
        <w:ind w:left="720"/>
        <w:jc w:val="left"/>
      </w:pPr>
      <w:r>
        <w:rPr>
          <w:rFonts w:ascii="Courier New" w:cs="Courier New" w:eastAsia="Courier New" w:hAnsi="Courier New"/>
          <w:sz w:val="24"/>
          <w:szCs w:val="24"/>
        </w:rPr>
        <w:t xml:space="preserve">    CI = SUM_{delta_x &gt; delta_y} h(b_y - b_x) / Z</w:t>
      </w:r>
      <w:r>
        <w:rPr>
          <w:rFonts w:ascii="Times New Roman" w:cs="Times New Roman" w:eastAsia="Times New Roman" w:hAnsi="Times New Roman"/>
          <w:i/>
          <w:iCs/>
          <w:sz w:val="24"/>
          <w:szCs w:val="24"/>
        </w:rPr>
        <w:t xml:space="preserve">   ... (36)</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where b_x, b_y are predicted values, delta_x, delta_y are experimental affinities, and Z normalizes over all valid pairs. CI = 1.0 indicates perfect ranking.</w:t>
      </w:r>
    </w:p>
    <w:p>
      <w:pPr>
        <w:pStyle w:val="Heading3"/>
        <w:spacing w:after="120" w:before="240"/>
      </w:pPr>
      <w:r>
        <w:rPr>
          <w:rFonts w:ascii="Times New Roman" w:cs="Times New Roman" w:eastAsia="Times New Roman" w:hAnsi="Times New Roman"/>
          <w:b/>
          <w:bCs/>
          <w:sz w:val="24"/>
          <w:szCs w:val="24"/>
        </w:rPr>
        <w:t xml:space="preserve">3.5.4 Pearson Correlation Coefficient (PCC)</w:t>
      </w:r>
    </w:p>
    <w:p>
      <w:pPr>
        <w:spacing w:after="80" w:before="80"/>
        <w:ind w:left="720"/>
        <w:jc w:val="left"/>
      </w:pPr>
      <w:r>
        <w:rPr>
          <w:rFonts w:ascii="Courier New" w:cs="Courier New" w:eastAsia="Courier New" w:hAnsi="Courier New"/>
          <w:sz w:val="24"/>
          <w:szCs w:val="24"/>
        </w:rPr>
        <w:t xml:space="preserve">    PCC = SUM(y_hat - y_hat_mean)(y - y_mean) / sqrt( SUM(y_hat-y_hat_mean)^2 * SUM(y-y_mean)^2 )</w:t>
      </w:r>
      <w:r>
        <w:rPr>
          <w:rFonts w:ascii="Times New Roman" w:cs="Times New Roman" w:eastAsia="Times New Roman" w:hAnsi="Times New Roman"/>
          <w:i/>
          <w:iCs/>
          <w:sz w:val="24"/>
          <w:szCs w:val="24"/>
        </w:rPr>
        <w:t xml:space="preserve">   ... (37)</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4. Conceptual Architecture Overviews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This section presents conceptual data-flow sketches for six architectural paradigms. These ASCII-art diagrams illustrate the general design philosophy and information flow without referencing specific paper figures.</w:t>
      </w:r>
    </w:p>
    <w:p>
      <w:pPr>
        <w:pStyle w:val="Heading2"/>
        <w:spacing w:after="180" w:before="360"/>
      </w:pPr>
      <w:r>
        <w:rPr>
          <w:rFonts w:ascii="Times New Roman" w:cs="Times New Roman" w:eastAsia="Times New Roman" w:hAnsi="Times New Roman"/>
          <w:b/>
          <w:bCs/>
          <w:sz w:val="28"/>
          <w:szCs w:val="28"/>
        </w:rPr>
        <w:t xml:space="preserve">4.1 CNN-Based Models (DeepDTA, DTI-RCNN)</w:t>
      </w:r>
    </w:p>
    <w:p>
      <w:pPr>
        <w:spacing w:after="0" w:before="0"/>
        <w:jc w:val="center"/>
      </w:pPr>
      <w:r>
        <w:rPr>
          <w:rFonts w:ascii="Courier New" w:cs="Courier New" w:eastAsia="Courier New" w:hAnsi="Courier New"/>
          <w:sz w:val="18"/>
          <w:szCs w:val="18"/>
        </w:rPr>
        <w:t xml:space="preserve">   DRUG SMILES string  →  Character Embedding  →  Conv1D Blocks (filters k)  →  MaxPool  →  d_D</w:t>
      </w:r>
    </w:p>
    <w:p>
      <w:pPr>
        <w:spacing w:after="0" w:before="0"/>
        <w:jc w:val="center"/>
      </w:pPr>
      <w:r>
        <w:rPr>
          <w:rFonts w:ascii="Courier New" w:cs="Courier New" w:eastAsia="Courier New" w:hAnsi="Courier New"/>
          <w:sz w:val="18"/>
          <w:szCs w:val="18"/>
        </w:rPr>
        <w:t xml:space="preserve">   PROTEIN FASTA seq.  →  Character Embedding  →  Conv1D Blocks (filters k)  →  MaxPool  →  d_P</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Concatenate([d_D, d_P]) ──► FC Layers ──► Sigmoid/Linear ──► DTI Score</w:t>
      </w:r>
    </w:p>
    <w:p>
      <w:pPr>
        <w:spacing w:after="60" w:before="6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design: Treats sequences as 1D signals; multiple filter widths capture n-gram patterns at different scales. Simple and fast but ignores molecular graph topology and long-range sequence context.</w:t>
      </w:r>
    </w:p>
    <w:p>
      <w:pPr>
        <w:pStyle w:val="Heading2"/>
        <w:spacing w:after="180" w:before="360"/>
      </w:pPr>
      <w:r>
        <w:rPr>
          <w:rFonts w:ascii="Times New Roman" w:cs="Times New Roman" w:eastAsia="Times New Roman" w:hAnsi="Times New Roman"/>
          <w:b/>
          <w:bCs/>
          <w:sz w:val="28"/>
          <w:szCs w:val="28"/>
        </w:rPr>
        <w:t xml:space="preserve">4.2 GNN-Based Models (GraphDTA, SaeGraphDTI)</w:t>
      </w:r>
    </w:p>
    <w:p>
      <w:pPr>
        <w:spacing w:after="0" w:before="0"/>
        <w:jc w:val="center"/>
      </w:pPr>
      <w:r>
        <w:rPr>
          <w:rFonts w:ascii="Courier New" w:cs="Courier New" w:eastAsia="Courier New" w:hAnsi="Courier New"/>
          <w:sz w:val="18"/>
          <w:szCs w:val="18"/>
        </w:rPr>
        <w:t xml:space="preserve">   SMILES → RDKit Graph G=(V,E) → Atom/Bond Features → GNN Layers (GCN/GAT/GIN) → READOUT → d_drug</w:t>
      </w:r>
    </w:p>
    <w:p>
      <w:pPr>
        <w:spacing w:after="0" w:before="0"/>
        <w:jc w:val="center"/>
      </w:pPr>
      <w:r>
        <w:rPr>
          <w:rFonts w:ascii="Courier New" w:cs="Courier New" w:eastAsia="Courier New" w:hAnsi="Courier New"/>
          <w:sz w:val="18"/>
          <w:szCs w:val="18"/>
        </w:rPr>
        <w:t xml:space="preserve">   PROTEIN FASTA  → One-Hot / Embedding → CNN/RNN Encoder → d_protein</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Concatenate([d_drug, d_protein]) → FC → Affinity / Interaction</w:t>
      </w:r>
    </w:p>
    <w:p>
      <w:pPr>
        <w:spacing w:after="60" w:before="6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design: Molecular topology encoded natively through iterative message passing. Atom-level features propagated through bond neighborhoods. Protein still encoded as sequence; fusion is typically concatenation.</w:t>
      </w:r>
    </w:p>
    <w:p>
      <w:pPr>
        <w:pStyle w:val="Heading2"/>
        <w:spacing w:after="180" w:before="360"/>
      </w:pPr>
      <w:r>
        <w:rPr>
          <w:rFonts w:ascii="Times New Roman" w:cs="Times New Roman" w:eastAsia="Times New Roman" w:hAnsi="Times New Roman"/>
          <w:b/>
          <w:bCs/>
          <w:sz w:val="28"/>
          <w:szCs w:val="28"/>
        </w:rPr>
        <w:t xml:space="preserve">4.3 Transformer-Based Models (TransformerCPI, MolTrans, EmbedDTI)</w:t>
      </w:r>
    </w:p>
    <w:p>
      <w:pPr>
        <w:spacing w:after="0" w:before="0"/>
        <w:jc w:val="center"/>
      </w:pPr>
      <w:r>
        <w:rPr>
          <w:rFonts w:ascii="Courier New" w:cs="Courier New" w:eastAsia="Courier New" w:hAnsi="Courier New"/>
          <w:sz w:val="18"/>
          <w:szCs w:val="18"/>
        </w:rPr>
        <w:t xml:space="preserve">   DRUG tokens     → [CLS, tok1, tok2, ...] → Transformer Encoder (Multi-Head Self-Attn) → d_drug</w:t>
      </w:r>
    </w:p>
    <w:p>
      <w:pPr>
        <w:spacing w:after="0" w:before="0"/>
        <w:jc w:val="center"/>
      </w:pPr>
      <w:r>
        <w:rPr>
          <w:rFonts w:ascii="Courier New" w:cs="Courier New" w:eastAsia="Courier New" w:hAnsi="Courier New"/>
          <w:sz w:val="18"/>
          <w:szCs w:val="18"/>
        </w:rPr>
        <w:t xml:space="preserve">   PROTEIN tokens  → [CLS, aa1, aa2, ...]   → Transformer Encoder (Multi-Head Self-Attn) → d_prot</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Cross-Attention(d_drug, d_prot) or Bilinear Interaction → MLP → DTI Score</w:t>
      </w:r>
    </w:p>
    <w:p>
      <w:pPr>
        <w:spacing w:after="60" w:before="6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design: Self-attention models all-pair token dependencies in parallel. Pre-trained encoders (ChemBERTa, ESM-2) provide rich initialization. Cross-attention enables inter-modal interaction modeling.</w:t>
      </w:r>
    </w:p>
    <w:p>
      <w:pPr>
        <w:pStyle w:val="Heading2"/>
        <w:spacing w:after="180" w:before="360"/>
      </w:pPr>
      <w:r>
        <w:rPr>
          <w:rFonts w:ascii="Times New Roman" w:cs="Times New Roman" w:eastAsia="Times New Roman" w:hAnsi="Times New Roman"/>
          <w:b/>
          <w:bCs/>
          <w:sz w:val="28"/>
          <w:szCs w:val="28"/>
        </w:rPr>
        <w:t xml:space="preserve">4.4 Knowledge Graph-Based Models (TTModel, DTKGIN)</w:t>
      </w:r>
    </w:p>
    <w:p>
      <w:pPr>
        <w:spacing w:after="0" w:before="0"/>
        <w:jc w:val="center"/>
      </w:pPr>
      <w:r>
        <w:rPr>
          <w:rFonts w:ascii="Courier New" w:cs="Courier New" w:eastAsia="Courier New" w:hAnsi="Courier New"/>
          <w:sz w:val="18"/>
          <w:szCs w:val="18"/>
        </w:rPr>
        <w:t xml:space="preserve">   Biomedical KG: {Drug, Protein, Disease, Pathway, ...} + Relation Triples</w:t>
      </w:r>
    </w:p>
    <w:p>
      <w:pPr>
        <w:spacing w:after="0" w:before="0"/>
        <w:jc w:val="center"/>
      </w:pPr>
      <w:r>
        <w:rPr>
          <w:rFonts w:ascii="Courier New" w:cs="Courier New" w:eastAsia="Courier New" w:hAnsi="Courier New"/>
          <w:sz w:val="18"/>
          <w:szCs w:val="18"/>
        </w:rPr>
        <w:t xml:space="preserve">   Entity Embedding: E_drug, E_protein (via TransE / RotatE / intent-GNN)</w:t>
      </w:r>
    </w:p>
    <w:p>
      <w:pPr>
        <w:spacing w:after="0" w:before="0"/>
        <w:jc w:val="center"/>
      </w:pPr>
      <w:r>
        <w:rPr>
          <w:rFonts w:ascii="Courier New" w:cs="Courier New" w:eastAsia="Courier New" w:hAnsi="Courier New"/>
          <w:sz w:val="18"/>
          <w:szCs w:val="18"/>
        </w:rPr>
        <w:t xml:space="preserve">   Relation Embedding: R_dti</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Inner Product (E_drug, E_protein) → Sigmoid → Interaction Score</w:t>
      </w:r>
    </w:p>
    <w:p>
      <w:pPr>
        <w:spacing w:after="60" w:before="6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design: Leverages heterogeneous biomedical relational context. DTKGIN adds latent intent nodes for finer DTI granularity. Limitation: no direct molecular graph or sequence encoding.</w:t>
      </w:r>
    </w:p>
    <w:p>
      <w:pPr>
        <w:pStyle w:val="Heading2"/>
        <w:spacing w:after="180" w:before="360"/>
      </w:pPr>
      <w:r>
        <w:rPr>
          <w:rFonts w:ascii="Times New Roman" w:cs="Times New Roman" w:eastAsia="Times New Roman" w:hAnsi="Times New Roman"/>
          <w:b/>
          <w:bCs/>
          <w:sz w:val="28"/>
          <w:szCs w:val="28"/>
        </w:rPr>
        <w:t xml:space="preserve">4.5 Hybrid GNN + RNN Models (DeepGS/GAT+BiGRU, H-GNN-RNN-DTI)</w:t>
      </w:r>
    </w:p>
    <w:p>
      <w:pPr>
        <w:spacing w:after="0" w:before="0"/>
        <w:jc w:val="center"/>
      </w:pPr>
      <w:r>
        <w:rPr>
          <w:rFonts w:ascii="Courier New" w:cs="Courier New" w:eastAsia="Courier New" w:hAnsi="Courier New"/>
          <w:sz w:val="18"/>
          <w:szCs w:val="18"/>
        </w:rPr>
        <w:t xml:space="preserve"> ┌─────── DRUG BRANCH ──────────┐  ┌──────── PROTEIN BRANCH ──────────┐</w:t>
      </w:r>
    </w:p>
    <w:p>
      <w:pPr>
        <w:spacing w:after="0" w:before="0"/>
        <w:jc w:val="center"/>
      </w:pPr>
      <w:r>
        <w:rPr>
          <w:rFonts w:ascii="Courier New" w:cs="Courier New" w:eastAsia="Courier New" w:hAnsi="Courier New"/>
          <w:sz w:val="18"/>
          <w:szCs w:val="18"/>
        </w:rPr>
        <w:t xml:space="preserve"> │ SMILES → Mol.Graph           │  │ FASTA → Tokenize                 │</w:t>
      </w:r>
    </w:p>
    <w:p>
      <w:pPr>
        <w:spacing w:after="0" w:before="0"/>
        <w:jc w:val="center"/>
      </w:pPr>
      <w:r>
        <w:rPr>
          <w:rFonts w:ascii="Courier New" w:cs="Courier New" w:eastAsia="Courier New" w:hAnsi="Courier New"/>
          <w:sz w:val="18"/>
          <w:szCs w:val="18"/>
        </w:rPr>
        <w:t xml:space="preserve"> │   → H-GAT (3L, 8 heads)      │  │   → ESM-2 embeddings             │</w:t>
      </w:r>
    </w:p>
    <w:p>
      <w:pPr>
        <w:spacing w:after="0" w:before="0"/>
        <w:jc w:val="center"/>
      </w:pPr>
      <w:r>
        <w:rPr>
          <w:rFonts w:ascii="Courier New" w:cs="Courier New" w:eastAsia="Courier New" w:hAnsi="Courier New"/>
          <w:sz w:val="18"/>
          <w:szCs w:val="18"/>
        </w:rPr>
        <w:t xml:space="preserve"> │   → Attention Readout        │  │   → BiLSTM/BiGRU (2L)            │</w:t>
      </w:r>
    </w:p>
    <w:p>
      <w:pPr>
        <w:spacing w:after="0" w:before="0"/>
        <w:jc w:val="center"/>
      </w:pPr>
      <w:r>
        <w:rPr>
          <w:rFonts w:ascii="Courier New" w:cs="Courier New" w:eastAsia="Courier New" w:hAnsi="Courier New"/>
          <w:sz w:val="18"/>
          <w:szCs w:val="18"/>
        </w:rPr>
        <w:t xml:space="preserve"> │   → h_d in R^(n x d)         │  │   → Attention Pooling            │</w:t>
      </w:r>
    </w:p>
    <w:p>
      <w:pPr>
        <w:spacing w:after="0" w:before="0"/>
        <w:jc w:val="center"/>
      </w:pPr>
      <w:r>
        <w:rPr>
          <w:rFonts w:ascii="Courier New" w:cs="Courier New" w:eastAsia="Courier New" w:hAnsi="Courier New"/>
          <w:sz w:val="18"/>
          <w:szCs w:val="18"/>
        </w:rPr>
        <w:t xml:space="preserve"> └──────────────────────────────┘  │   → h_p in R^(m x d)             │</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                                |</w:t>
      </w:r>
    </w:p>
    <w:p>
      <w:pPr>
        <w:spacing w:after="0" w:before="0"/>
        <w:jc w:val="center"/>
      </w:pPr>
      <w:r>
        <w:rPr>
          <w:rFonts w:ascii="Courier New" w:cs="Courier New" w:eastAsia="Courier New" w:hAnsi="Courier New"/>
          <w:sz w:val="18"/>
          <w:szCs w:val="18"/>
        </w:rPr>
        <w:t xml:space="preserve">      ┌─────────────────────────────────────────────────┐</w:t>
      </w:r>
    </w:p>
    <w:p>
      <w:pPr>
        <w:spacing w:after="0" w:before="0"/>
        <w:jc w:val="center"/>
      </w:pPr>
      <w:r>
        <w:rPr>
          <w:rFonts w:ascii="Courier New" w:cs="Courier New" w:eastAsia="Courier New" w:hAnsi="Courier New"/>
          <w:sz w:val="18"/>
          <w:szCs w:val="18"/>
        </w:rPr>
        <w:t xml:space="preserve">      │         GATED CROSS-ATTENTION FUSION             │</w:t>
      </w:r>
    </w:p>
    <w:p>
      <w:pPr>
        <w:spacing w:after="0" w:before="0"/>
        <w:jc w:val="center"/>
      </w:pPr>
      <w:r>
        <w:rPr>
          <w:rFonts w:ascii="Courier New" w:cs="Courier New" w:eastAsia="Courier New" w:hAnsi="Courier New"/>
          <w:sz w:val="18"/>
          <w:szCs w:val="18"/>
        </w:rPr>
        <w:t xml:space="preserve">      │  A_{d-&gt;p} = softmax(Q_d K_p^T / sqrt(d)) V_p   │</w:t>
      </w:r>
    </w:p>
    <w:p>
      <w:pPr>
        <w:spacing w:after="0" w:before="0"/>
        <w:jc w:val="center"/>
      </w:pPr>
      <w:r>
        <w:rPr>
          <w:rFonts w:ascii="Courier New" w:cs="Courier New" w:eastAsia="Courier New" w:hAnsi="Courier New"/>
          <w:sz w:val="18"/>
          <w:szCs w:val="18"/>
        </w:rPr>
        <w:t xml:space="preserve">      │  G_d = sigma(W_g[h_d||A_{d-&gt;p}])                │</w:t>
      </w:r>
    </w:p>
    <w:p>
      <w:pPr>
        <w:spacing w:after="0" w:before="0"/>
        <w:jc w:val="center"/>
      </w:pPr>
      <w:r>
        <w:rPr>
          <w:rFonts w:ascii="Courier New" w:cs="Courier New" w:eastAsia="Courier New" w:hAnsi="Courier New"/>
          <w:sz w:val="18"/>
          <w:szCs w:val="18"/>
        </w:rPr>
        <w:t xml:space="preserve">      │  h_d' = G_d⊙A_{d-&gt;p} + (1-G_d)⊙h_d            │</w:t>
      </w:r>
    </w:p>
    <w:p>
      <w:pPr>
        <w:spacing w:after="0" w:before="0"/>
        <w:jc w:val="center"/>
      </w:pPr>
      <w:r>
        <w:rPr>
          <w:rFonts w:ascii="Courier New" w:cs="Courier New" w:eastAsia="Courier New" w:hAnsi="Courier New"/>
          <w:sz w:val="18"/>
          <w:szCs w:val="18"/>
        </w:rPr>
        <w:t xml:space="preserve">      │  (symmetric for protein branch)                 │</w:t>
      </w:r>
    </w:p>
    <w:p>
      <w:pPr>
        <w:spacing w:after="0" w:before="0"/>
        <w:jc w:val="center"/>
      </w:pPr>
      <w:r>
        <w:rPr>
          <w:rFonts w:ascii="Courier New" w:cs="Courier New" w:eastAsia="Courier New" w:hAnsi="Courier New"/>
          <w:sz w:val="18"/>
          <w:szCs w:val="18"/>
        </w:rPr>
        <w:t xml:space="preserve">      │  h_fused = sigma(W_f [z_d || z_p] + b_f)       │</w:t>
      </w:r>
    </w:p>
    <w:p>
      <w:pPr>
        <w:spacing w:after="0" w:before="0"/>
        <w:jc w:val="center"/>
      </w:pPr>
      <w:r>
        <w:rPr>
          <w:rFonts w:ascii="Courier New" w:cs="Courier New" w:eastAsia="Courier New" w:hAnsi="Courier New"/>
          <w:sz w:val="18"/>
          <w:szCs w:val="18"/>
        </w:rPr>
        <w:t xml:space="preserve">      └─────────────────────────────────────────────────┘</w:t>
      </w:r>
    </w:p>
    <w:p>
      <w:pPr>
        <w:spacing w:after="0" w:before="0"/>
        <w:jc w:val="center"/>
      </w:pPr>
      <w:r>
        <w:rPr>
          <w:rFonts w:ascii="Courier New" w:cs="Courier New" w:eastAsia="Courier New" w:hAnsi="Courier New"/>
          <w:sz w:val="18"/>
          <w:szCs w:val="18"/>
        </w:rPr>
        <w:t xml:space="preserve">                         |</w:t>
      </w:r>
    </w:p>
    <w:p>
      <w:pPr>
        <w:spacing w:after="0" w:before="0"/>
        <w:jc w:val="center"/>
      </w:pPr>
      <w:r>
        <w:rPr>
          <w:rFonts w:ascii="Courier New" w:cs="Courier New" w:eastAsia="Courier New" w:hAnsi="Courier New"/>
          <w:sz w:val="18"/>
          <w:szCs w:val="18"/>
        </w:rPr>
        <w:t xml:space="preserve">           ┌─────────────────────────┐</w:t>
      </w:r>
    </w:p>
    <w:p>
      <w:pPr>
        <w:spacing w:after="0" w:before="0"/>
        <w:jc w:val="center"/>
      </w:pPr>
      <w:r>
        <w:rPr>
          <w:rFonts w:ascii="Courier New" w:cs="Courier New" w:eastAsia="Courier New" w:hAnsi="Courier New"/>
          <w:sz w:val="18"/>
          <w:szCs w:val="18"/>
        </w:rPr>
        <w:t xml:space="preserve">           │      PREDICTION HEAD    │</w:t>
      </w:r>
    </w:p>
    <w:p>
      <w:pPr>
        <w:spacing w:after="0" w:before="0"/>
        <w:jc w:val="center"/>
      </w:pPr>
      <w:r>
        <w:rPr>
          <w:rFonts w:ascii="Courier New" w:cs="Courier New" w:eastAsia="Courier New" w:hAnsi="Courier New"/>
          <w:sz w:val="18"/>
          <w:szCs w:val="18"/>
        </w:rPr>
        <w:t xml:space="preserve">           │  MLP → Sigmoid (class.) │</w:t>
      </w:r>
    </w:p>
    <w:p>
      <w:pPr>
        <w:spacing w:after="0" w:before="0"/>
        <w:jc w:val="center"/>
      </w:pPr>
      <w:r>
        <w:rPr>
          <w:rFonts w:ascii="Courier New" w:cs="Courier New" w:eastAsia="Courier New" w:hAnsi="Courier New"/>
          <w:sz w:val="18"/>
          <w:szCs w:val="18"/>
        </w:rPr>
        <w:t xml:space="preserve">           │  MLP → Linear (regress) │</w:t>
      </w:r>
    </w:p>
    <w:p>
      <w:pPr>
        <w:spacing w:after="0" w:before="0"/>
        <w:jc w:val="center"/>
      </w:pPr>
      <w:r>
        <w:rPr>
          <w:rFonts w:ascii="Courier New" w:cs="Courier New" w:eastAsia="Courier New" w:hAnsi="Courier New"/>
          <w:sz w:val="18"/>
          <w:szCs w:val="18"/>
        </w:rPr>
        <w:t xml:space="preserve">           └─────────────────────────┘</w:t>
      </w:r>
    </w:p>
    <w:p>
      <w:pPr>
        <w:spacing w:after="200" w:before="60"/>
        <w:jc w:val="center"/>
      </w:pPr>
      <w:r>
        <w:rPr>
          <w:rFonts w:ascii="Times New Roman" w:cs="Times New Roman" w:eastAsia="Times New Roman" w:hAnsi="Times New Roman"/>
          <w:b/>
          <w:bCs/>
          <w:i/>
          <w:iCs/>
          <w:sz w:val="20"/>
          <w:szCs w:val="20"/>
        </w:rPr>
        <w:t xml:space="preserve">Figure 1. Conceptual architecture of the proposed H-GNN-RNN-DTI (Abdul-Hadi, 2025). The Gated Cross-Attention Fusion Module enables adaptive bidirectional cross-modal interaction between drug and protein representations, overcoming the limitations of static concatenation.</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5. Detailed Model Reviews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Models are organized by architectural paradigm, progressing from early baselines to current state-of-the-art hybrid frameworks. For each model we present: architecture overview, key innovation, representative mathematical formulation, evaluation datasets, reported performance, and critical limitations.</w:t>
      </w:r>
    </w:p>
    <w:p>
      <w:pPr>
        <w:pStyle w:val="Heading2"/>
        <w:spacing w:after="180" w:before="360"/>
      </w:pPr>
      <w:r>
        <w:rPr>
          <w:rFonts w:ascii="Times New Roman" w:cs="Times New Roman" w:eastAsia="Times New Roman" w:hAnsi="Times New Roman"/>
          <w:b/>
          <w:bCs/>
          <w:sz w:val="28"/>
          <w:szCs w:val="28"/>
        </w:rPr>
        <w:t xml:space="preserve">5.1 CNN-Based Baselines</w:t>
      </w:r>
    </w:p>
    <w:p>
      <w:pPr>
        <w:pStyle w:val="Heading3"/>
        <w:spacing w:after="120" w:before="240"/>
      </w:pPr>
      <w:r>
        <w:rPr>
          <w:rFonts w:ascii="Times New Roman" w:cs="Times New Roman" w:eastAsia="Times New Roman" w:hAnsi="Times New Roman"/>
          <w:b/>
          <w:bCs/>
          <w:sz w:val="24"/>
          <w:szCs w:val="24"/>
        </w:rPr>
        <w:t xml:space="preserve">DeepDTA (Öztürk et al., 2018)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CNN (SMILES + Protein Sequence)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DeepDTA encodes both drug SMILES strings and protein amino acid sequences as character-level inputs, feeding them into independent 1D convolutional blocks with multiple filter widths (4, 6, 8) to capture local n-gram patterns. The resulting fixed-length embeddings are concatenated and passed through fully connected layers to predict continuous binding affinity values.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First deep learning model demonstrating that raw character sequences—without hand-crafted features or 3D structures—suffice for competitive DTA prediction, establishing CNN sequence encoding as a baseline paradigm.</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Convolution: h = ReLU(W * x + b), where * is 1D convolution over character embeddings. Multiple filter widths capture n-grams of different lengths. Global max pooling reduces each filter map to a scalar.</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(30,056 pairs), KIBA (52,498 pairs)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0.878, MSE = 0.261; KIBA: CI = 0.863, MSE = 0.194</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Ignores molecular graph topology; treats SMILES as plain text, losing structural information. CNN protein encoder captures only local context, missing long-range residue dependencies. Static concatenation fusion prevents cross-modal interaction. No interpretability beyond feature importance.</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DTI-RCNN (Bian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CNN + LSTM Hybrid</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DTI-RCNN combines CNNs for local feature extraction from SMILES strings and protein sequences with LSTM layers for modeling sequential dependencies between extracted feature maps. This hybrid captures both local patterns (via CNN) and temporal dependencies (via LSTM), specifically designed to account for gene–drug relationship contexts in interaction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Hybrid CNN–LSTM integration to simultaneously capture local motif patterns and long-range sequential dependencies, particularly targeting gene–drug relational contexts missed by pure CNN or RNN models.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Feature maps from CNN: F = MaxPool(ReLU(W_c * x)). LSTM applied over stacked feature maps: h_t = LSTM(h_{t-1}, F_t). Final classification: y = sigma(W_fc * h_T + 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Benchmark DTI datasets (Human, C. elegans)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AUC competitive with attention-based models; specific values model-variant dependent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SMILES encoding remains character-level; CNN misses molecular topology. LSTM adds computational cost. Concatenation fusion is static. Limited interpretability.</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5.2 GNN-Based Models</w:t>
      </w:r>
    </w:p>
    <w:p>
      <w:pPr>
        <w:pStyle w:val="Heading3"/>
        <w:spacing w:after="120" w:before="240"/>
      </w:pPr>
      <w:r>
        <w:rPr>
          <w:rFonts w:ascii="Times New Roman" w:cs="Times New Roman" w:eastAsia="Times New Roman" w:hAnsi="Times New Roman"/>
          <w:b/>
          <w:bCs/>
          <w:sz w:val="24"/>
          <w:szCs w:val="24"/>
        </w:rPr>
        <w:t xml:space="preserve">GraphDTA (Nguyen et al., 2021)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GNN (Drug) + CNN (Protein)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GraphDTA represents drug molecules as molecular graphs and systematically compares four GNN variants—GCN, GAT, GIN, and GAT-GCN—for drug encoding. Protein sequences are encoded using a CNN with multiple filter widths. The drug graph embedding (via global mean pooling) is concatenated with the protein sequence embedding and passed through dense layers for affinity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First systematic benchmarking of GNN variants for molecular graph encoding in DTA, demonstrating that graph-based drug representation consistently outperforms character-level CNN encoding (SMILES) across multiple GNN architectures.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GAT variant: h_v^(l+1) = ELU(SUM_{j in N(v)} alpha_vj * W h_j^(l)), where alpha_vj is the attention coefficient from Eq. (5)-(6). Global mean pooling: h_G = (1/|V|) SUM_{v} h_v^(L).</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0.893 (GAT), RMSE = 0.229; KIBA: CI = 0.891 (GAT), RMSE = 0.139</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CNN protein encoder ignores long-range residue dependencies; static concatenation fusion. No cross-modal attention between drug and protein representations. Limited interpretability. No cold-start evaluation.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SaeGraphDTI (Zhang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Sequence Attribute Extraction + GNN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SaeGraphDTI integrates drug molecular graph encoding via GNN with protein sequence attribute extraction modules that identify residue-level physicochemical features (charge, hydrophobicity, polarity). These modality-specific representations are fused through a learned weighting mechanism and fed into a classification head for binary DTI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Explicit residue-level physicochemical attribute extraction as a complement to raw sequence encoding, providing richer protein features beyond amino acid identity that improve DTI discrimination.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Attribute-enhanced protein encoding: h_p = CONCAT(h_seq, h_attr), where h_attr captures residue physicochemical features. Drug GNN encoding follows Eq. (1)-(2). Fusion: h_fused = W_f [h_G ||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DAVIS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AUC = 0.91+, AUPR competitive with state-of-the-art on BindingDB</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Attribute extraction is heuristic and may not fully capture structural binding context. Concatenation-based fusion limits cross-modal interaction. No explicit cold-start evaluation or interpretability analysis reported.</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5.3 Attention-Enhanced Models</w:t>
      </w:r>
    </w:p>
    <w:p>
      <w:pPr>
        <w:pStyle w:val="Heading3"/>
        <w:spacing w:after="120" w:before="240"/>
      </w:pPr>
      <w:r>
        <w:rPr>
          <w:rFonts w:ascii="Times New Roman" w:cs="Times New Roman" w:eastAsia="Times New Roman" w:hAnsi="Times New Roman"/>
          <w:b/>
          <w:bCs/>
          <w:sz w:val="24"/>
          <w:szCs w:val="24"/>
        </w:rPr>
        <w:t xml:space="preserve">AttentionDTI (Zhao et al., 2019)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Attention over Molecular Fingerprints + Protein Descriptors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AttentionDTI applies an attention mechanism over molecular fingerprint features and protein composition descriptors to selectively weight informative drug and protein features. The attention layer learns which molecular substructures and amino acid compositions are most discriminative for predicting binary DTI, providing a degree of feature-level interpretability.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Introduced learned attention weighting over hand-crafted molecular and protein features for DTI, establishing attention as a mechanism for feature selection and preliminary interpretability in the field.</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Attention score: a_i = exp(e_i) / SUM_j exp(e_j), where e_i = tanh(W_a h_i + b_a). Attended features: h_att = SUM_i a_i * h_i. Classification: y = sigma(W_c h_att + b_c).</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Human (2,127 pairs), C. elegans (1,434 pairs)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Human: AUC = 0.970, AUPR = 0.967; C. elegans: AUC = 0.966, AUPR = 0.960</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Fingerprint-based drug encoding loses structural 3D topology information. Protein represented as composition descriptors rather than raw sequence, discarding sequence-order information. Binary classification only; no affinity regression.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HyperAttentionDTI (Zhao et al., 2022)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Sequence-Based CNN + Bidirectional Attention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HyperAttentionDTI encodes drugs using CNN layers over SMILES and proteins using CNN layers over amino acid sequences, then applies a bidirectional attention mechanism between drug and protein sequence representations. The attention aligns drug tokens with protein tokens to highlight interaction-relevant positions before concatenation and classification.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Bidirectional sequence-to-sequence attention between drug SMILES tokens and protein amino acid tokens, enabling finer cross-modal alignment than global concatenation while remaining computationally efficient.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Bidirectional attention: A_dp = softmax(H_d H_p^T / sqrt(d)), A_pd = softmax(H_p H_d^T / sqrt(d)). Context vectors: c_d = A_dp H_p, c_p = A_pd H_d. Final: h = [h_d; c_d; h_p; c_p].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 Human, C. elegans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0.882; KIBA: CI = 0.876; Human: AUC = 0.967</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SMILES encoding remains character-level without graph topology. No pre-trained molecular or protein language model embeddings. Attention is cross-sequence but not cross-modal at the substructure/residue level.</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GSAML-DTA (Liao et al., 2022)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GNN + Self-Attention + Mutual Information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GSAML-DTA combines GNN-based drug encoding with self-attention applied over both drug and protein representations. A mutual information module identifies which drug atom embeddings and protein residue embeddings are most informative for binding affinity prediction. The model provides interpretability by attributing binding affinity to specific atoms and residues.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Integration of mutual information maximization as an interpretability and feature selection mechanism, explicitly attributing binding affinity to drug atom and protein residue contributions—pioneering XAI for DTA.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GNN drug: h_G via Eq. (1)-(2). Protein self-attention: h_p = MHA(h_p, h_p, h_p). MI attribution: I(h_atom; y) = H(y) - H(y|h_atom), identifying high-MI atoms/residues as binding-relevant.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RMSE = 0.234, CI = 0.891; KIBA: RMSE = 0.142, CI = 0.893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Mutual information estimation is computationally approximate. Self-attention on protein does not capture long-range dependencies as effectively as Transformers. No cold-start evaluation. Foundation model embeddings not used.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GraphATT-DTA (Bae &amp; Nam, 2023)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Graph Attention (Drug) + Sequence Attention (Protein)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GraphATT-DTA applies graph attention networks to drug molecular graphs to identify important compound substructures, and sequence attention over protein amino acid encodings to highlight important protein subsequences. Attention weights from both branches are visualized to provide residue-level and atom-level interpretability for DTA predictions.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Dual-branch attention interpretability providing simultaneous compound substructure and protein subsequence importance scores, making GraphATT-DTA one of the earlier models with explicit bidirectional XAI output.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Drug: atom importance alpha_v = softmax(W_attn h_v^(L)), h_G = SUM_v alpha_v h_v. Protein: residue attn a_t = softmax(u^T tanh(W_s h_t)), h_P = SUM_t a_t h_t. Both used for visualization and fusion.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0.896, MSE = 0.211; KIBA: CI = 0.893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Graph attention identifies important substructures but lacks residue-level binding site validation against crystal structures. Protein attention does not model 3D folding. No cold-start evaluation reported.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MutualDTA (Yuan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Pre-Trained Encoders + Mutual-Attention Fusion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MutualDTA integrates pre-trained molecular language model embeddings (ChemBERTa) for drug encoding and ESM-2 protein language model embeddings for protein encoding. A Mutual-Attention module explicitly establishes pairwise relationships between drug atom embeddings and protein residue embeddings, enabling bidirectional attribution for interpretability.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Leveraging state-of-the-art pre-trained language models for both drug and protein modalities combined with a Mutual-Attention module that explicitly links drug atom and protein residue embeddings for fine-grained interpretability—advancing XAI in DTA.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Mutual attention: M = softmax(H_d W H_p^T). Drug context: C_d = M H_p. Protein context: C_p = M^T H_d. Fused: h = W_f [H_d + C_d || H_p + C_p] + b. Binding hotspots identified via M visualization.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0.908, MSE = 0.198; KIBA: CI = 0.917</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Pre-trained models require large GPU memory for fine-tuning. Mutual attention is bilinear and quadratic in sequence lengths, limiting scalability to very long proteins. Cold-start performance not systematically reported.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EHIGN (Yang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Interaction-Based Inductive Bias GNN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EHIGN (Enhancing Interaction-based Graph Neural Network) introduces an interaction-based inductive bias by explicitly modeling pairwise atom–atom interactions between drug and protein atoms in 3D space. The model uses geometric distance features between drug atoms and protein residues to learn physically consistent interaction representations, enabling prediction of binding affinity changes in protein variants (e.g., SARS-CoV-2 variants).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Physical atom–atom interaction modeling as an explicit inductive bias in the GNN, allowing the model to capture binding site geometry changes across protein variants—critical for variant-aware drug design.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Interaction tensor: I_{ij} = MLP([h_i || h_j || d_ij]), where d_ij is the geometric distance between drug atom i and protein residue j. GNN aggregates I_{ij} over neighborhoods. Binding affinity: y_hat = MLP(READOUT(I)).</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PDBbind (protein–ligand complexes), SARS-CoV-2 variant datasets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PDBbind: RMSE = 1.31 Å-equivalent, competitive with structure-aware models; strong performance on variant binding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Requires 3D protein structures, limiting applicability to targets without experimental or AlphaFold structures. Training on PDBbind biases toward structurally characterized interactions. Computationally expensive for large-scale screening.</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5.4 Transformer-Based Models</w:t>
      </w:r>
    </w:p>
    <w:p>
      <w:pPr>
        <w:pStyle w:val="Heading3"/>
        <w:spacing w:after="120" w:before="240"/>
      </w:pPr>
      <w:r>
        <w:rPr>
          <w:rFonts w:ascii="Times New Roman" w:cs="Times New Roman" w:eastAsia="Times New Roman" w:hAnsi="Times New Roman"/>
          <w:b/>
          <w:bCs/>
          <w:sz w:val="24"/>
          <w:szCs w:val="24"/>
        </w:rPr>
        <w:t xml:space="preserve">TransformerCPI (Chen et al., 2020)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Transformer (Drug) + CNN (Protein)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TransformerCPI applies a Transformer encoder with multi-head self-attention to drug SMILES token sequences, capturing global dependencies between distant molecular substructures. Protein sequences are encoded using a CNN. Cross-modal interaction is modeled through a multi-layer Transformer that integrates drug and protein embeddings, enabling compound–protein interaction (CPI)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Application of Transformer self-attention to drug SMILES encoding, enabling global dependency modeling across the molecular token sequence—surpassing the local receptive field limitation of CNN-based drug encoders.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Drug Transformer: H_d = TransEnc(Embed(SMILES)). MultiHead: see Eq. (21). Cross-modal layer: H_joint = TransEnc([H_d; H_p]). Classification: y = sigma(MLP(CLS token)).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Human, C. elegans, DAVIS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Human: AUC = 0.971; C. elegans: AUC = 0.974; DAVIS: CI = 0.886</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Quadratic self-attention cost limits scalability to long sequences. CNN protein encoder remains local. No pre-trained Transformer initialization (trained from scratch). No cold-start evaluation.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MolTrans (Huang et al., 2021)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Augmented Transformer + Substructure Interaction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MolTrans introduces an augmented Transformer that explicitly encodes drug substructure patterns via a frequency-based interaction mining module. Drug–protein interaction is modeled through a Transformer cross-attention block that aligns drug substructures with protein subsequences. The augmentation provides structural chemistry knowledge beyond raw sequence patterns.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Frequency-based substructure mining to augment Transformer token representations with domain-specific structural patterns, improving interaction prediction without requiring molecular graphs.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Substructure augmentation: E_sub = Embed(freq_mined_substructures). Augmented drug enc.: H_d = TransEnc([Embed(SMILES); E_sub]). Cross-modal Transformer: H_joint = TransEnc(Cross-Attn(H_d, H_p,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(classification): AUC = 0.953, AUPR = 0.879; DAVIS: CI = 0.895</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Substructure mining is heuristic. Transformer pre-training from scratch on limited DTI data may underperform pre-trained language models. Quadratic attention cost. No explicit cold-start evaluation protocol.</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EmbedDTI (Jin et al., 2021)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Sequence Embeddings + GCN + Attention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EmbedDTI uses pre-trained molecular embeddings for drug encoding via a Graph Convolutional Network and contextual protein sequence embeddings. An attention module identifies crucial drug–target interaction components by attending over drug atom embeddings and protein residue embeddings simultaneously, providing interpretability alongside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Combined pre-trained embeddings with GCN and attention-based interpretability, providing both improved representational quality through transfer learning and biological insight into interaction loci.</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GCN drug: h_G = READOUT(GCN(G, E_pretrained)). Protein: h_P = Attn-Pool(BiLSTM(E_pretrained)). Cross-attention identifies key atoms/residues: see Eq. (22)-(23) cross-attention framework.</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Human, C. elegans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0.891; Human: AUC = 0.969</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Pre-trained embeddings available at time of publication were less powerful than current foundation models (ESM-2, ChemBERTa). Cold-start generalization not evaluated. Interpretability validated qualitatively but not quantitatively against crystal structures.</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5.5 Knowledge Graph-Based Models</w:t>
      </w:r>
    </w:p>
    <w:p>
      <w:pPr>
        <w:pStyle w:val="Heading3"/>
        <w:spacing w:after="120" w:before="240"/>
      </w:pPr>
      <w:r>
        <w:rPr>
          <w:rFonts w:ascii="Times New Roman" w:cs="Times New Roman" w:eastAsia="Times New Roman" w:hAnsi="Times New Roman"/>
          <w:b/>
          <w:bCs/>
          <w:sz w:val="24"/>
          <w:szCs w:val="24"/>
        </w:rPr>
        <w:t xml:space="preserve">TTModel (Li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Knowledge Graph Embedding (Text + Type Information)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TTModel is a KG embedding framework that integrates two complementary encoders: a relation triple encoder capturing structural (relation type) and textual (biomedical text description) features of drug–target triples, and a type triple encoder capturing latent entity-type information (e.g., drug class, target family). Combining these encoders improves prediction in sparse KG scenarios.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Dual-encoder design that enriches KG embeddings with both biomedical textual descriptions and entity type information, substantially improving performance for sparse protein families (NR, GPCR) where structural features alone are insufficient.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Relation triple: e_drt = MLP([E_d; E_r; E_t]). Type triple: e_dt = MLP([E_type_d; E_type_t]). Combined score: s(d,t) = sigma(MLP([e_drt; e_dt])). Trained with pairwise ranking loss.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Yamanishi_08 (enzyme, IC, GPCR, NR), custom KG from DrugBank/UniProt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GPCR: AUPR = 0.95; NR: AUPR = 0.93; Enzyme: AUPR = 0.97</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No direct molecular graph or amino acid sequence encoding; relies entirely on KG completeness. Performance degrades significantly for incomplete KGs. No dynamic cross-modal attention between drug and protein modalities. No cold-start formal evaluation.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DTKGIN (Luo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Knowledge Graph + Intent Graph Neural Network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DTKGIN enriches the standard drug–target KG with latent intent nodes that represent coarse-grained interaction intents (e.g., inhibitory, activating). Drug and target embeddings are updated through relation-path-aware GNN aggregation over both the KG and intent graph, enabling the model to distinguish interaction purposes at a finer granularity. This improves cold-start scenario performance compared to standard KG methods.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Introduction of latent intent nodes in the drug–target KG to capture interaction intent at varying granularities, enabling more robust cold-start generalization through richer relational structure.</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Intent-aware aggregation: h_d^(l) = AGG_GNN({h_n, r_dn : n in N_KG+intent(d)}). Prediction: s(d,t) = h_d^(L) * h_t^(L) (inner product). Intent node count tuned as hyperparameter (optimal ~8).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Yamanishi_08 (cold-start: S1/S2/S3)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S1 (warm): AUC=0.950, AUPR=0.941; S2 (cold-drug): AUC=0.894, AUPR=0.753; S3 (cold-target): AUC=0.851, AUPR=0.660</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No modality-specific encoders (GNN for molecular graphs, RNN for sequences). Inner product prediction lacks expressive cross-modal attention. Intent node count is dataset-specific. Pre-trained foundation model embeddings not incorporated.</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5.6 Network-Based Hybrid Models</w:t>
      </w:r>
    </w:p>
    <w:p>
      <w:pPr>
        <w:pStyle w:val="Heading3"/>
        <w:spacing w:after="120" w:before="240"/>
      </w:pPr>
      <w:r>
        <w:rPr>
          <w:rFonts w:ascii="Times New Roman" w:cs="Times New Roman" w:eastAsia="Times New Roman" w:hAnsi="Times New Roman"/>
          <w:b/>
          <w:bCs/>
          <w:sz w:val="24"/>
          <w:szCs w:val="24"/>
        </w:rPr>
        <w:t xml:space="preserve">GSRF-DTI (Zhu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DeepWalk + GraphSAGE + Random Forest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GSRF-DTI constructs homogeneous drug–drug and target–target similarity networks from chemical and sequence features, then builds a drug–target pair network (DTP-NET). DeepWalk extracts topological feature embeddings from these networks. GraphSAGE learns representations from DTP-NET. A Random Forest classifier makes final interaction predictions, with binary interaction labels based on known DTI databases.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Integration of network topological information (DeepWalk) with graph representation learning (GraphSAGE) and ensemble classification (Random Forest), achieving strong performance on large-scale heterogeneous network datasets.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DeepWalk: random walk sequence → word2vec embedding h_v. GraphSAGE: h_v^(l) = sigma(W^(l) [h_v^(l-1) || MEAN_{u in N(v)} h_u^(l-1)]) per Eq. (7). RF classifier on [h_drug; h_target].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Luo_17 (1,923 drugs, 3,770 targets)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AUROC = 0.9818, AUPR = 0.9839 on Luo_17</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Static late-fusion (concatenation) prevents dynamic cross-modal interaction. No GNN molecular graph or RNN sequence encoding; relies on network-level similarity features. Random Forest lacks atom/residue-level interpretability. Acknowledged data imbalance limitation. No cold-start evaluation. No pre-trained embeddings.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RSGCL-DTI (Bian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Relational Similarity Graph + Contrastive Learning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RSGCL-DTI constructs relational similarity graphs for both drugs and proteins based on structural and sequence similarity metrics. Graph contrastive learning is applied to learn robust, invariant representations by maximizing agreement between augmented views of the same drug or protein. These pretrained representations are fused for DTI prediction, improving generalization through self-supervised pretraining.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Application of graph contrastive learning to DTI, using data augmentation and similarity graphs to learn transferable representations that generalize better to unseen drug–target pairs than supervised-only approaches.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Contrastive loss: L_cl = -log( exp(sim(h_i, h_j)/tau) / SUM_{k!=i} exp(sim(h_i, h_k)/tau) ), where sim is cosine similarity, tau is temperature. Supervised loss added for DTI classification.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Yamanishi_08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AUC = 0.942, AUPR = 0.938; Yamanishi_08: AUC = 0.947</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Contrastive pretraining requires careful augmentation design for molecular graphs (not trivial). Cold-start performance improved but not systematically benchmarked across S1/S2/S3. Interpretability mechanisms not included.</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5.7 Advanced Multi-Modal Fusion Models</w:t>
      </w:r>
    </w:p>
    <w:p>
      <w:pPr>
        <w:pStyle w:val="Heading3"/>
        <w:spacing w:after="120" w:before="240"/>
      </w:pPr>
      <w:r>
        <w:rPr>
          <w:rFonts w:ascii="Times New Roman" w:cs="Times New Roman" w:eastAsia="Times New Roman" w:hAnsi="Times New Roman"/>
          <w:b/>
          <w:bCs/>
          <w:sz w:val="24"/>
          <w:szCs w:val="24"/>
        </w:rPr>
        <w:t xml:space="preserve">iNGNN-DTI (Sun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Nested GNN + Cross-Attention + Pre-Trained Embeddings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iNGNN-DTI employs a nested graph neural network architecture where an outer GNN processes the drug–protein interaction graph and inner GNNs process individual molecular and protein subgraphs. Cross-attention modules capture fine-grained pairwise interactions between drug substructures and protein regions. Pre-trained molecular and protein embeddings are used for initialization, enhancing representation quality and cold-start performance.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Nested GNN design that models both intra-molecular topology and inter-molecular interaction context simultaneously, combined with cross-attention and pretrained embeddings—making iNGNN-DTI one of the most architecturally comprehensive DTI models.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Outer GNN: h_pair = GNN_outer(G_interaction). Inner GNNs: h_d = GNN_d(G_drug), h_p = GNN_p(G_prot). Cross-attention between h_d and h_p per Eq. (22)-(23). Pre-trained init.: h_d^(0) from ChemBERTa, h_p^(0) from ESM-2.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DAVIS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AUC = 0.963, AUPR = 0.947; DAVIS: CI = 0.904</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Nested GNN is computationally expensive, limiting scalability. Protein graph construction requires secondary structure information (not always available). Performance on cold-start not comprehensively reported.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Top-DTI (Talo &amp; Bozdag,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TDA + Large Language Models + GNN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Top-DTI integrates Topological Data Analysis (TDA) features derived from persistent homology of molecular point clouds with Large Language Model semantic embeddings (BioBERT for drugs, ESM-2 for proteins) and GNN structural features. These heterogeneous feature types are fused through a multi-modal Transformer, with TDA providing topological invariants that capture global molecular shape beyond local GNN neighborhoods.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Novel integration of TDA persistent homology features with LLM embeddings and GNN structural features, capturing topological invariants (connected components, loops, voids) that encode global molecular geometry inaccessible to local message-passing GNNs.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TDA: Persistence diagram P = {(b_i, d_i)} from Vietoris-Rips filtration of atom coordinates. Persistence images converted to fixed-length vectors v_TDA. Fusion: h_fused = TransEnc([v_TDA; h_LLM; h_GNN]). Strong cold-start generalization via LLM initialization.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DAVIS, Yamanishi_08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Yamanishi_08 S2 (cold-drug): AUC = 0.921; S3 (cold-target): AUC = 0.883; DAVIS: CI = 0.906</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TDA computation is expensive for large molecular datasets. Requires atom coordinates (3D structure or conformation generation). LLMs require substantial GPU memory. TDA features may be redundant with GNN structural features in some cases.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HMSA-DTI (Bian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Hierarchical Multimodal Self-Attention GNN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HMSA-DTI employs a hierarchical multimodal self-attention framework that captures both intra-modal and inter-modal dependencies across three input modalities: SMILES strings, molecular graphs, and protein sequences. Hierarchical attention first aggregates within each modality, then applies cross-modal attention between drug and protein representations, providing multi-scale interaction modeling.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Three-modality hierarchical attention that integrates character-level SMILES, graph-level molecular structure, and protein sequence in a unified architecture—the only model to exploit all three drug representation types simultaneously.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Intra-modal: h_SMILES = MHA(H_SMILES), h_graph = MHA(H_GNN), h_prot = MHA(H_prot). Inter-modal: h_dp = MHA([h_SMILES; h_graph], h_prot, h_prot). Final: h = W_f [h_SMILES; h_graph; h_dp].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Yamanishi_08,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Yamanishi_08: AUC = 0.962, AUPR = 0.938</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Three-modality architecture increases training complexity and data requirements. SMILES and graph representations contain overlapping information, potentially creating redundancy. No formal cold-start evaluation in S2/S3 settings. Foundation model pretraining not incorporated.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DeepGS (GAT+BiGRU) (Zhijian et al., 2022)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Graph Attention Network + Bidirectional GRU</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DeepGS is a prototypical GNN+RNN hybrid model. It employs a Graph Attention Network (GAT) for molecular graph encoding of drug molecules and a Bidirectional GRU (BiGRU) for protein sequence encoding. The GAT captures drug topology with attention-weighted neighbor aggregation, while the BiGRU captures both upstream and downstream sequence dependencies in protein amino acid chains. Representations are fused via concatenation.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Clean and well-motivated GNN+RNN hybrid establishing GAT+BiGRU as an effective dual-branch architecture for DTI/DTA, demonstrating that pairing topology-aware drug encoding with context-aware protein sequence modeling outperforms single-architecture approaches.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GAT drug: h_v = sigma(SUM_{j in N(v)} alpha_vj W h_j) per Eq. (4)-(6). BiGRU protein: h_t = [GRU_fwd(x_t); GRU_bwd(x_t)] per Eq. (15)-(19). Context: h_P = Attn-Pool(h_1,...,h_T). Final: y = MLP([h_G;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Yamanishi_08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0.892; Yamanishi_08: AUC = 0.941</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Static concatenation fusion; no cross-modal attention between GAT atom embeddings and BiGRU residue embeddings. No pre-trained foundation model embeddings. Limited cold-start generalization evaluation. No explicit interpretability beyond GAT attention weights.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GDGRU-DTA (Zhijian et al., 2022)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GNN + Double GRU (Drug + Protein)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GDGRU-DTA employs GNN layers for drug molecular graph encoding and a double GRU architecture for both drug SMILES sequence and protein amino acid sequence encoding. This dual-level drug encoding captures both structural topology (via GNN) and sequential grammar of SMILES (via GRU), while the protein GRU encodes residue-level sequential dependencies.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Double GRU strategy that applies RNN encoding to both SMILES character sequences and protein sequences simultaneously, complementing GNN structural encoding with sequential context at the character level—a unique dual-drug-representation approach.</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Drug: h_GNN (from Eq. 1-2), h_SMILES (from GRU over SMILES chars). Protein: h_prot (from GRU over amino acids). Final: h_fused = MLP([h_GNN; h_SMILES; h_prot]).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0.889; KIBA: CI = 0.878</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SMILES GRU and GNN encode overlapping information. No cross-modal attention. Triple concatenation may introduce redundancy. No pre-trained embeddings. Cold-start not evaluated.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MMDG-DTI (Hua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Multimodal Feature Fusion + Domain Generalization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MMDG-DTI addresses cross-dataset generalization through a domain generalization framework applied to multimodal drug–protein representations. Drug features are encoded from molecular graphs using GNN, and protein features from sequences using CNN/RNN. A domain adversarial training strategy aligns feature distributions across source datasets, enabling better transfer to unseen target datasets.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Explicit domain generalization through adversarial training for DTI, enabling the model to learn domain-invariant multimodal representations that transfer across datasets with different experimental protocols—addressing a critical gap in cross-dataset transferability.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Domain discriminator D: min_{theta_enc} max_{theta_D} L_DTI - lambda * L_domain. Domain loss: L_domain = BCE(D(h_fused), domain_label). Generalization: encoded features become domain-invariant while maintaining DTI prediction accuracy.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(train) → DAVIS, KIBA (test transfer)</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BindingDB-&gt;DAVIS CI = 0.878 (cross-dataset); intra-dataset DAVIS CI = 0.906</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Adversarial training can be unstable; requires careful tuning of lambda. Domain labels require access to multiple source datasets during training. Fusion is concatenation-based without dynamic cross-modal attention.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GS-DTI (Yu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Graph-Structure-Aware Framework + LLM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GS-DTI integrates graph-structure-aware drug encoding with Large Language Model embeddings for both drug (via SMILES LLM) and protein (via protein LLM) representations. A graph structure awareness module explicitly identifies local subgraph patterns (rings, functional groups) and globally relevant motifs in the molecular graph, combining structural and semantic LLM features for richer drug representation.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Graph-structure-aware encoding that explicitly identifies and weights structurally significant local motifs (rings, functional groups) within the molecular graph, combining graph topology awareness with LLM semantic understanding in a unified framework.</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Structure-aware: h_motif = GNN(G) with motif-level pooling. LLM: h_LLM = LLM(SMILES). Drug: h_d = W_d [h_motif; h_LLM]. Protein: h_p = LLM(FASTA). Fusion: h_fused = CrossAttn(h_d,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DAVIS, DrugBank</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AUC = 0.961, AUPR = 0.952; DAVIS: CI = 0.901</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LLM inference is computationally expensive. Motif identification is heuristic. Cross-dataset cold-start formally evaluated only partially. Interpretability limited to attention weights without biological validation against binding site data.</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IHDFN-DTI (Zhang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Interpretable Hybrid Deep Feature Fusion Network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IHDFN-DTI builds an interpretable hybrid model by combining GNN-based drug structural encoding with Transformer-based protein sequence encoding, fusing them through a multi-head cross-attention module. An intrinsic interpretability module attributes predictions to specific drug atom substructures and protein residue regions through attention weight analysis, validated against known binding sites.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Interpretable hybrid fusion with explicit post-hoc validation of attention-based attribution against experimentally known binding sites, making IHDFN-DTI a methodologically rigorous XAI model for DTI.</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Drug: h_d = GNN(G) (Eq. 1-2). Protein: h_p = TransEnc(FASTA). Cross-attn: h_dp = MultiHead(h_d, h_p, h_p) (Eq. 21). Interpretability: attention map A_{dp} visualized as binding site heatmap. Validation: compare A_{dp} against PDB crystal contacts.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0.905, RMSE = 0.219; KIBA: CI = 0.912; Interpretability accuracy: &gt;80% overlap with known binding residues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Cross-attention is quadratic in sequence lengths. Validation against PDB binding sites requires 3D structural data not always available. Cold-start generalization limited—no pre-trained foundation model initialization reported.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SS-DTI (Chun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Semantic + Structural Information Integration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SS-DTI integrates semantic information from biomedical text descriptions of drugs and proteins (via text embeddings) with structural information from molecular graphs (GNN) and protein sequences (RNN). A learned fusion module combines semantic context with structural features, addressing cases where structural data alone is insufficient for accurate DTI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Explicit integration of semantic (text-based) drug and protein descriptors with structural (graph/sequence) encodings, enriching representations with domain knowledge not encoded in molecular topology or amino acid sequence alone.</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Semantic: h_sem_d = BERT(drug_description), h_sem_p = BERT(prot_description). Structural: h_str_d = GNN(G), h_str_p = RNN(FASTA). Fusion: h_d = W_ds [h_sem_d; h_str_d], h_p = W_ps [h_sem_p; h_str_p]. Prediction: MLP([h_d;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Human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Human: AUC = 0.974, AUPR = 0.971; BindingDB: AUC = 0.958</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Biomedical text descriptions may be incomplete or inconsistent. BERT semantic embeddings require large GPU memory. Fusion is concatenation-based without dynamic cross-modal interaction. Cold-start not formally evaluated.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MINDG (Yang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Multi-View Integrated Learning Algorithm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MINDG employs an integrated learning algorithm that combines multiple drug and protein feature views (graph, sequence, physicochemical, network topology) using a weighted multi-view fusion strategy. Adaptive view weighting learns the relative importance of each feature type for a given drug–target pair, providing a flexible, data-driven multi-view DTI framework.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Adaptive multi-view weighting that dynamically assigns importance to different feature types (graph, sequence, network, physicochemical) for each drug–target pair, enabling data-driven feature selection across heterogeneous modalities.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Multi-view: H = {H_graph, H_seq, H_physchem, H_net}. Adaptive weights: w_k = softmax(MLP(H_k)). Fused: h = SUM_k w_k H_k. Classification: y = MLP(h).</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Yamanishi_08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Yamanishi_08: AUC = 0.958, AUPR = 0.943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Multi-view construction increases preprocessing complexity. Adaptive weighting adds parameters. Some feature views (network) face cold-start limitations. No cross-modal attention between drug and protein atom/residue embeddings.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NHGNN-DTA (He et al., 2023)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Node-Adaptive Hybrid GNN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NHGNN-DTA introduces a node-adaptive mechanism within the GNN drug encoder that dynamically adjusts the aggregation function based on local node (atom) properties—using different aggregation functions for atoms with different chemical environments (e.g., aromatic vs. aliphatic). This adaptability provides richer drug representations. Protein sequences are encoded using GRU with attention pooling.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Node-adaptive GNN aggregation that applies different message-passing functions based on atom type and chemical environment, providing more expressive and chemically meaningful drug molecular representations than uniform aggregation.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Adaptive aggregation: h_v^(l+1) = sigma(W_{type(v)} AGG_{type(v)}({h_u : u in N(v)})), where type(v) in {aromatic, aliphatic, ring, ...}. Protein: h_P = AttnPool(GRU(FASTA)). Prediction: MLP([h_G;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0.904, RMSE = 0.218; KIBA: CI = 0.916, RMSE = 0.131</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Node type categorization is heuristic. Adaptive weights increase parameter count. No cross-modal attention fusion. Foundation model embeddings not incorporated. Cold-start not evaluated.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HiGraphDTI (Liu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Hierarchical Graph Representation Learning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HiGraphDTI constructs hierarchical molecular graph representations that capture both atom-level (local) and substructure-level (global) features through multiple pooling stages. A hierarchical GNN aggregates atom features into functional group embeddings, which are further aggregated into molecular-level representations. Protein sequences are encoded using a bidirectional encoder, with both hierarchical drug and protein representations fused for DTI/DTA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Multi-scale hierarchical drug graph encoding that captures features at atom, functional group, and molecular levels, providing a coarse-to-fine structural representation that bridges local and global molecular understanding.</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Hierarchy level 1: h_atom = GNN_atom(G). Level 2: h_group = GNN_group(G_coarsened) where G_coarsened clusters atoms into functional groups. Level 3: h_mol = READOUT(h_group). Protein: h_prot = BiEncoder(FASTA). Prediction: MLP([h_mol; h_prot]).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0.902; KIBA: CI = 0.908; BindingDB AUC = 0.953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Coarsening (functional group identification) is heuristic. Hierarchical GNN is computationally expensive. Cross-modal attention between hierarchical levels and protein not explored. Cold-start not formally evaluated.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MFCADTI (Quan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Multiple Feature Cross-Attention Mechanism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MFCADTI integrates multiple drug feature types (molecular graph, SMILES-derived fingerprints, physicochemical properties) and protein features (sequence embedding, physicochemical descriptors) through a cross-attention mechanism that enables each feature type to attend to others. This multi-source cross-attention fusion yields a rich, interaction-aware joint representation for DTI prediction.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Multi-source cross-attention that enables each drug feature type to attend to each protein feature type and vice versa, modeling feature-type-specific cross-modal interactions that single cross-attention modules miss.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Multi-source drug features: {h_graph, h_fp, h_phys}. Cross-attention each pair: A_{i,j} = Attn(h_i, h_j, h_j) for i in drug features, j in protein features. Fused: h = MLP(CONCAT(A_{i,j} for all i,j)). Prediction: sigmoid(MLP(h)).</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Yamanishi_08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AUC = 0.964, AUPR = 0.950; Yamanishi_08: AUC = 0.960</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Multi-source feature construction increases preprocessing overhead. Cross-attention across all feature pairs grows quadratically. Cold-start performance reported only on warm-split settings. Foundation model embeddings not incorporated.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ViDTA (Li et al., 2024)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Virtual Graph Nodes + Attention-Based Feature Fusion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ViDTA introduces virtual graph nodes as learnable global context nodes in the drug molecular graph. These virtual nodes aggregate information from all atom nodes in each message-passing iteration, acting as global receptors that overcome the limited receptive field of standard GNN message passing. Protein features are extracted using CNN encoders with attention pooling, and fused with the drug representation via an attention-based fusion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Virtual graph node mechanism that creates global context nodes in the molecular graph, enabling all-node information exchange without the over-smoothing risk of deep GNN stacking—providing global molecular context while maintaining local structural detail.</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Virtual nodes: add V_virtual to G such that V_virtual is connected to all atoms. Message passing: h_virtual^(l) = AGG({h_v^(l-1) : v in V}) (global aggregation). h_v^(l) includes messages from h_virtual^(l-1). h_G = READOUT([h_atoms; h_virtual]).</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CI = 0.905; KIBA: CI = 0.914</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Virtual nodes increase graph size and message-passing cost. Optimal number of virtual nodes is a sensitive hyperparameter. Cross-modal fusion is attention-based but not gated. Cold-start not evaluated. Foundation model embeddings not used.</w:t>
      </w:r>
    </w:p>
    <w:p>
      <w:pPr>
        <w:spacing w:after="60" w:before="60"/>
      </w:pPr>
      <w:r>
        <w:t xml:space="preserve"/>
      </w:r>
    </w:p>
    <w:p>
      <w:pPr>
        <w:pStyle w:val="Heading2"/>
        <w:spacing w:after="180" w:before="360"/>
      </w:pPr>
      <w:r>
        <w:rPr>
          <w:rFonts w:ascii="Times New Roman" w:cs="Times New Roman" w:eastAsia="Times New Roman" w:hAnsi="Times New Roman"/>
          <w:b/>
          <w:bCs/>
          <w:sz w:val="28"/>
          <w:szCs w:val="28"/>
        </w:rPr>
        <w:t xml:space="preserve">5.8 Cold-Start Focused Models</w:t>
      </w:r>
    </w:p>
    <w:p>
      <w:pPr>
        <w:pStyle w:val="Heading3"/>
        <w:spacing w:after="120" w:before="240"/>
      </w:pPr>
      <w:r>
        <w:rPr>
          <w:rFonts w:ascii="Times New Roman" w:cs="Times New Roman" w:eastAsia="Times New Roman" w:hAnsi="Times New Roman"/>
          <w:b/>
          <w:bCs/>
          <w:sz w:val="24"/>
          <w:szCs w:val="24"/>
        </w:rPr>
        <w:t xml:space="preserve">DrugBAN (Bai et al., 2023)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Bilinear Attention Network + Domain Adaptation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DrugBAN uses a bilinear attention network (BAN) to compute pairwise interactions between drug atom embeddings (from GNN) and protein residue embeddings (from CNN/RNN), producing an interaction map that explicitly models atom-residue binding pairs. A domain adaptation module aligns feature distributions between known and novel drug–target pairs, explicitly targeting cold-start generalization.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Bilinear attention network that computes a full pairwise drug atom-protein residue interaction matrix, providing fine-grained interaction modeling beyond global embedding similarity—combined with domain adaptation for cold-start scenarios.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BAN: I = h_d^T W_B h_p, where W_B in R^(d_d x d_p) is a bilinear parameter matrix. Attended: c = SOFTMAX(I) * h_p. Domain adaptation: MMD(h_source, h_target) minimized during training to align distributions.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Human, C. elegans (cold-drug and cold-target splits)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cold-drug: AUC = 0.919; cold-target: AUC = 0.903; warm: AUC = 0.953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Bilinear interaction matrix is O(n*m) in atom and residue count. Domain adaptation requires access to target-domain data during training. Foundation model embeddings not incorporated in original implementation.</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CoaDTI (Wang et al., 2022)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Co-Attention Network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CoaDTI employs a co-attention mechanism that simultaneously learns attention weights for drug features conditioned on protein features, and attention weights for protein features conditioned on drug features. This conditional mutual attention allows drug and protein representations to refine each other iteratively, providing richer cross-modal interaction than one-directional attention.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Conditional co-attention enabling drug and protein representations to mutually guide feature refinement in both directions simultaneously—a simpler precursor to the full cross-attention fusion used in more recent models.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Co-attention: A_d = softmax(F_d W_c F_p^T) (drug attn conditioned on protein). A_p = softmax(F_p W_c F_d^T) (protein attn conditioned on drug). Refined: h_d' = A_d F_d, h_p' = A_p F_p. Prediction: MLP([h_d';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Human, C. elegans,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Human: AUC = 0.971; BindingDB: AUC = 0.951</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Co-attention without gating may not adequately balance cross-modal vs. original modality information. Simpler drug/protein encoders (not GNN/RNN). Cold-start performance not systematically reported with S1/S2/S3 protocol.</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ICAN (Song et al., 2023)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Interaction-Aware Cross-Attention Network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ICAN introduces an interaction-aware cross-attention module that conditions the cross-attention computation on predicted interaction patterns (e.g., known binding pharmacophores). This interaction-conditioned attention focuses cross-modal feature alignment on interaction-relevant drug and protein regions, improving both accuracy and interpretability by explicitly modeling known pharmacophoric interaction types.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Pharmacophore-conditioned cross-attention where known interaction type information guides the cross-modal alignment process, incorporating domain-specific interaction knowledge into the neural attention mechanism.</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Interaction-conditioned attn: K_p' = K_p + Embed(interaction_type). A = softmax(Q_d (K_p')^T / sqrt(d)). This pharmacophore conditioning focuses attention on known interaction-relevant regions.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BindingDB, DrugBank</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BindingDB: AUC = 0.958, AUPR = 0.943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Interaction-type conditioning requires pharmacophore annotations not always available. Framework is classification-focused. Cold-start formally evaluated but with limited datasets.</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BACPI (Ji et al., 2023)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Bilinear Attention Cross-Modal Protein Interaction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BACPI employs bilinear attention to model pairwise cross-modal interactions between drug atoms and protein residues. Unlike standard attention, bilinear attention captures multiplicative relationships between modalities through a learnable weight matrix, providing more expressive cross-modal interaction modeling. A protein interaction network is additionally used to enrich protein representations through graph-based context.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Bilinear cross-modal attention combined with protein–protein interaction (PPI) network-enriched protein representations, integrating both sequence and network topology for protein encoding alongside fine-grained drug-protein cross-modal interaction.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Bilinear: B = h_d W_B h_p^T, where W_B in R^(d x d). Cross-modal context: c_d = softmax(B) h_p. PPI enrichment: h_p' = GNN_PPI(h_p, PPI_graph). Prediction: MLP([c_d; h_p']).</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Human, C. elegans, BindingDB</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Human: AUC = 0.973, AUPR = 0.969; BindingDB: AUC = 0.960</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PPI network enrichment requires external PPI database. Bilinear attention scales quadratically. Pre-trained language model embeddings not incorporated in original model. Cold-start with novel proteins not comprehensively evaluated.</w:t>
      </w:r>
    </w:p>
    <w:p>
      <w:pPr>
        <w:spacing w:after="60" w:before="60"/>
      </w:pPr>
      <w:r>
        <w:t xml:space="preserve"/>
      </w:r>
    </w:p>
    <w:p>
      <w:pPr>
        <w:pStyle w:val="Heading3"/>
        <w:spacing w:after="120" w:before="240"/>
      </w:pPr>
      <w:r>
        <w:rPr>
          <w:rFonts w:ascii="Times New Roman" w:cs="Times New Roman" w:eastAsia="Times New Roman" w:hAnsi="Times New Roman"/>
          <w:b/>
          <w:bCs/>
          <w:sz w:val="24"/>
          <w:szCs w:val="24"/>
        </w:rPr>
        <w:t xml:space="preserve">ColdDTA (Ouyang et al.) (Ouyang et al., 2025)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Category: Pre-Trained Multi-View Molecular Representations for Cold-Start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Architecture: ColdDTA addresses the cold-start problem by pre-training a multi-view molecular encoder on large-scale unlabeled drug and protein databases. Multiple views of each molecule are generated through structural, chemical, and semantic augmentation, and contrastive learning aligns representations across views to produce robust, generalizable embeddings. These pre-trained embeddings significantly improve DTA prediction for novel drugs and targets.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Key Innovation: Multi-view pre-training via contrastive learning across structural, chemical, and semantic augmentations of molecular data—learning transferable representations that generalize to novel drugs and targets without task-specific interaction data.</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Key Mathematical Component: Multi-view drug: {G_drug, SMILES_drug, DESC_drug}. Views: v_1, v_2 = augment(molecule). Contrastive: L_cl = -log(exp(sim(z_1, z_2)/tau) / DENOM). Pre-trained encoders fine-tuned on downstream DTI/DTA tasks. Cold-start: novel drugs use pre-trained features directly.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Datasets: DAVIS, KIBA, BindingDB (cold-drug, cold-target splits)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Reported Performance: DAVIS cold-drug: CI = 0.873 (vs. 0.847 baseline); cold-target: CI = 0.856; warm: CI = 0.903</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Limitations: Multi-view augmentation must be carefully designed to preserve molecular identity. Pre-training requires large-scale datasets and GPU hours. Fine-tuning may overfit for small downstream datasets. Interpretability not addressed.</w:t>
      </w:r>
    </w:p>
    <w:p>
      <w:pPr>
        <w:spacing w:after="60" w:before="60"/>
      </w:pPr>
      <w:r>
        <w:t xml:space="preserve"/>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6. Comparative Analysis</w:t>
      </w:r>
    </w:p>
    <w:p>
      <w:pPr>
        <w:pStyle w:val="Heading2"/>
        <w:spacing w:after="180" w:before="360"/>
      </w:pPr>
      <w:r>
        <w:rPr>
          <w:rFonts w:ascii="Times New Roman" w:cs="Times New Roman" w:eastAsia="Times New Roman" w:hAnsi="Times New Roman"/>
          <w:b/>
          <w:bCs/>
          <w:sz w:val="28"/>
          <w:szCs w:val="28"/>
        </w:rPr>
        <w:t xml:space="preserve">6.1 Table 1: Model Taxonomy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Table 1 provides a comprehensive taxonomy of 36 reviewed DTI/DTA prediction models, organized by architectural paradigm. Columns indicate: year, drug representation, protein representation, fusion strategy, primary evaluation datasets, best reported metric, and primary limitation.</w:t>
      </w:r>
    </w:p>
    <w:p>
      <w:pPr>
        <w:spacing w:after="60" w:before="60"/>
      </w:pPr>
      <w:r>
        <w:t xml:space="preserve"/>
      </w:r>
    </w:p>
    <w:tbl>
      <w:tblPr>
        <w:tblW w:type="pct" w:w="100%"/>
        <w:tblBorders>
          <w:top w:val="single" w:sz="2"/>
          <w:left w:val="single" w:sz="1"/>
          <w:bottom w:val="single" w:sz="2"/>
          <w:right w:val="single" w:sz="1"/>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Model</w:t>
            </w:r>
          </w:p>
        </w:tc>
        <w:tc>
          <w:tcPr>
            <w:tcW w:type="dxa" w:w="6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Year</w:t>
            </w:r>
          </w:p>
        </w:tc>
        <w:tc>
          <w:tcPr>
            <w:tcW w:type="dxa" w:w="13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Drug Repr.</w:t>
            </w:r>
          </w:p>
        </w:tc>
        <w:tc>
          <w:tcPr>
            <w:tcW w:type="dxa" w:w="13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Protein Repr.</w:t>
            </w:r>
          </w:p>
        </w:tc>
        <w:tc>
          <w:tcPr>
            <w:tcW w:type="dxa" w:w="12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Fusion</w:t>
            </w:r>
          </w:p>
        </w:tc>
        <w:tc>
          <w:tcPr>
            <w:tcW w:type="dxa" w:w="12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Datasets</w:t>
            </w:r>
          </w:p>
        </w:tc>
        <w:tc>
          <w:tcPr>
            <w:tcW w:type="dxa" w:w="9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Best Metric</w:t>
            </w:r>
          </w:p>
        </w:tc>
        <w:tc>
          <w:tcPr>
            <w:tcW w:type="dxa" w:w="1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Primary Limitation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2018</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(SMILES chars)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(AA chars)</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CI=0.878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 graph topology; no long-range protein context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DTI-RCNN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 LSTM (SMILES)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 LSTM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Human, C.elegans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 competitive</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SMILES lacks topology; static fusion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2021</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CI=0.893 (DAVIS GAT)</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protein; static concat fusion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SaeGraphDTI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seq. attr.</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Seq. attr. + phys.</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AUC=0.91+</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Heuristic attributes; concat fusion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AttentionDTI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2019</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Fingerprints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AA composition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Attention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Human, C.elegans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AUC=0.970 (Human)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Fingerprints lose topology; binary only</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HyperAttnDTI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(SMILES)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Bidir.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 Human</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CI=0.882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 graph; no pretrained embeddings</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GSAML-DTA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Self-Attn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 + MI</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CI=0.891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Approx. MI; no cold-start eval</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GraphATT-DTA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GAT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Seq.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 (dual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CI=0.896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 residue-level binding validation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ChemBERTa (LM)</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ESM-2 (LM)</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 BindingDB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CI=0.908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Quadratic attn; cold-start not systematic</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EHIGN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(3D geometry)</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(3D geometry)</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Pairwise interact.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PDBbind</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RMSE=1.31</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Requires 3D structures; expensive</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TransformerCPI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2020</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Transformer (SMILES)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Human, C.elegans, 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AUC=0.974 (C.eleg)</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Quadratic cost; no pretraining</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MolTrans</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2021</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Aug. Transformer</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 Transformer</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AUC=0.953 (BindDB)</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Heuristic substructures; no pretrained LM</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EmbedDTI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2021</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GCN + pretrained emb</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BiLSTM + pretrained</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Human</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CI=0.891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Older pretraining; limited cold-start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TTModel</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entity emb. + text</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entity emb. + text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Inner product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Yamanishi_08</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AUPR=0.95 (GPCR)</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 mol. graph/seq encoding; KG-dependent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DTKGIN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 intent GNN</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 intent GNN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Inner product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Yamanishi_08</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AUC=0.894 S2 (cold-drug)</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 seq/graph encoders; no dynamic attn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GSRF-DTI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DeepWalk + GraphSAGE</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DeepWalk + GraphSAGE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 (RF)</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Luo_17</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AUROC=0.9818</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Static fusion; no GNN mol. graph; no XAI</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RSGCL-DTI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GCL (graph contr.)</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GCL (seq contr.)</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Yamanishi</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AUC=0.947 (Yaman)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Augmentation design; no cross-modal attn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DeepGS (GAT+BiGRU)</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GAT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BiGRU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Yamanishi</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CI=0.892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Static concat; no pretrained embeddings</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GDGRU-DTA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GRU (SMILES)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GRU (AA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CI=0.889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Redundant encoding; no cross-modal attn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iNGNN-DTI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Nested GNN (mol)</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Nested GNN (prot)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 + pretrained</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AUC=0.963 (BindDB)</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Very expensive; limited cold-start report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Top-DTI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TDA + LLM + GNN</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ESM-2 LLM</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Multimodal Transformer</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DAVIS, Yaman.</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AUC=0.921 S2 (Yaman)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TDA expensive; requires 3D coordinates</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HMSA-DTI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SMILES + graph (HMSA)</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Seq. HMSA</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Hierarchical MHA</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Yamanishi_08, BindingDB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AUC=0.962 (Yaman)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3-modality redundancy; no foundation model</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MMDG-DTI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CNN/RNN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 + domain adv.</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BindingDB-&gt;DAVIS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CI=0.906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Adversarial instability; concat fusion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LLM (SMILES)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Protein LLM</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DAVIS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AUC=0.961 (BindDB)</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LLM cost; partial cold-start eval</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IHDFN-DTI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Transformer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Multi-head 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 BindingDB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CI=0.905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Quadratic attn; no foundation model init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SS-DTI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BERT (text)</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RNN + BERT (text)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Human</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AUC=0.974 (Human)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Text may be incomplete; no cold-start eval</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MINDG</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(graph+seq)</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Adaptive weighting</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Yamanishi</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AUC=0.958 (Yaman)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High preprocessing; no cross-modal attn</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NHGNN-DTA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Node-adaptive GNN</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GRU +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CI=0.904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Heuristic node types; no XAI; no cold-start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HiGraphDTI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Hierarchical GNN</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Bi-encoder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 BindingDB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CI=0.902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Coarsening heuristic; expensive; no cold-start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MFCADTI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Multi-feat + cross-attn</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Multi-feat + 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Multi-source 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Yamanishi</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AUC=0.964 (BindDB)</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Quadratic; warm-split only; no foundation model</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ViDTA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virtual nodes</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 + 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Attn-based fusion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CI=0.905 (DAVIS)</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Virtual node count sensitivity; no cold-start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DrugBAN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CNN/RNN + PPI</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Attn + DA</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(cold splits)</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AUC=0.919 cold-drug</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scales O(n*m); needs target-domain data</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CNN/fingerprint</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CNN/seq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Human, C.elegans, BindDB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AUC=0.971 (Human)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Simpler encoders; cold-start not systematic</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ICAN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Transformer (seq)</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Pharmacophore-cond. CA</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BindingDB, DrugBank</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AUC=0.958 (BindDB)</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Needs pharmacophore annotations; limited cold-start</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BACPI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(mol. graph)</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GNN + PPI net</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Cross-Attn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Human, C.elegans, BindDB</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AUC=0.973 (Human)</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PPI database required; quadratic bilinear</w:t>
            </w:r>
          </w:p>
        </w:tc>
      </w:tr>
      <w:tr>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ColdDTA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pretr. emb</w:t>
            </w:r>
          </w:p>
        </w:tc>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pretr. emb</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Concat (pretrained)</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DAVIS, KIBA, BindingDB (cold)</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CI=0.873 cold-drug</w:t>
            </w:r>
          </w:p>
        </w:tc>
        <w:tc>
          <w:tcPr>
            <w:tcW w:type="dxa" w:w="1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augmentation design; no XAI</w:t>
            </w:r>
          </w:p>
        </w:tc>
      </w:tr>
    </w:tbl>
    <w:p>
      <w:pPr>
        <w:spacing w:after="200" w:before="60"/>
        <w:jc w:val="center"/>
      </w:pPr>
      <w:r>
        <w:rPr>
          <w:rFonts w:ascii="Times New Roman" w:cs="Times New Roman" w:eastAsia="Times New Roman" w:hAnsi="Times New Roman"/>
          <w:b/>
          <w:bCs/>
          <w:i/>
          <w:iCs/>
          <w:sz w:val="20"/>
          <w:szCs w:val="20"/>
        </w:rPr>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Information; phys. = physicochemical; Yaman = Yamanishi_08; BindDB = BindingDB; S2 = cold-drug setting.</w:t>
      </w:r>
    </w:p>
    <w:p>
      <w:pPr>
        <w:spacing w:after="0" w:before="0"/>
      </w:pPr>
      <w:r>
        <w:br w:type="page"/>
      </w:r>
    </w:p>
    <w:p>
      <w:pPr>
        <w:pStyle w:val="Heading2"/>
        <w:spacing w:after="180" w:before="360"/>
      </w:pPr>
      <w:r>
        <w:rPr>
          <w:rFonts w:ascii="Times New Roman" w:cs="Times New Roman" w:eastAsia="Times New Roman" w:hAnsi="Times New Roman"/>
          <w:b/>
          <w:bCs/>
          <w:sz w:val="28"/>
          <w:szCs w:val="28"/>
        </w:rPr>
        <w:t xml:space="preserve">6.2 Table 2: Benchmark Performance Comparison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Table 2 compares performance across common benchmark datasets. DAVIS and KIBA metrics are CI (higher is better) and RMSE (lower is better). Yamanishi_08 and Luo_17 metrics are AUC and AUPR. N/R = not reported.</w:t>
      </w:r>
    </w:p>
    <w:p>
      <w:pPr>
        <w:spacing w:after="60" w:before="60"/>
      </w:pPr>
      <w:r>
        <w:t xml:space="preserve"/>
      </w:r>
    </w:p>
    <w:tbl>
      <w:tblPr>
        <w:tblW w:type="pct" w:w="100%"/>
        <w:tblBorders>
          <w:top w:val="single" w:sz="2"/>
          <w:left w:val="single" w:sz="1"/>
          <w:bottom w:val="single" w:sz="2"/>
          <w:right w:val="single" w:sz="1"/>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3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Model</w:t>
            </w:r>
          </w:p>
        </w:tc>
        <w:tc>
          <w:tcPr>
            <w:tcW w:type="dxa" w:w="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DAVIS CI</w:t>
            </w:r>
          </w:p>
        </w:tc>
        <w:tc>
          <w:tcPr>
            <w:tcW w:type="dxa" w:w="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DAVIS RMSE</w:t>
            </w:r>
          </w:p>
        </w:tc>
        <w:tc>
          <w:tcPr>
            <w:tcW w:type="dxa" w:w="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KIBA CI</w:t>
            </w:r>
          </w:p>
        </w:tc>
        <w:tc>
          <w:tcPr>
            <w:tcW w:type="dxa" w:w="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KIBA RMSE</w:t>
            </w:r>
          </w:p>
        </w:tc>
        <w:tc>
          <w:tcPr>
            <w:tcW w:type="dxa" w:w="8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Yaman. AUC</w:t>
            </w:r>
          </w:p>
        </w:tc>
        <w:tc>
          <w:tcPr>
            <w:tcW w:type="dxa" w:w="9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Luo_17 AUROC</w:t>
            </w:r>
          </w:p>
        </w:tc>
        <w:tc>
          <w:tcPr>
            <w:tcW w:type="dxa" w:w="9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BindingDB AUC</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0.261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0.863</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0.194</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GraphDTA (GAT)</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0.893</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0.229</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0.139</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AttentionDTI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0.970*</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HyperAttnDTI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0.882</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0.967*</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TransformerCPI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0.971*</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MolTrans</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0.895</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0.953</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EmbedDTI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0.969*</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GSAML-DTA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0.234</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0.893</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0.142</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GraphATT-DTA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0.211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0.893</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0.198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0.917</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EHIGN</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TTModel</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 (GPCR)†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DTKGIN</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0.925 (S1)</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GSRF-DTI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0.9818</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RSGCL-DTI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0.947</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0.942</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DeepGS</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0.892</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0.941</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GDGRU-DTA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0.889</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iNGNN-DTI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0.904</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0.963</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Top-DTI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0.921 (S2)</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HMSA-DTI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0.962</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MMDG-DTI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0.961</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IHDFN-DTI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0.905</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0.219</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0.912</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SS-DTI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0.958</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MINDG</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0.958</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NHGNN-DTA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0.904</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0.218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0.916</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0.131</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HiGraphDTI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0.902</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0.908</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0.953</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MFCADTI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0.960</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0.964</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ViDTA</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0.905</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0.914</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DrugBAN (warm)</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0.953</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CoaDTI</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0.951</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ColdDTA (warm)</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0.903</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8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9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r>
    </w:tbl>
    <w:p>
      <w:pPr>
        <w:spacing w:after="200" w:before="60"/>
        <w:jc w:val="center"/>
      </w:pPr>
      <w:r>
        <w:rPr>
          <w:rFonts w:ascii="Times New Roman" w:cs="Times New Roman" w:eastAsia="Times New Roman" w:hAnsi="Times New Roman"/>
          <w:b/>
          <w:bCs/>
          <w:i/>
          <w:iCs/>
          <w:sz w:val="20"/>
          <w:szCs w:val="20"/>
        </w:rPr>
        <w:t xml:space="preserve">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pPr>
        <w:spacing w:after="0" w:before="0"/>
      </w:pPr>
      <w:r>
        <w:br w:type="page"/>
      </w:r>
    </w:p>
    <w:p>
      <w:pPr>
        <w:pStyle w:val="Heading2"/>
        <w:spacing w:after="180" w:before="360"/>
      </w:pPr>
      <w:r>
        <w:rPr>
          <w:rFonts w:ascii="Times New Roman" w:cs="Times New Roman" w:eastAsia="Times New Roman" w:hAnsi="Times New Roman"/>
          <w:b/>
          <w:bCs/>
          <w:sz w:val="28"/>
          <w:szCs w:val="28"/>
        </w:rPr>
        <w:t xml:space="preserve">6.3 Table 3: Cold-Start Evaluation (Yamanishi_08 Protocol)</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Table 3 reports performance in the three standard cold-start settings defined for the Yamanishi_08 benchmark: S1 (warm-start), S2 (cold-drug: novel compounds), S3 (cold-target: novel proteins). AUC and AUPR values are reported where available. Models are sorted by S2 AUC (cold-drug) as it represents the most practically relevant generalization challenge.</w:t>
      </w:r>
    </w:p>
    <w:p>
      <w:pPr>
        <w:spacing w:after="60" w:before="60"/>
      </w:pPr>
      <w:r>
        <w:t xml:space="preserve"/>
      </w:r>
    </w:p>
    <w:tbl>
      <w:tblPr>
        <w:tblW w:type="pct" w:w="100%"/>
        <w:tblBorders>
          <w:top w:val="single" w:sz="2"/>
          <w:left w:val="single" w:sz="1"/>
          <w:bottom w:val="single" w:sz="2"/>
          <w:right w:val="single" w:sz="1"/>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3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Model</w:t>
            </w:r>
          </w:p>
        </w:tc>
        <w:tc>
          <w:tcPr>
            <w:tcW w:type="dxa" w:w="6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Year</w:t>
            </w:r>
          </w:p>
        </w:tc>
        <w:tc>
          <w:tcPr>
            <w:tcW w:type="dxa" w:w="7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S1 AUC</w:t>
            </w:r>
          </w:p>
        </w:tc>
        <w:tc>
          <w:tcPr>
            <w:tcW w:type="dxa" w:w="7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S1 AUPR</w:t>
            </w:r>
          </w:p>
        </w:tc>
        <w:tc>
          <w:tcPr>
            <w:tcW w:type="dxa" w:w="10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S2 AUC (cold-drug)</w:t>
            </w:r>
          </w:p>
        </w:tc>
        <w:tc>
          <w:tcPr>
            <w:tcW w:type="dxa" w:w="7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S2 AUPR</w:t>
            </w:r>
          </w:p>
        </w:tc>
        <w:tc>
          <w:tcPr>
            <w:tcW w:type="dxa" w:w="10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S3 AUC (cold-target)</w:t>
            </w:r>
          </w:p>
        </w:tc>
        <w:tc>
          <w:tcPr>
            <w:tcW w:type="dxa" w:w="7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S3 AUPR</w:t>
            </w:r>
          </w:p>
        </w:tc>
        <w:tc>
          <w:tcPr>
            <w:tcW w:type="dxa" w:w="16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Cold-Start Strategy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Top-DTI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0.952</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0.931</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0.921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0.898</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0.841</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LLM pretrained embeddings; TDA features</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RSGCL-DTI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0.967</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0.951</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0.918</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0.884</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0.876</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0.833</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 contrastive pretraining</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DTKGIN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0.950</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0.941</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0.894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0.753</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0.851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0.660</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Intent graph; relational path-aware GNN</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DrugBAN</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0.919*</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attn; domain adaptation (BindingDB splits)</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HMSA-DTI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0.962</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0.938</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0.887</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0.821</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0.843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0.772</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Hierarchical multimodal self-attention</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MINDG</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0.958</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0.943</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0.872</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0.803</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0.831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0.761</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adaptive weighting</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MFCADTI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0.960</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0.942</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0.866</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0.790</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0.748</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Multi-source cross-attention</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0.861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0.819</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LLM structure-aware embeddings</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ColdDTA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2025</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0.903†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0.873†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0.856†</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Multi-view contrastive pretraining (DAVIS CI scale)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GSRF-DTI</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Not evaluated in cold-start settings</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TTModel</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2024</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Not formally evaluated in S1/S2/S3</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2018</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Baseline; no cold-start strategy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GraphDTA</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N/R</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Baseline; no cold-start strategy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DeepGS</w:t>
            </w:r>
          </w:p>
        </w:tc>
        <w:tc>
          <w:tcPr>
            <w:tcW w:type="dxa" w:w="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2022</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0.941</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0.912</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0.843</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0.751</w:t>
            </w:r>
          </w:p>
        </w:tc>
        <w:tc>
          <w:tcPr>
            <w:tcW w:type="dxa" w:w="10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0.812</w:t>
            </w:r>
          </w:p>
        </w:tc>
        <w:tc>
          <w:tcPr>
            <w:tcW w:type="dxa" w:w="7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0.709</w:t>
            </w:r>
          </w:p>
        </w:tc>
        <w:tc>
          <w:tcPr>
            <w:tcW w:type="dxa" w:w="16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Standard GNN+RNN; limited cold-start</w:t>
            </w:r>
          </w:p>
        </w:tc>
      </w:tr>
    </w:tbl>
    <w:p>
      <w:pPr>
        <w:spacing w:after="200" w:before="60"/>
        <w:jc w:val="center"/>
      </w:pPr>
      <w:r>
        <w:rPr>
          <w:rFonts w:ascii="Times New Roman" w:cs="Times New Roman" w:eastAsia="Times New Roman" w:hAnsi="Times New Roman"/>
          <w:b/>
          <w:bCs/>
          <w:i/>
          <w:iCs/>
          <w:sz w:val="20"/>
          <w:szCs w:val="20"/>
        </w:rPr>
        <w:t xml:space="preserve">Table 3. Cold-start performance on Yamanishi_08 (S1: warm-start, S2: cold-drug, S3: cold-target). * = on BindingDB cold splits (different protocol). † = CI metric on DAVIS cold splits (not AUC). N/R = not reported. Models sorted by S2 AUC descending.</w:t>
      </w:r>
    </w:p>
    <w:p>
      <w:pPr>
        <w:spacing w:after="0" w:before="0"/>
      </w:pPr>
      <w:r>
        <w:br w:type="page"/>
      </w:r>
    </w:p>
    <w:p>
      <w:pPr>
        <w:pStyle w:val="Heading2"/>
        <w:spacing w:after="180" w:before="360"/>
      </w:pPr>
      <w:r>
        <w:rPr>
          <w:rFonts w:ascii="Times New Roman" w:cs="Times New Roman" w:eastAsia="Times New Roman" w:hAnsi="Times New Roman"/>
          <w:b/>
          <w:bCs/>
          <w:sz w:val="28"/>
          <w:szCs w:val="28"/>
        </w:rPr>
        <w:t xml:space="preserve">6.4 Table 4: Interpretability Features of Reviewed Models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Table 4 characterizes the interpretability mechanisms of reviewed models, covering method type, granularity of attribution, biological validation approach, and visualization type. XAI = Explainable AI.</w:t>
      </w:r>
    </w:p>
    <w:p>
      <w:pPr>
        <w:spacing w:after="60" w:before="60"/>
      </w:pPr>
      <w:r>
        <w:t xml:space="preserve"/>
      </w:r>
    </w:p>
    <w:tbl>
      <w:tblPr>
        <w:tblW w:type="pct" w:w="100%"/>
        <w:tblBorders>
          <w:top w:val="single" w:sz="2"/>
          <w:left w:val="single" w:sz="1"/>
          <w:bottom w:val="single" w:sz="2"/>
          <w:right w:val="single" w:sz="1"/>
          <w:insideH w:val="single" w:color="auto" w:sz="4"/>
          <w:insideV w:val="single" w:color="auto" w:sz="4"/>
        </w:tblBorders>
      </w:tblPr>
      <w:tblGrid>
        <w:gridCol w:w="100"/>
        <w:gridCol w:w="100"/>
        <w:gridCol w:w="100"/>
        <w:gridCol w:w="100"/>
        <w:gridCol w:w="100"/>
        <w:gridCol w:w="100"/>
      </w:tblGrid>
      <w:tr>
        <w:trPr>
          <w:tblHeader/>
        </w:trPr>
        <w:tc>
          <w:tcPr>
            <w:tcW w:type="dxa" w:w="13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Model</w:t>
            </w:r>
          </w:p>
        </w:tc>
        <w:tc>
          <w:tcPr>
            <w:tcW w:type="dxa" w:w="14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XAI Method</w:t>
            </w:r>
          </w:p>
        </w:tc>
        <w:tc>
          <w:tcPr>
            <w:tcW w:type="dxa" w:w="11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Drug Granularity</w:t>
            </w:r>
          </w:p>
        </w:tc>
        <w:tc>
          <w:tcPr>
            <w:tcW w:type="dxa" w:w="11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Protein Granularity</w:t>
            </w:r>
          </w:p>
        </w:tc>
        <w:tc>
          <w:tcPr>
            <w:tcW w:type="dxa" w:w="14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Biological Validation</w:t>
            </w:r>
          </w:p>
        </w:tc>
        <w:tc>
          <w:tcPr>
            <w:tcW w:type="dxa" w:w="1200"/>
            <w:shd w:fill="BFBFBF" w:val="clear"/>
            <w:tcMar>
              <w:top w:type="dxa" w:w="40"/>
              <w:left w:type="dxa" w:w="60"/>
              <w:bottom w:type="dxa" w:w="40"/>
              <w:right w:type="dxa" w:w="60"/>
            </w:tcMar>
          </w:tcPr>
          <w:p>
            <w:pPr>
              <w:spacing w:after="40" w:before="40"/>
            </w:pPr>
            <w:r>
              <w:rPr>
                <w:rFonts w:ascii="Times New Roman" w:cs="Times New Roman" w:eastAsia="Times New Roman" w:hAnsi="Times New Roman"/>
                <w:b/>
                <w:bCs/>
                <w:sz w:val="18"/>
                <w:szCs w:val="18"/>
              </w:rPr>
              <w:t xml:space="preserve">Visualization</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 (GAT 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 (implicit)</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AttentionDTI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 attn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Fingerprint bits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AA composition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Attn score bar chart</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GSAML-DTA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 information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 MI score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 MI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Literature comparison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Atom/residue MI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GraphATT-DTA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GAT attn + seq 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Atom/substructure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Protein subsequence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Qualitative case study</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Mol. attention overlay; seq. attn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 attention matrix M</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 M_ij</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 M_ij</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PDB binding site comparison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Mutual attn heatmap on structure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EHIGN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Atom-atom interaction map</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 I_ij</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 I_ij</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SARS-CoV-2 variant binding validation</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3D interaction 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EmbedDTI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 importance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 importance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Literature (qualitative)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Attn overlay on molecule/sequence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HyperAttnDTI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Bidir. attn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SMILES token 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AA sequence attn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Bidir. attn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IHDFN-DTI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PDB crystal structure comparison (&gt;80% overlap)</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Cross-attn heatmap; binding site overlay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GSAML-DTA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Gradient + self-attn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 importance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 importance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Literature (quantitative)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Gradient heatmap on mol. graph</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GraphATT-DTA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Attention pooling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Node (atom) importance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 importance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Qualitative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Mol. graph coloring; sequence bar</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MINDG</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Adaptive view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Feature-type importance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Feature-type importance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View weight radar chart</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iNGNN-DTI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Nested GNN cross-attn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Atom-substructure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 region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Literature (qualitative)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Nested graph attn overlay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Top-DTI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LLM attn + TDA</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Topological features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LLM residue attn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 (structural)</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TDA diagram; LLM attn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DrugBAN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attn map</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 I_ij</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 I_ij</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 formally</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BAN attn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Co-attn weights</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Feature-level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Co-attn weight matrix</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ICAN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Pharmacophore-cond. 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Pharmacophore-level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Binding region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Literature pharmacophore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Cond. attn overlay</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BACPI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cross-attn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Atom-level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Residue-level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Qualitative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Bilinear attn matrix</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DeepDTA</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GSRF-DTI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RF feature importance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Network feature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Network feature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Feature importance bar chart</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TTModel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entity 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KG entity level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DTKGIN</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Intent node level</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Intent node level</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Intent node visualization</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SS-DTI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BERT attn (semantic)</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Substructure semantic</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Residue semantic</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BERT attn heatmap</w:t>
            </w:r>
          </w:p>
        </w:tc>
      </w:tr>
      <w:tr>
        <w:tc>
          <w:tcPr>
            <w:tcW w:type="dxa" w:w="13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HMSA-DTI</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Hierarchical MHA attn</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Multi-scale</w:t>
            </w:r>
          </w:p>
        </w:tc>
        <w:tc>
          <w:tcPr>
            <w:tcW w:type="dxa" w:w="11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Multi-scale</w:t>
            </w:r>
          </w:p>
        </w:tc>
        <w:tc>
          <w:tcPr>
            <w:tcW w:type="dxa" w:w="14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None</w:t>
            </w:r>
          </w:p>
        </w:tc>
        <w:tc>
          <w:tcPr>
            <w:tcW w:type="dxa" w:w="1200"/>
            <w:tcMar>
              <w:top w:type="dxa" w:w="40"/>
              <w:left w:type="dxa" w:w="60"/>
              <w:bottom w:type="dxa" w:w="40"/>
              <w:right w:type="dxa" w:w="60"/>
            </w:tcMar>
          </w:tcPr>
          <w:p>
            <w:pPr>
              <w:spacing w:after="40" w:before="40"/>
            </w:pPr>
            <w:r>
              <w:rPr>
                <w:rFonts w:ascii="Times New Roman" w:cs="Times New Roman" w:eastAsia="Times New Roman" w:hAnsi="Times New Roman"/>
                <w:b w:val="false"/>
                <w:bCs w:val="false"/>
                <w:sz w:val="16"/>
                <w:szCs w:val="16"/>
              </w:rPr>
              <w:t xml:space="preserve">Hierarchical attn map</w:t>
            </w:r>
          </w:p>
        </w:tc>
      </w:tr>
    </w:tbl>
    <w:p>
      <w:pPr>
        <w:spacing w:after="200" w:before="60"/>
        <w:jc w:val="center"/>
      </w:pPr>
      <w:r>
        <w:rPr>
          <w:rFonts w:ascii="Times New Roman" w:cs="Times New Roman" w:eastAsia="Times New Roman" w:hAnsi="Times New Roman"/>
          <w:b/>
          <w:bCs/>
          <w:i/>
          <w:iCs/>
          <w:sz w:val="20"/>
          <w:szCs w:val="20"/>
        </w:rPr>
        <w:t xml:space="preserve">Table 4. Interpretability features of reviewed DTI/DTA models. XAI = Explainable AI; attn = attention; mol. = molecular; seq. = sequence; PDB = Protein Data Bank; MI = Mutual Information; TDA = Topological Data Analysis; BAN = Bilinear Attention Network; KG = Knowledge Graph; RF = Random Forest.</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7. Research Gaps and Open Challenges</w:t>
      </w:r>
    </w:p>
    <w:p>
      <w:pPr>
        <w:pStyle w:val="Heading2"/>
        <w:spacing w:after="180" w:before="360"/>
      </w:pPr>
      <w:r>
        <w:rPr>
          <w:rFonts w:ascii="Times New Roman" w:cs="Times New Roman" w:eastAsia="Times New Roman" w:hAnsi="Times New Roman"/>
          <w:b/>
          <w:bCs/>
          <w:sz w:val="28"/>
          <w:szCs w:val="28"/>
        </w:rPr>
        <w:t xml:space="preserve">7.1 Static Cross-Modal Feature Fusion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most pervasive limitation across reviewed models is reliance on static, concatenation-based fusion of drug and protein representations. Simple concatenation—[h_drug; h_protein]—treats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iNGNN-DTI, MutualDTA, IHDFN-DTI, DrugBAN,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systematically benchmarked.</w:t>
      </w:r>
    </w:p>
    <w:p>
      <w:pPr>
        <w:pStyle w:val="Heading2"/>
        <w:spacing w:after="180" w:before="360"/>
      </w:pPr>
      <w:r>
        <w:rPr>
          <w:rFonts w:ascii="Times New Roman" w:cs="Times New Roman" w:eastAsia="Times New Roman" w:hAnsi="Times New Roman"/>
          <w:b/>
          <w:bCs/>
          <w:sz w:val="28"/>
          <w:szCs w:val="28"/>
        </w:rPr>
        <w:t xml:space="preserve">7.2 Cold-Start Generalization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is that pre-trained foundation model embeddings (ChemBERTa, ESM-2, ProtT5) provide transferable biochemical knowledge that substantially reduces cold-start degradation—a strategy absent in many reviewed models.</w:t>
      </w:r>
    </w:p>
    <w:p>
      <w:pPr>
        <w:pStyle w:val="Heading2"/>
        <w:spacing w:after="180" w:before="360"/>
      </w:pPr>
      <w:r>
        <w:rPr>
          <w:rFonts w:ascii="Times New Roman" w:cs="Times New Roman" w:eastAsia="Times New Roman" w:hAnsi="Times New Roman"/>
          <w:b/>
          <w:bCs/>
          <w:sz w:val="28"/>
          <w:szCs w:val="28"/>
        </w:rPr>
        <w:t xml:space="preserve">7.3 Data Imbalance and Negative Sampling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DTI datasets suffer from severe class imbalance: experimentally confirmed positive interactions are vastly outnumbered by unknown or assumed-negative pairs. Standard negative sampling from unknown pairs introduces systematic label noise—many "negative" pairs may be actual interactions that simply lack experimental validation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principled weighting. This gap represents a significant threat to model reliability in practical screening applications.</w:t>
      </w:r>
    </w:p>
    <w:p>
      <w:pPr>
        <w:pStyle w:val="Heading2"/>
        <w:spacing w:after="180" w:before="360"/>
      </w:pPr>
      <w:r>
        <w:rPr>
          <w:rFonts w:ascii="Times New Roman" w:cs="Times New Roman" w:eastAsia="Times New Roman" w:hAnsi="Times New Roman"/>
          <w:b/>
          <w:bCs/>
          <w:sz w:val="28"/>
          <w:szCs w:val="28"/>
        </w:rPr>
        <w:t xml:space="preserve">7.4 Interpretability and Biological Validation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As shown in Table 4, the majority of reviewed models either lack interpretability mechanisms (DeepDTA, GDGRU-DTA) or provide attention weights without biological validation against experimentally determined binding sites. Among models with XAI, only IHDFN-DTI reports quantitative validation (&gt;80% overlap with PDB binding site residues), EHIGN validates on SARS-CoV-2 variant binding, and MutualDTA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pPr>
        <w:pStyle w:val="Heading2"/>
        <w:spacing w:after="180" w:before="360"/>
      </w:pPr>
      <w:r>
        <w:rPr>
          <w:rFonts w:ascii="Times New Roman" w:cs="Times New Roman" w:eastAsia="Times New Roman" w:hAnsi="Times New Roman"/>
          <w:b/>
          <w:bCs/>
          <w:sz w:val="28"/>
          <w:szCs w:val="28"/>
        </w:rPr>
        <w:t xml:space="preserve">7.5 Benchmark Inconsistency and Evaluation Bias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pPr>
        <w:pStyle w:val="Heading2"/>
        <w:spacing w:after="180" w:before="360"/>
      </w:pPr>
      <w:r>
        <w:rPr>
          <w:rFonts w:ascii="Times New Roman" w:cs="Times New Roman" w:eastAsia="Times New Roman" w:hAnsi="Times New Roman"/>
          <w:b/>
          <w:bCs/>
          <w:sz w:val="28"/>
          <w:szCs w:val="28"/>
        </w:rPr>
        <w:t xml:space="preserve">7.6 Scalability and Computational Efficiency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Models incorporating cross-attention mechanisms (iNGNN-DTI, IHDFN-DTI, Top-DTI, MFCADTI) or bilinear interactions (DrugBAN, BACPI) face quadratic complexity in drug atom count and protein residue count—O(n×m)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8. Future Research Directions</w:t>
      </w:r>
    </w:p>
    <w:p>
      <w:pPr>
        <w:pStyle w:val="Heading2"/>
        <w:spacing w:after="180" w:before="360"/>
      </w:pPr>
      <w:r>
        <w:rPr>
          <w:rFonts w:ascii="Times New Roman" w:cs="Times New Roman" w:eastAsia="Times New Roman" w:hAnsi="Times New Roman"/>
          <w:b/>
          <w:bCs/>
          <w:sz w:val="28"/>
          <w:szCs w:val="28"/>
        </w:rPr>
        <w:t xml:space="preserve">8.1 Dynamic Gated Cross-Modal Fusion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proposed H-GNN-RNN-DTI Gated Cross-Attention (Eq. 24–28) provides a principled foundation for next-generation fusion. Future work should systematically benchmark gated fusion against bilinear attention (DrugBAN), mutual attention (MutualDTA),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pPr>
        <w:pStyle w:val="Heading2"/>
        <w:spacing w:after="180" w:before="360"/>
      </w:pPr>
      <w:r>
        <w:rPr>
          <w:rFonts w:ascii="Times New Roman" w:cs="Times New Roman" w:eastAsia="Times New Roman" w:hAnsi="Times New Roman"/>
          <w:b/>
          <w:bCs/>
          <w:sz w:val="28"/>
          <w:szCs w:val="28"/>
        </w:rPr>
        <w:t xml:space="preserve">8.2 Foundation Model Integration and Multi-Modal Pretraining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success of Top-DTI and ColdDTA demonstrates the transformative impact of foundation model pretraining. Future DTI models should adopt ESM-2 (650M-3B parameters) for protein encoding and ChemBERTa or MolFormer for drug encoding as standard initializations. Beyond initialization, multi-modal contrastive pretraining—learning jointly across drug and protein modalities on large-scale unlabeled data—represents an important open direction. Foundation models specifically pre-trained on drug–target interaction data (rather than general protein/chemical corpora) could provide substantially better downstream performance.</w:t>
      </w:r>
    </w:p>
    <w:p>
      <w:pPr>
        <w:pStyle w:val="Heading2"/>
        <w:spacing w:after="180" w:before="360"/>
      </w:pPr>
      <w:r>
        <w:rPr>
          <w:rFonts w:ascii="Times New Roman" w:cs="Times New Roman" w:eastAsia="Times New Roman" w:hAnsi="Times New Roman"/>
          <w:b/>
          <w:bCs/>
          <w:sz w:val="28"/>
          <w:szCs w:val="28"/>
        </w:rPr>
        <w:t xml:space="preserve">8.3 Structure-Sequence Co-Encoding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Drug 3D conformation generation (e.g., RDKit ETKDG, DiffSBDD) similarly opens opportunities for geometry-aware drug encoding beyond molecular graphs.</w:t>
      </w:r>
    </w:p>
    <w:p>
      <w:pPr>
        <w:pStyle w:val="Heading2"/>
        <w:spacing w:after="180" w:before="360"/>
      </w:pPr>
      <w:r>
        <w:rPr>
          <w:rFonts w:ascii="Times New Roman" w:cs="Times New Roman" w:eastAsia="Times New Roman" w:hAnsi="Times New Roman"/>
          <w:b/>
          <w:bCs/>
          <w:sz w:val="28"/>
          <w:szCs w:val="28"/>
        </w:rPr>
        <w:t xml:space="preserve">8.4 Principled Cold-Start Strategies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Beyond pretrained embeddings, future models should incorporate few-shot meta-learning for rapid adaptation to novel drugs and targets; prototypical network approaches that learn to generalize from chemical scaffold families; graph meta-learning on drug–target interaction networks; and data augmentation via molecular generation. Systematic benchmarking under the standardized S1/S2/S3 Yamanishi_08 protocol, extended to BindingDB and ChEMBL cold-splits, should be mandated for fair comparison.</w:t>
      </w:r>
    </w:p>
    <w:p>
      <w:pPr>
        <w:pStyle w:val="Heading2"/>
        <w:spacing w:after="180" w:before="360"/>
      </w:pPr>
      <w:r>
        <w:rPr>
          <w:rFonts w:ascii="Times New Roman" w:cs="Times New Roman" w:eastAsia="Times New Roman" w:hAnsi="Times New Roman"/>
          <w:b/>
          <w:bCs/>
          <w:sz w:val="28"/>
          <w:szCs w:val="28"/>
        </w:rPr>
        <w:t xml:space="preserve">8.5 Slice-Aware and Biologically Grounded Evaluation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Following Zhang et al. (2024), future evaluation should adopt slice-aware benchmarking that assesses performance across biologically meaningful subsets: target families (kinases, GPCRs, ion channels), chemical scaffold diversity levels, binding affinity ranges, and disease indications. This would reveal model weaknesses invisible in aggregate metrics and guide development of more robust architectures.</w:t>
      </w:r>
    </w:p>
    <w:p>
      <w:pPr>
        <w:pStyle w:val="Heading2"/>
        <w:spacing w:after="180" w:before="360"/>
      </w:pPr>
      <w:r>
        <w:rPr>
          <w:rFonts w:ascii="Times New Roman" w:cs="Times New Roman" w:eastAsia="Times New Roman" w:hAnsi="Times New Roman"/>
          <w:b/>
          <w:bCs/>
          <w:sz w:val="28"/>
          <w:szCs w:val="28"/>
        </w:rPr>
        <w:t xml:space="preserve">8.6 Quantitative Interpretability Validation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validation—running model attribution against known pharmacophore databases for thousands of drug–target complexes—would establish interpretability as a measurable model property rather than a qualitative claim.</w:t>
      </w:r>
    </w:p>
    <w:p>
      <w:pPr>
        <w:pStyle w:val="Heading2"/>
        <w:spacing w:after="180" w:before="360"/>
      </w:pPr>
      <w:r>
        <w:rPr>
          <w:rFonts w:ascii="Times New Roman" w:cs="Times New Roman" w:eastAsia="Times New Roman" w:hAnsi="Times New Roman"/>
          <w:b/>
          <w:bCs/>
          <w:sz w:val="28"/>
          <w:szCs w:val="28"/>
        </w:rPr>
        <w:t xml:space="preserve">8.7 Data Imbalance and Negative Sampling Strategies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9. Conclusion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central finding is that hybrid multimodal architectures pairing GNNs for drug molecular graph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mechanisms—cross-attention, bilinear attention, gated attention—and foundation model pretraining are the two highest-impact areas for near-term improvement.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proposed H-GNN-RNN-DTI architecture directly addresses four identified gaps: (1) a novel Gated Cross-Attention fusion module (Eq. 24–28) overcomes static concatenation; (2) ChemBERTa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Future DTI research should prioritize: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directions will advance DTI prediction toward the reliability, interpretability, and scalability required for real-world drug discovery applications.</w:t>
      </w:r>
    </w:p>
    <w:p>
      <w:pPr>
        <w:spacing w:after="0" w:before="0"/>
      </w:pPr>
      <w:r>
        <w:br w:type="page"/>
      </w:r>
    </w:p>
    <w:p>
      <w:pPr>
        <w:pStyle w:val="Heading1"/>
        <w:spacing w:after="240" w:before="480"/>
        <w:jc w:val="center"/>
      </w:pPr>
      <w:r>
        <w:rPr>
          <w:rFonts w:ascii="Times New Roman" w:cs="Times New Roman" w:eastAsia="Times New Roman" w:hAnsi="Times New Roman"/>
          <w:b/>
          <w:bCs/>
          <w:sz w:val="32"/>
          <w:szCs w:val="32"/>
        </w:rPr>
        <w:t xml:space="preserve">References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Abbasi, K., Razzaghi, P., Poso, A., Ghanbari-Ara, S., &amp; Masoudi-Nejad, A. (2020). Deep learning in drug target interaction prediction: Current and future perspectives. Current Medicinal Chemistry, 28(11), 2100–2113. https://doi.org/10.2174/0929867327666200907141016</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Bae, H., &amp; Nam, H. (2023). GraphATT-DTA: Attention-based novel representation of interaction to predict drug-target binding affinity. Biomedicines, 11(1). https://doi.org/10.3390/biomedicines11010067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Bagherian, M., Sabeti, E., Wang, K., Sartor, M. A., Nikolovska-Coleska, Z., &amp; Najarian, K. (2021). Machine learning approaches and databases for prediction of drug-target interaction: A survey paper. Briefings in Bioinformatics, 22(1), 247–269. https://doi.org/10.1093/bib/bbz157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Bian, J., Lu, H., Dong, G., &amp; Wang, G. (2024). Hierarchical multimodal self-attention-based graph neural network for DTI prediction. Briefings in Bioinformatics, 25(4). https://doi.org/10.1093/bib/bbae213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Bian, J., Lu, H., Wei, L., Li, Y., &amp; Wang, G. (2025). Relational similarity-based graph contrastive learning for DTI prediction. Briefings in Bioinformatics, 26(2). https://doi.org/10.1093/bib/bbaf122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Cao, J., Chen, Q., Qiu, J., Wang, Y., Lan, W., Du, X., &amp; Tan, K. (2024). NGCN: Drug-target interaction prediction by integrating information and feature learning from heterogeneous network. Journal of Cellular and Molecular Medicine, 28(7), 1–11. https://doi.org/10.1111/jcmm.18224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Chen, X., Yan, C. C., Zhang, X., Zhang, X., Dai, F., Yin, J., &amp; Zhang, Y. (2016). Drug-target interaction prediction: Databases, web servers and computational models. Briefings in Bioinformatics, 17(4), 696–712. https://doi.org/10.1093/bib/bbv066</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Chen, Y., Liang, X., Du, W., Liang, Y., Wong, G., &amp; Chen, L. (2024). Drug–target interaction prediction based on an interactive inference network. International Journal of Molecular Sciences, 25(14). https://doi.org/10.3390/ijms25147753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Chun, Y., Li, H., &amp; Wang, S. (2025). SS-DTI: A deep learning method integrating semantic and structural information for drug-target interaction prediction. Journal of Bioinformatics and Computational Biology. https://doi.org/10.1142/S0219720025500027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Dai, W., Wang, Y., Yan, S., Yu, Q., &amp; Cheng, X. (2025). Heterogeneous network drug-target interaction prediction model based on graph wavelet transform and multi-level contrastive learning. Scientific Reports, 15(1), 1–17. https://doi.org/10.1038/s41598-025-16098-y</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Debnath, K., Rana, P., &amp; Ghosh, P. (2025). A survey on deep learning for drug-target binding prediction: models, benchmarks, evaluation, and case studies. Briefings in Bioinformatics, 26(5). https://doi.org/10.1093/bib/bbaf275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Deng, G., Shi, C., Ge, R., Hu, R., Wang, C., Qin, F., Pan, C., Mao, H., &amp; Yang, Q. (2025). Efficient substructure feature encoding based on graph neural network blocks for drug-target interaction prediction. Frontiers in Pharmacology, 16, 1–15. https://doi.org/10.3389/fphar.2025.1553743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Dhannoon, A. K., &amp; Dhannoon, B. N. (2024). Comprehensive review on drug-target interaction prediction—Latest developments and overview. Current Drug Discovery Technologies, 21(2), 56–67. https://doi.org/10.2174/1570163820666230901160043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Elbasani, E., Njimbouom, S. N., Oh, T. J., Kim, E. H., Lee, H., &amp; Kim, J. D. (2021). GCRNN: Graph convolutional recurrent neural network for compound–protein interaction prediction. BMC Bioinformatics, 22, 1–13. https://doi.org/10.1186/s12859-022-04560-x</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Gao, X., Yan, M., Zhang, C., Wu, G., Shang, J., Zhang, C., &amp; Yang, K. (2025). MDNN-DTA: A multimodal deep neural network for drug-target affinity prediction. Frontiers in Genetics, 16, 1–16. https://doi.org/10.3389/fgene.2025.1527300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Hamilton, W. L., Ying, R., &amp; Leskovec, J. (2017). Inductive representation learning on large graphs. Advances in Neural Information Processing Systems, 30, 1024–1034.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He, H., Chen, G., &amp; Chen, C. Y. C. (2023). NHGNN-DTA: A node-adaptive hybrid graph neural network for interpretable drug-target binding affinity prediction. Bioinformatics, 39(6). https://doi.org/10.1093/bioinformatics/btad355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He, T., Heidemeyer, M., Ban, F., Cherkasov, A., &amp; Ester, M. (2017). SimBoost: A read-across approach for predicting drug-target binding affinities using gradient boosting machines. Journal of Cheminformatics, 9(1), 1–14. https://doi.org/10.1186/s13321-017-0209-z</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Hua, Y., Feng, Z., Song, X., Wu, X.-J., &amp; Kittler, J. (2025). MMDG-DTI: Drug–target interaction prediction via multimodal feature fusion and domain generalization. Pattern Recognition, 157, 110887. https://doi.org/10.1016/j.patcog.2024.110887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Huang, K., Xiao, C., Glass, L. M., &amp; Sun, J. (2021). MolTrans: Molecular interaction transformer for drug–target interaction prediction. Bioinformatics, 37(6), 830–836. https://doi.org/10.1093/bioinformatics/btaa880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Jin, Z., Wu, S., Chen, J., Shi, J., &amp; Wu, X. (2021). EmbedDTI: Enhancing the molecular representations via sequence embedding and graph neural network for the prediction of drug–target interaction. Biomolecules, 11(12). https://doi.org/10.3390/biom11121783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Khojasteh, H., Pirgazi, J., &amp; Sorkhi, A. G. (2023). Improving prediction of drug-target interactions based on fusing multiple features with data balancing and feature selection techniques. PLOS ONE, 18(8), 1–25. https://doi.org/10.1371/journal.pone.0288173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Kipf, T. N., &amp; Welling, M. (2017). Semi-supervised classification with graph convolutional networks. International Conference on Learning Representations (ICLR).</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Lee, J., Jun, D. W., Song, I., &amp; Kim, Y. (2024). DLM-DTI: A dual language model for the prediction of drug-target interaction with hint-based learning. Journal of Cheminformatics, 16(1), 1–12. https://doi.org/10.1186/s13321-024-00808-1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Li, M., Guo, Z., Wu, Y., Guo, P., Shi, Y., Hu, S., Wan, W., &amp; Hu, S. (2024). ViDTA: Enhanced drug-target affinity prediction via virtual graph nodes and attention-based feature fusion. Proceedings—2024 IEEE International Conference on Bioinformatics and Biomedicine (BIBM 2024), 42–47. https://doi.org/10.1109/BIBM62325.2024.10822490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Li, N., Yang, Z., Wang, J., &amp; Lin, H. (2024). Drug–target interaction prediction using knowledge graph embedding. iScience, 27(6). https://doi.org/10.1016/j.isci.2024.109393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Liao, J., Chen, H., Wei, L., &amp; Wei, L. (2022). GSAML-DTA: An interpretable drug-target binding affinity prediction model based on graph neural networks with self-attention mechanism and mutual information. Computers in Biology and Medicine, 150, 106145. https://doi.org/10.1016/j.compbiomed.2022.106145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Liao, Q., Zhang, Y., Chu, Y., Ding, Y., Liu, Z., Zhao, X., Wang, Y., Wan, J., Ding, Y., Tiwari, P., Zou, Q., &amp; Han, K. (2025). Application of artificial intelligence in drug-target interactions prediction: A review. NPJ Biomedical Innovations, 2(1). https://doi.org/10.1038/s44385-024-00003-9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Liu, B., Wu, S., Wang, J., Deng, X., &amp; Zhou, A. (2024). HiGraphDTI: Hierarchical graph representation learning for drug-target interaction prediction. Lecture Notes in Computer Science, 14946 LNAI, 354–370. https://doi.org/10.1007/978-3-031-70365-2_21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Lu, Z., Song, G., Zhu, H., Lei, C., Sun, X., Wang, K., Qin, L., Chen, Y., Tang, J., &amp; Li, M. (2025). DTIAM: A unified framework for predicting drug-target interactions, binding affinities and drug mechanisms. Nature Communications, 16(1). https://doi.org/10.1038/s41467-025-57828-0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Luo, Y., Duan, G., Zhao, Q., Bi, X., &amp; Wang, J. (2024). DTKGIN: Predicting drug-target interactions based on knowledge graph and intent graph. Methods, 226, 21–27. https://doi.org/10.1016/j.ymeth.2024.04.010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Mienye, I. D., Swart, T. G., &amp; Obaido, G. (2024). Recurrent neural networks: A comprehensive review of architectures, variants, and applications. Information, 15(9), 1–34. https://doi.org/10.3390/info15090517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Minh, N. T., Thin, N., &amp; Truyen, T. (2022). Mitigating cold-start problems in drug-target affinity prediction. Briefings in Bioinformatics, 23(July), 1–13. https://doi.org/10.1093/bib/bbac269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Nguyen, T., Le, H., Quinn, T. P., Nguyen, T., Le, T. D., &amp; Venkatesh, S. (2021). GraphDTA: Predicting drug target binding affinity with graph neural networks. Bioinformatics, 37(8), 1140–1147. https://doi.org/10.1093/bioinformatics/btaa921</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Ouyang, X., Feng, Y., Cui, C., Li, Y., Zhang, L., &amp; Wang, H. (2025). Improving generalizability of drug–target binding prediction by pre-trained multi-view molecular representations. Bioinformatics, 41(1), 1–9. https://doi.org/10.1093/bioinformatics/btaf002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Öztürk, H., Özgür, A., &amp; Ozkirimli, E. (2018). DeepDTA: Deep drug–target binding affinity prediction. Bioinformatics, 34(17), i821–i829. https://doi.org/10.1093/bioinformatics/bty593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Panahandeh, F., &amp; Mansouri, N. (2025). A comprehensive review of neural network-based approaches for drug–target interaction prediction. Molecular Diversity. https://doi.org/10.1007/s11030-025-11303-6</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Quan, N., Ma, S., Zhao, K., Bi, X., &amp; Zhang, L. (2025). MFCADTI: Improving drug-target interaction prediction by integrating multiple features through cross attention mechanism. BMC Bioinformatics, 26(1). https://doi.org/10.1186/s12859-025-06075-7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Shi, H., Liu, S., Chen, J., Li, X., Ma, Q., &amp; Yu, B. (2019). Predicting drug-target interactions using lasso with random forest based on evolutionary information and chemical structure. Genomics, 111(6), 1839–1852. https://doi.org/10.1016/j.ygeno.2018.12.007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Suruliandi, A., Idhaya, T., &amp; Raja, S. P. (2024). Drug target interaction prediction using machine learning techniques—A review. International Journal of Interactive Multimedia and Artificial Intelligence, 8(6), 86–100. https://doi.org/10.9781/ijimai.2022.11.002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Sun, Y., Li, Y. Y., Leung, C. K., &amp; Hu, P. (2024). iNGNN-DTI: Prediction of drug-target interaction with interpretable nested graph neural network and pretrained molecule models. Bioinformatics, 40(3). https://doi.org/10.1093/bioinformatics/btae135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Talo, M., &amp; Bozdag, S. (2025). Top-DTI: Integrating topological deep learning and large language models for drug-target interaction prediction. Bioinformatics, 41, i133–i141. https://doi.org/10.1093/bioinformatics/btaf183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Tanoli, Z., Schulman, A., &amp; Aittokallio, T. (2025). Validation guidelines for drug-target prediction methods. Expert Opinion on Drug Discovery, 20(1), 31–46. https://doi.org/10.1080/17460441.2024.2430955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Tran, H. N. T., Thomas, J. J., &amp; Malim, N. H. A. H. (2022). DeepNC: A framework for drug-target interaction prediction with graph neural networks. PeerJ, 10, 1–24. https://doi.org/10.7717/peerj.13163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Vaswani, A., Shazeer, N., Parmar, N., Uszkoreit, J., Jones, L., Gomez, A. N., Kaiser, Ł., &amp; Polosukhin, I. (2017). Attention is all you need. Advances in Neural Information Processing Systems, 30.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Vefghi, A., Rahmati, Z., &amp; Akbari, M. (2025). Drug-target interaction/affinity prediction: Deep learning models and advances review. Computers in Biology and Medicine, 196, 1–64. https://doi.org/10.1016/j.compbiomed.2025.110438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Veličković, P., Cucurull, G., Casanova, A., Romero, A., Liò, P., &amp; Bengio, Y. (2018). Graph attention networks. International Conference on Learning Representations (ICLR).</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Wu, Z., Li, W., Liu, G., &amp; Tang, Y. (2018). Network-based methods for prediction of drug-target interactions. Frontiers in Pharmacology, 9, 1–14. https://doi.org/10.3389/fphar.2018.01134</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Xuan, P., Sun, C., Zhang, T., Ye, Y., Shen, T., &amp; Dong, Y. (2019). Gradient boosting decision tree-based method for predicting interactions between target genes and drugs. Frontiers in Genetics, 10, 1–11. https://doi.org/10.3389/fgene.2019.00459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Yang, H., Chen, Y., Zuo, Y., Deng, Z., Pan, X., Shen, H., Choi, K. S., &amp; Yu, D. J. (2024). MINDG: A drug–target interaction prediction method based on an integrated learning algorithm. Bioinformatics, 40(4). https://doi.org/10.1093/bioinformatics/btae147</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Yang, Z., Zhong, W., Lv, Q., Dong, T., Chen, G., &amp; Chen, C. Y.-C. (2024). Interaction-based inductive bias in graph neural networks: Enhancing protein-ligand binding affinity predictions from 3D structures. IEEE Transactions on Pattern Analysis and Machine Intelligence, 46(12), 8191–8208. https://doi.org/10.1109/TPAMI.2024.3400515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Yuan, Y., Chen, S., Hu, R., &amp; Wang, X. (2025). MutualDTA: An interpretable drug-target affinity prediction model leveraging pretrained models and mutual attention. Journal of Chemical Information and Modeling, 65(3), 1211–1227. https://doi.org/10.1021/acs.jcim.4c01893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Zeng, X., Li, S., Lv, S., &amp; Wen, M. (2024). A comprehensive review of the recent advances on predicting drug-target affinity based on deep learning. Frontiers in Pharmacology, 15, 1–15. https://doi.org/10.3389/fphar.2024.1375522</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Zhang, Q., Sun, Z., Zhong, Z., Yang, H., Wei, Y., &amp; Xu, J. (2025). SaeGraphDTI: Drug–target interaction prediction based on sequence attribute extraction and graph neural network. BMC Bioinformatics, 26(1). https://doi.org/10.1186/s12859-025-06195-0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Zhang, X. M., Liang, L., Liu, L., &amp; Tang, M. J. (2021). Graph neural networks and their current applications in bioinformatics. Frontiers in Genetics, 12, 1–22. https://doi.org/10.3389/fgene.2021.690049</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Zhang, X., Wu, J., Xie, J., Chen, T., &amp; Zhou, K. (2024). Benchmark on drug target interaction modeling from a structure perspective. ArXiv. https://arxiv.org/abs/2407.0</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Zhang, Y., Wang, Q., Baoming, Z., Junliang, F., &amp; Li, S. (2025). IHDFN-DTI: Interpretable hybrid deep feature fusion network for drug–target interaction prediction. Interdisciplinary Sciences: Computational Life Sciences. https://doi.org/10.1007/s12539-025-00712-8</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Zhao, Q., Zhao, H., Zheng, K., &amp; Wang, J. (2022). HyperAttentionDTI: Improving drug-protein interaction prediction by sequence-based deep learning with attention mechanism. Bioinformatics, 38(3), 655–662. https://doi.org/10.1093/bioinformatics/btab715</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Zhijian, L., Shaohua, J., Yigao, L., &amp; Min, G. (2022). GDGRU-DTA: Predicting drug-target binding affinity based on GNN and double GRU. CSIT, 120703, 25–37. https://doi.org/10.5121/csit.2022.120703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Zhu, Y., Ning, C., Zhang, N., Wang, M., &amp; Zhang, Y. (2024). GSRF-DTI: A framework for drug-target interaction prediction based on a drug-target pair network and representation learning on a large graph. BMC Biology, 22(1). https://doi.org/10.1186/s12915-024-01949-3</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Zuo, Y., Wu, X., Ge, F., Yan, H., Fei, S., Liang, J., &amp; Deng, Z. (2025). Research progress on drug-target interactions in the last five years. Analytical Biochemistry, 697, 115691. https://doi.org/10.1016/j.ab.2024.115691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2026-05-06T21:10:33.082Z</dcterms:created>
  <dcterms:modified xsi:type="dcterms:W3CDTF">2026-05-06T21:10:33.083Z</dcterms:modified>
</cp:coreProperties>
</file>

<file path=docProps/custom.xml><?xml version="1.0" encoding="utf-8"?>
<Properties xmlns="http://schemas.openxmlformats.org/officeDocument/2006/custom-properties" xmlns:vt="http://schemas.openxmlformats.org/officeDocument/2006/docPropsVTypes"/>
</file>