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Light" w:cs="Calibri Light" w:eastAsia="Calibri Light" w:hAnsi="Calibri Light"/>
          <w:b/>
          <w:bCs/>
          <w:color w:val="1F497D"/>
          <w:sz w:val="40"/>
          <w:szCs w:val="40"/>
        </w:rPr>
        <w:t xml:space="preserve">Analysis Plan for Objective 1</w:t>
      </w:r>
    </w:p>
    <w:p>
      <w:pPr>
        <w:spacing w:after="120"/>
        <w:jc w:val="center"/>
      </w:pPr>
      <w:r>
        <w:rPr>
          <w:rFonts w:ascii="Calibri" w:cs="Calibri" w:eastAsia="Calibri" w:hAnsi="Calibri"/>
          <w:color w:val="595959"/>
          <w:sz w:val="28"/>
          <w:szCs w:val="28"/>
        </w:rPr>
        <w:t xml:space="preserve">H-GNN-RNN-DTI Research Project</w:t>
      </w:r>
    </w:p>
    <w:p>
      <w:pPr>
        <w:spacing w:after="800"/>
        <w:jc w:val="center"/>
      </w:pPr>
      <w:r>
        <w:rPr>
          <w:rFonts w:ascii="Calibri" w:cs="Calibri" w:eastAsia="Calibri" w:hAnsi="Calibri"/>
          <w:color w:val="808080"/>
          <w:sz w:val="22"/>
          <w:szCs w:val="22"/>
        </w:rPr>
        <w:t xml:space="preserve">Universiti Sains Malaysia  |  School of Computer Sciences  |  2025</w:t>
      </w:r>
    </w:p>
    <w:p>
      <w:pPr>
        <w:pStyle w:val="Heading1"/>
        <w:spacing w:after="160" w:before="400"/>
      </w:pPr>
      <w:r>
        <w:t xml:space="preserve">Objective 1 — What We Are Trying to Do</w:t>
      </w:r>
    </w:p>
    <w:p>
      <w:pPr>
        <w:spacing w:after="120" w:line="276"/>
        <w:jc w:val="both"/>
      </w:pPr>
      <w:r>
        <w:rPr>
          <w:rFonts w:ascii="Calibri" w:cs="Calibri" w:eastAsia="Calibri" w:hAnsi="Calibri"/>
          <w:sz w:val="24"/>
          <w:szCs w:val="24"/>
        </w:rPr>
        <w:t xml:space="preserve">The goal of Objective 1 is to build and test an improved deep learning model called H-GNN-RNN-DTI. This model will learn from two different types of biological data at the same time — the 3D structure of a drug molecule and the amino acid sequence of a protein target. It will then combine what it learns from both sources using a smart mixing layer called the Gated Cross-Attention mechanism.</w:t>
      </w:r>
    </w:p>
    <w:p>
      <w:pPr>
        <w:spacing w:after="120" w:line="276"/>
        <w:jc w:val="both"/>
      </w:pPr>
      <w:r>
        <w:rPr>
          <w:rFonts w:ascii="Calibri" w:cs="Calibri" w:eastAsia="Calibri" w:hAnsi="Calibri"/>
          <w:sz w:val="24"/>
          <w:szCs w:val="24"/>
        </w:rPr>
        <w:t xml:space="preserve">At the end, the model must perform better — and show that the improvement is statistically significant — compared to older models that simply stick the two data types together without any intelligent mixing.</w:t>
      </w:r>
    </w:p>
    <w:p>
      <w:pPr>
        <w:spacing w:after="80"/>
      </w:pPr>
    </w:p>
    <w:p>
      <w:pPr>
        <w:pStyle w:val="Heading1"/>
        <w:spacing w:after="160" w:before="400"/>
      </w:pPr>
      <w:r>
        <w:t xml:space="preserve">Overview of the Analysis Plan</w:t>
      </w:r>
    </w:p>
    <w:p>
      <w:pPr>
        <w:spacing w:after="120" w:line="276"/>
        <w:jc w:val="both"/>
      </w:pPr>
      <w:r>
        <w:rPr>
          <w:rFonts w:ascii="Calibri" w:cs="Calibri" w:eastAsia="Calibri" w:hAnsi="Calibri"/>
          <w:sz w:val="24"/>
          <w:szCs w:val="24"/>
        </w:rPr>
        <w:t xml:space="preserve">The plan is divided into five phases. Each phase must be completed before moving to the next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shd w:fill="1F497D" w:val="clear"/>
          </w:tcPr>
          <w:p>
            <w:pPr>
              <w:jc w:val="center"/>
            </w:pPr>
            <w:r>
              <w:rPr>
                <w:rFonts w:ascii="Calibri" w:cs="Calibri" w:eastAsia="Calibri" w:hAnsi="Calibri"/>
                <w:b/>
                <w:bCs/>
                <w:sz w:val="22"/>
                <w:szCs w:val="22"/>
              </w:rPr>
              <w:t xml:space="preserve">Phase</w:t>
            </w:r>
          </w:p>
        </w:tc>
        <w:tc>
          <w:tcPr>
            <w:tcW w:type="pct" w:w="55%"/>
            <w:shd w:fill="1F497D" w:val="clear"/>
          </w:tcPr>
          <w:p>
            <w:pPr>
              <w:jc w:val="center"/>
            </w:pPr>
            <w:r>
              <w:rPr>
                <w:rFonts w:ascii="Calibri" w:cs="Calibri" w:eastAsia="Calibri" w:hAnsi="Calibri"/>
                <w:b/>
                <w:bCs/>
                <w:sz w:val="22"/>
                <w:szCs w:val="22"/>
              </w:rPr>
              <w:t xml:space="preserve">What Happens</w:t>
            </w:r>
          </w:p>
        </w:tc>
        <w:tc>
          <w:tcPr>
            <w:tcW w:type="pct" w:w="35%"/>
            <w:shd w:fill="1F497D" w:val="clear"/>
          </w:tcPr>
          <w:p>
            <w:pPr>
              <w:jc w:val="center"/>
            </w:pPr>
            <w:r>
              <w:rPr>
                <w:rFonts w:ascii="Calibri" w:cs="Calibri" w:eastAsia="Calibri" w:hAnsi="Calibri"/>
                <w:b/>
                <w:bCs/>
                <w:sz w:val="22"/>
                <w:szCs w:val="22"/>
              </w:rPr>
              <w:t xml:space="preserve">Main Output</w:t>
            </w:r>
          </w:p>
        </w:tc>
      </w:tr>
      <w:tr>
        <w:tc>
          <w:tcPr>
            <w:tcW w:type="pct" w:w="10%"/>
            <w:shd w:fill="FFFFFF" w:val="clear"/>
          </w:tcPr>
          <w:p>
            <w:r>
              <w:rPr>
                <w:rFonts w:ascii="Calibri" w:cs="Calibri" w:eastAsia="Calibri" w:hAnsi="Calibri"/>
                <w:sz w:val="22"/>
                <w:szCs w:val="22"/>
              </w:rPr>
              <w:t xml:space="preserve">1 — Data Gathering</w:t>
            </w:r>
          </w:p>
        </w:tc>
        <w:tc>
          <w:tcPr>
            <w:tcW w:type="pct" w:w="55%"/>
            <w:shd w:fill="FFFFFF" w:val="clear"/>
          </w:tcPr>
          <w:p>
            <w:r>
              <w:rPr>
                <w:rFonts w:ascii="Calibri" w:cs="Calibri" w:eastAsia="Calibri" w:hAnsi="Calibri"/>
                <w:sz w:val="22"/>
                <w:szCs w:val="22"/>
              </w:rPr>
              <w:t xml:space="preserve">Download all datasets needed for training and testing.</w:t>
            </w:r>
          </w:p>
        </w:tc>
        <w:tc>
          <w:tcPr>
            <w:tcW w:type="pct" w:w="35%"/>
            <w:shd w:fill="FFFFFF" w:val="clear"/>
          </w:tcPr>
          <w:p>
            <w:r>
              <w:rPr>
                <w:rFonts w:ascii="Calibri" w:cs="Calibri" w:eastAsia="Calibri" w:hAnsi="Calibri"/>
                <w:sz w:val="22"/>
                <w:szCs w:val="22"/>
              </w:rPr>
              <w:t xml:space="preserve">Raw dataset files</w:t>
            </w:r>
          </w:p>
        </w:tc>
      </w:tr>
      <w:tr>
        <w:tc>
          <w:tcPr>
            <w:tcW w:type="pct" w:w="10%"/>
            <w:shd w:fill="EBF3F9" w:val="clear"/>
          </w:tcPr>
          <w:p>
            <w:r>
              <w:rPr>
                <w:rFonts w:ascii="Calibri" w:cs="Calibri" w:eastAsia="Calibri" w:hAnsi="Calibri"/>
                <w:sz w:val="22"/>
                <w:szCs w:val="22"/>
              </w:rPr>
              <w:t xml:space="preserve">2 — Data Preprocessing</w:t>
            </w:r>
          </w:p>
        </w:tc>
        <w:tc>
          <w:tcPr>
            <w:tcW w:type="pct" w:w="55%"/>
            <w:shd w:fill="EBF3F9" w:val="clear"/>
          </w:tcPr>
          <w:p>
            <w:r>
              <w:rPr>
                <w:rFonts w:ascii="Calibri" w:cs="Calibri" w:eastAsia="Calibri" w:hAnsi="Calibri"/>
                <w:sz w:val="22"/>
                <w:szCs w:val="22"/>
              </w:rPr>
              <w:t xml:space="preserve">Clean and convert the raw data into a format the model can read.</w:t>
            </w:r>
          </w:p>
        </w:tc>
        <w:tc>
          <w:tcPr>
            <w:tcW w:type="pct" w:w="35%"/>
            <w:shd w:fill="EBF3F9" w:val="clear"/>
          </w:tcPr>
          <w:p>
            <w:r>
              <w:rPr>
                <w:rFonts w:ascii="Calibri" w:cs="Calibri" w:eastAsia="Calibri" w:hAnsi="Calibri"/>
                <w:sz w:val="22"/>
                <w:szCs w:val="22"/>
              </w:rPr>
              <w:t xml:space="preserve">Ready-to-use data files</w:t>
            </w:r>
          </w:p>
        </w:tc>
      </w:tr>
      <w:tr>
        <w:tc>
          <w:tcPr>
            <w:tcW w:type="pct" w:w="10%"/>
            <w:shd w:fill="FFFFFF" w:val="clear"/>
          </w:tcPr>
          <w:p>
            <w:r>
              <w:rPr>
                <w:rFonts w:ascii="Calibri" w:cs="Calibri" w:eastAsia="Calibri" w:hAnsi="Calibri"/>
                <w:sz w:val="22"/>
                <w:szCs w:val="22"/>
              </w:rPr>
              <w:t xml:space="preserve">3 — Baseline Setup</w:t>
            </w:r>
          </w:p>
        </w:tc>
        <w:tc>
          <w:tcPr>
            <w:tcW w:type="pct" w:w="55%"/>
            <w:shd w:fill="FFFFFF" w:val="clear"/>
          </w:tcPr>
          <w:p>
            <w:r>
              <w:rPr>
                <w:rFonts w:ascii="Calibri" w:cs="Calibri" w:eastAsia="Calibri" w:hAnsi="Calibri"/>
                <w:sz w:val="22"/>
                <w:szCs w:val="22"/>
              </w:rPr>
              <w:t xml:space="preserve">Reproduce the results of three existing models for fair comparison.</w:t>
            </w:r>
          </w:p>
        </w:tc>
        <w:tc>
          <w:tcPr>
            <w:tcW w:type="pct" w:w="35%"/>
            <w:shd w:fill="FFFFFF" w:val="clear"/>
          </w:tcPr>
          <w:p>
            <w:r>
              <w:rPr>
                <w:rFonts w:ascii="Calibri" w:cs="Calibri" w:eastAsia="Calibri" w:hAnsi="Calibri"/>
                <w:sz w:val="22"/>
                <w:szCs w:val="22"/>
              </w:rPr>
              <w:t xml:space="preserve">Baseline performance numbers</w:t>
            </w:r>
          </w:p>
        </w:tc>
      </w:tr>
      <w:tr>
        <w:tc>
          <w:tcPr>
            <w:tcW w:type="pct" w:w="10%"/>
            <w:shd w:fill="EBF3F9" w:val="clear"/>
          </w:tcPr>
          <w:p>
            <w:r>
              <w:rPr>
                <w:rFonts w:ascii="Calibri" w:cs="Calibri" w:eastAsia="Calibri" w:hAnsi="Calibri"/>
                <w:sz w:val="22"/>
                <w:szCs w:val="22"/>
              </w:rPr>
              <w:t xml:space="preserve">4 — Model Building</w:t>
            </w:r>
          </w:p>
        </w:tc>
        <w:tc>
          <w:tcPr>
            <w:tcW w:type="pct" w:w="55%"/>
            <w:shd w:fill="EBF3F9" w:val="clear"/>
          </w:tcPr>
          <w:p>
            <w:r>
              <w:rPr>
                <w:rFonts w:ascii="Calibri" w:cs="Calibri" w:eastAsia="Calibri" w:hAnsi="Calibri"/>
                <w:sz w:val="22"/>
                <w:szCs w:val="22"/>
              </w:rPr>
              <w:t xml:space="preserve">Build the H-GNN-RNN-DTI model step by step.</w:t>
            </w:r>
          </w:p>
        </w:tc>
        <w:tc>
          <w:tcPr>
            <w:tcW w:type="pct" w:w="35%"/>
            <w:shd w:fill="EBF3F9" w:val="clear"/>
          </w:tcPr>
          <w:p>
            <w:r>
              <w:rPr>
                <w:rFonts w:ascii="Calibri" w:cs="Calibri" w:eastAsia="Calibri" w:hAnsi="Calibri"/>
                <w:sz w:val="22"/>
                <w:szCs w:val="22"/>
              </w:rPr>
              <w:t xml:space="preserve">Trained model</w:t>
            </w:r>
          </w:p>
        </w:tc>
      </w:tr>
      <w:tr>
        <w:tc>
          <w:tcPr>
            <w:tcW w:type="pct" w:w="10%"/>
            <w:shd w:fill="FFFFFF" w:val="clear"/>
          </w:tcPr>
          <w:p>
            <w:r>
              <w:rPr>
                <w:rFonts w:ascii="Calibri" w:cs="Calibri" w:eastAsia="Calibri" w:hAnsi="Calibri"/>
                <w:sz w:val="22"/>
                <w:szCs w:val="22"/>
              </w:rPr>
              <w:t xml:space="preserve">5 — Evaluation</w:t>
            </w:r>
          </w:p>
        </w:tc>
        <w:tc>
          <w:tcPr>
            <w:tcW w:type="pct" w:w="55%"/>
            <w:shd w:fill="FFFFFF" w:val="clear"/>
          </w:tcPr>
          <w:p>
            <w:r>
              <w:rPr>
                <w:rFonts w:ascii="Calibri" w:cs="Calibri" w:eastAsia="Calibri" w:hAnsi="Calibri"/>
                <w:sz w:val="22"/>
                <w:szCs w:val="22"/>
              </w:rPr>
              <w:t xml:space="preserve">Test the model and compare it to the baselines.</w:t>
            </w:r>
          </w:p>
        </w:tc>
        <w:tc>
          <w:tcPr>
            <w:tcW w:type="pct" w:w="35%"/>
            <w:shd w:fill="FFFFFF" w:val="clear"/>
          </w:tcPr>
          <w:p>
            <w:r>
              <w:rPr>
                <w:rFonts w:ascii="Calibri" w:cs="Calibri" w:eastAsia="Calibri" w:hAnsi="Calibri"/>
                <w:sz w:val="22"/>
                <w:szCs w:val="22"/>
              </w:rPr>
              <w:t xml:space="preserve">Results tables and charts</w:t>
            </w:r>
          </w:p>
        </w:tc>
      </w:tr>
    </w:tbl>
    <w:p>
      <w:pPr>
        <w:spacing w:after="80"/>
      </w:pPr>
    </w:p>
    <w:p>
      <w:pPr>
        <w:pStyle w:val="Heading1"/>
        <w:spacing w:after="160" w:before="400"/>
      </w:pPr>
      <w:r>
        <w:t xml:space="preserve">Phase 1: Data Gathering</w:t>
      </w:r>
    </w:p>
    <w:p>
      <w:pPr>
        <w:spacing w:after="120" w:line="276"/>
        <w:jc w:val="both"/>
      </w:pPr>
      <w:r>
        <w:rPr>
          <w:rFonts w:ascii="Calibri" w:cs="Calibri" w:eastAsia="Calibri" w:hAnsi="Calibri"/>
          <w:sz w:val="24"/>
          <w:szCs w:val="24"/>
        </w:rPr>
        <w:t xml:space="preserve">We need several publicly available datasets. Each dataset provides a list of drug–protein pairs along with a label that says whether the drug and protein interact (yes/no) or how strongly they bind (a number called the binding affinity).</w:t>
      </w:r>
    </w:p>
    <w:p>
      <w:pPr>
        <w:pStyle w:val="Heading2"/>
        <w:spacing w:after="120" w:before="320"/>
      </w:pPr>
      <w:r>
        <w:t xml:space="preserve">1.1  Which Datasets to Download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shd w:fill="1F497D" w:val="clear"/>
          </w:tcPr>
          <w:p>
            <w:pPr>
              <w:jc w:val="center"/>
            </w:pPr>
            <w:r>
              <w:rPr>
                <w:rFonts w:ascii="Calibri" w:cs="Calibri" w:eastAsia="Calibri" w:hAnsi="Calibri"/>
                <w:b/>
                <w:bCs/>
                <w:sz w:val="22"/>
                <w:szCs w:val="22"/>
              </w:rPr>
              <w:t xml:space="preserve">Dataset</w:t>
            </w:r>
          </w:p>
        </w:tc>
        <w:tc>
          <w:tcPr>
            <w:tcW w:type="pct" w:w="18%"/>
            <w:shd w:fill="1F497D" w:val="clear"/>
          </w:tcPr>
          <w:p>
            <w:pPr>
              <w:jc w:val="center"/>
            </w:pPr>
            <w:r>
              <w:rPr>
                <w:rFonts w:ascii="Calibri" w:cs="Calibri" w:eastAsia="Calibri" w:hAnsi="Calibri"/>
                <w:b/>
                <w:bCs/>
                <w:sz w:val="22"/>
                <w:szCs w:val="22"/>
              </w:rPr>
              <w:t xml:space="preserve">Task Type</w:t>
            </w:r>
          </w:p>
        </w:tc>
        <w:tc>
          <w:tcPr>
            <w:tcW w:type="pct" w:w="47%"/>
            <w:shd w:fill="1F497D" w:val="clear"/>
          </w:tcPr>
          <w:p>
            <w:pPr>
              <w:jc w:val="center"/>
            </w:pPr>
            <w:r>
              <w:rPr>
                <w:rFonts w:ascii="Calibri" w:cs="Calibri" w:eastAsia="Calibri" w:hAnsi="Calibri"/>
                <w:b/>
                <w:bCs/>
                <w:sz w:val="22"/>
                <w:szCs w:val="22"/>
              </w:rPr>
              <w:t xml:space="preserve">Why We Need It</w:t>
            </w:r>
          </w:p>
        </w:tc>
        <w:tc>
          <w:tcPr>
            <w:tcW w:type="pct" w:w="10%"/>
            <w:shd w:fill="1F497D" w:val="clear"/>
          </w:tcPr>
          <w:p>
            <w:pPr>
              <w:jc w:val="center"/>
            </w:pPr>
            <w:r>
              <w:rPr>
                <w:rFonts w:ascii="Calibri" w:cs="Calibri" w:eastAsia="Calibri" w:hAnsi="Calibri"/>
                <w:b/>
                <w:bCs/>
                <w:sz w:val="22"/>
                <w:szCs w:val="22"/>
              </w:rPr>
              <w:t xml:space="preserve">Priority</w:t>
            </w:r>
          </w:p>
        </w:tc>
      </w:tr>
      <w:tr>
        <w:tc>
          <w:tcPr>
            <w:tcW w:type="pct" w:w="15%"/>
            <w:shd w:fill="FFFFFF" w:val="clear"/>
          </w:tcPr>
          <w:p>
            <w:r>
              <w:rPr>
                <w:rFonts w:ascii="Calibri" w:cs="Calibri" w:eastAsia="Calibri" w:hAnsi="Calibri"/>
                <w:sz w:val="22"/>
                <w:szCs w:val="22"/>
              </w:rPr>
              <w:t xml:space="preserve">DAVIS</w:t>
            </w:r>
          </w:p>
        </w:tc>
        <w:tc>
          <w:tcPr>
            <w:tcW w:type="pct" w:w="18%"/>
            <w:shd w:fill="FFFFFF" w:val="clear"/>
          </w:tcPr>
          <w:p>
            <w:r>
              <w:rPr>
                <w:rFonts w:ascii="Calibri" w:cs="Calibri" w:eastAsia="Calibri" w:hAnsi="Calibri"/>
                <w:sz w:val="22"/>
                <w:szCs w:val="22"/>
              </w:rPr>
              <w:t xml:space="preserve">Affinity (regression)</w:t>
            </w:r>
          </w:p>
        </w:tc>
        <w:tc>
          <w:tcPr>
            <w:tcW w:type="pct" w:w="47%"/>
            <w:shd w:fill="FFFFFF" w:val="clear"/>
          </w:tcPr>
          <w:p>
            <w:r>
              <w:rPr>
                <w:rFonts w:ascii="Calibri" w:cs="Calibri" w:eastAsia="Calibri" w:hAnsi="Calibri"/>
                <w:sz w:val="22"/>
                <w:szCs w:val="22"/>
              </w:rPr>
              <w:t xml:space="preserve">Gold-standard dataset with measured Kd values. Widely used to test regression models.</w:t>
            </w:r>
          </w:p>
        </w:tc>
        <w:tc>
          <w:tcPr>
            <w:tcW w:type="pct" w:w="10%"/>
            <w:shd w:fill="FFFFFF" w:val="clear"/>
          </w:tcPr>
          <w:p>
            <w:r>
              <w:rPr>
                <w:rFonts w:ascii="Calibri" w:cs="Calibri" w:eastAsia="Calibri" w:hAnsi="Calibri"/>
                <w:sz w:val="22"/>
                <w:szCs w:val="22"/>
              </w:rPr>
              <w:t xml:space="preserve">High</w:t>
            </w:r>
          </w:p>
        </w:tc>
      </w:tr>
      <w:tr>
        <w:tc>
          <w:tcPr>
            <w:tcW w:type="pct" w:w="15%"/>
            <w:shd w:fill="EBF3F9" w:val="clear"/>
          </w:tcPr>
          <w:p>
            <w:r>
              <w:rPr>
                <w:rFonts w:ascii="Calibri" w:cs="Calibri" w:eastAsia="Calibri" w:hAnsi="Calibri"/>
                <w:sz w:val="22"/>
                <w:szCs w:val="22"/>
              </w:rPr>
              <w:t xml:space="preserve">KIBA</w:t>
            </w:r>
          </w:p>
        </w:tc>
        <w:tc>
          <w:tcPr>
            <w:tcW w:type="pct" w:w="18%"/>
            <w:shd w:fill="EBF3F9" w:val="clear"/>
          </w:tcPr>
          <w:p>
            <w:r>
              <w:rPr>
                <w:rFonts w:ascii="Calibri" w:cs="Calibri" w:eastAsia="Calibri" w:hAnsi="Calibri"/>
                <w:sz w:val="22"/>
                <w:szCs w:val="22"/>
              </w:rPr>
              <w:t xml:space="preserve">Affinity (regression)</w:t>
            </w:r>
          </w:p>
        </w:tc>
        <w:tc>
          <w:tcPr>
            <w:tcW w:type="pct" w:w="47%"/>
            <w:shd w:fill="EBF3F9" w:val="clear"/>
          </w:tcPr>
          <w:p>
            <w:r>
              <w:rPr>
                <w:rFonts w:ascii="Calibri" w:cs="Calibri" w:eastAsia="Calibri" w:hAnsi="Calibri"/>
                <w:sz w:val="22"/>
                <w:szCs w:val="22"/>
              </w:rPr>
              <w:t xml:space="preserve">Complements DAVIS. Combines multiple affinity measures into one score.</w:t>
            </w:r>
          </w:p>
        </w:tc>
        <w:tc>
          <w:tcPr>
            <w:tcW w:type="pct" w:w="10%"/>
            <w:shd w:fill="EBF3F9" w:val="clear"/>
          </w:tcPr>
          <w:p>
            <w:r>
              <w:rPr>
                <w:rFonts w:ascii="Calibri" w:cs="Calibri" w:eastAsia="Calibri" w:hAnsi="Calibri"/>
                <w:sz w:val="22"/>
                <w:szCs w:val="22"/>
              </w:rPr>
              <w:t xml:space="preserve">High</w:t>
            </w:r>
          </w:p>
        </w:tc>
      </w:tr>
      <w:tr>
        <w:tc>
          <w:tcPr>
            <w:tcW w:type="pct" w:w="15%"/>
            <w:shd w:fill="FFFFFF" w:val="clear"/>
          </w:tcPr>
          <w:p>
            <w:r>
              <w:rPr>
                <w:rFonts w:ascii="Calibri" w:cs="Calibri" w:eastAsia="Calibri" w:hAnsi="Calibri"/>
                <w:sz w:val="22"/>
                <w:szCs w:val="22"/>
              </w:rPr>
              <w:t xml:space="preserve">Yamanishi_08</w:t>
            </w:r>
          </w:p>
        </w:tc>
        <w:tc>
          <w:tcPr>
            <w:tcW w:type="pct" w:w="18%"/>
            <w:shd w:fill="FFFFFF" w:val="clear"/>
          </w:tcPr>
          <w:p>
            <w:r>
              <w:rPr>
                <w:rFonts w:ascii="Calibri" w:cs="Calibri" w:eastAsia="Calibri" w:hAnsi="Calibri"/>
                <w:sz w:val="22"/>
                <w:szCs w:val="22"/>
              </w:rPr>
              <w:t xml:space="preserve">Interaction (yes/no)</w:t>
            </w:r>
          </w:p>
        </w:tc>
        <w:tc>
          <w:tcPr>
            <w:tcW w:type="pct" w:w="47%"/>
            <w:shd w:fill="FFFFFF" w:val="clear"/>
          </w:tcPr>
          <w:p>
            <w:r>
              <w:rPr>
                <w:rFonts w:ascii="Calibri" w:cs="Calibri" w:eastAsia="Calibri" w:hAnsi="Calibri"/>
                <w:sz w:val="22"/>
                <w:szCs w:val="22"/>
              </w:rPr>
              <w:t xml:space="preserve">Small, well-curated dataset. Needed to reproduce the DTKGIN baseline result.</w:t>
            </w:r>
          </w:p>
        </w:tc>
        <w:tc>
          <w:tcPr>
            <w:tcW w:type="pct" w:w="10%"/>
            <w:shd w:fill="FFFFFF" w:val="clear"/>
          </w:tcPr>
          <w:p>
            <w:r>
              <w:rPr>
                <w:rFonts w:ascii="Calibri" w:cs="Calibri" w:eastAsia="Calibri" w:hAnsi="Calibri"/>
                <w:sz w:val="22"/>
                <w:szCs w:val="22"/>
              </w:rPr>
              <w:t xml:space="preserve">High</w:t>
            </w:r>
          </w:p>
        </w:tc>
      </w:tr>
      <w:tr>
        <w:tc>
          <w:tcPr>
            <w:tcW w:type="pct" w:w="15%"/>
            <w:shd w:fill="EBF3F9" w:val="clear"/>
          </w:tcPr>
          <w:p>
            <w:r>
              <w:rPr>
                <w:rFonts w:ascii="Calibri" w:cs="Calibri" w:eastAsia="Calibri" w:hAnsi="Calibri"/>
                <w:sz w:val="22"/>
                <w:szCs w:val="22"/>
              </w:rPr>
              <w:t xml:space="preserve">Luo_17</w:t>
            </w:r>
          </w:p>
        </w:tc>
        <w:tc>
          <w:tcPr>
            <w:tcW w:type="pct" w:w="18%"/>
            <w:shd w:fill="EBF3F9" w:val="clear"/>
          </w:tcPr>
          <w:p>
            <w:r>
              <w:rPr>
                <w:rFonts w:ascii="Calibri" w:cs="Calibri" w:eastAsia="Calibri" w:hAnsi="Calibri"/>
                <w:sz w:val="22"/>
                <w:szCs w:val="22"/>
              </w:rPr>
              <w:t xml:space="preserve">Interaction (yes/no)</w:t>
            </w:r>
          </w:p>
        </w:tc>
        <w:tc>
          <w:tcPr>
            <w:tcW w:type="pct" w:w="47%"/>
            <w:shd w:fill="EBF3F9" w:val="clear"/>
          </w:tcPr>
          <w:p>
            <w:r>
              <w:rPr>
                <w:rFonts w:ascii="Calibri" w:cs="Calibri" w:eastAsia="Calibri" w:hAnsi="Calibri"/>
                <w:sz w:val="22"/>
                <w:szCs w:val="22"/>
              </w:rPr>
              <w:t xml:space="preserve">Larger network-based dataset. Needed to reproduce the GSRF-DTI baseline result.</w:t>
            </w:r>
          </w:p>
        </w:tc>
        <w:tc>
          <w:tcPr>
            <w:tcW w:type="pct" w:w="10%"/>
            <w:shd w:fill="EBF3F9" w:val="clear"/>
          </w:tcPr>
          <w:p>
            <w:r>
              <w:rPr>
                <w:rFonts w:ascii="Calibri" w:cs="Calibri" w:eastAsia="Calibri" w:hAnsi="Calibri"/>
                <w:sz w:val="22"/>
                <w:szCs w:val="22"/>
              </w:rPr>
              <w:t xml:space="preserve">High</w:t>
            </w:r>
          </w:p>
        </w:tc>
      </w:tr>
      <w:tr>
        <w:tc>
          <w:tcPr>
            <w:tcW w:type="pct" w:w="15%"/>
            <w:shd w:fill="FFFFFF" w:val="clear"/>
          </w:tcPr>
          <w:p>
            <w:r>
              <w:rPr>
                <w:rFonts w:ascii="Calibri" w:cs="Calibri" w:eastAsia="Calibri" w:hAnsi="Calibri"/>
                <w:sz w:val="22"/>
                <w:szCs w:val="22"/>
              </w:rPr>
              <w:t xml:space="preserve">BindingDB</w:t>
            </w:r>
          </w:p>
        </w:tc>
        <w:tc>
          <w:tcPr>
            <w:tcW w:type="pct" w:w="18%"/>
            <w:shd w:fill="FFFFFF" w:val="clear"/>
          </w:tcPr>
          <w:p>
            <w:r>
              <w:rPr>
                <w:rFonts w:ascii="Calibri" w:cs="Calibri" w:eastAsia="Calibri" w:hAnsi="Calibri"/>
                <w:sz w:val="22"/>
                <w:szCs w:val="22"/>
              </w:rPr>
              <w:t xml:space="preserve">Both tasks</w:t>
            </w:r>
          </w:p>
        </w:tc>
        <w:tc>
          <w:tcPr>
            <w:tcW w:type="pct" w:w="47%"/>
            <w:shd w:fill="FFFFFF" w:val="clear"/>
          </w:tcPr>
          <w:p>
            <w:r>
              <w:rPr>
                <w:rFonts w:ascii="Calibri" w:cs="Calibri" w:eastAsia="Calibri" w:hAnsi="Calibri"/>
                <w:sz w:val="22"/>
                <w:szCs w:val="22"/>
              </w:rPr>
              <w:t xml:space="preserve">Very large database with real experimental binding data for many drug–protein pairs.</w:t>
            </w:r>
          </w:p>
        </w:tc>
        <w:tc>
          <w:tcPr>
            <w:tcW w:type="pct" w:w="10%"/>
            <w:shd w:fill="FFFFFF" w:val="clear"/>
          </w:tcPr>
          <w:p>
            <w:r>
              <w:rPr>
                <w:rFonts w:ascii="Calibri" w:cs="Calibri" w:eastAsia="Calibri" w:hAnsi="Calibri"/>
                <w:sz w:val="22"/>
                <w:szCs w:val="22"/>
              </w:rPr>
              <w:t xml:space="preserve">High</w:t>
            </w:r>
          </w:p>
        </w:tc>
      </w:tr>
      <w:tr>
        <w:tc>
          <w:tcPr>
            <w:tcW w:type="pct" w:w="15%"/>
            <w:shd w:fill="EBF3F9" w:val="clear"/>
          </w:tcPr>
          <w:p>
            <w:r>
              <w:rPr>
                <w:rFonts w:ascii="Calibri" w:cs="Calibri" w:eastAsia="Calibri" w:hAnsi="Calibri"/>
                <w:sz w:val="22"/>
                <w:szCs w:val="22"/>
              </w:rPr>
              <w:t xml:space="preserve">ChEMBL</w:t>
            </w:r>
          </w:p>
        </w:tc>
        <w:tc>
          <w:tcPr>
            <w:tcW w:type="pct" w:w="18%"/>
            <w:shd w:fill="EBF3F9" w:val="clear"/>
          </w:tcPr>
          <w:p>
            <w:r>
              <w:rPr>
                <w:rFonts w:ascii="Calibri" w:cs="Calibri" w:eastAsia="Calibri" w:hAnsi="Calibri"/>
                <w:sz w:val="22"/>
                <w:szCs w:val="22"/>
              </w:rPr>
              <w:t xml:space="preserve">Both tasks</w:t>
            </w:r>
          </w:p>
        </w:tc>
        <w:tc>
          <w:tcPr>
            <w:tcW w:type="pct" w:w="47%"/>
            <w:shd w:fill="EBF3F9" w:val="clear"/>
          </w:tcPr>
          <w:p>
            <w:r>
              <w:rPr>
                <w:rFonts w:ascii="Calibri" w:cs="Calibri" w:eastAsia="Calibri" w:hAnsi="Calibri"/>
                <w:sz w:val="22"/>
                <w:szCs w:val="22"/>
              </w:rPr>
              <w:t xml:space="preserve">Used later to test how well the trained model works on completely new data.</w:t>
            </w:r>
          </w:p>
        </w:tc>
        <w:tc>
          <w:tcPr>
            <w:tcW w:type="pct" w:w="10%"/>
            <w:shd w:fill="EBF3F9" w:val="clear"/>
          </w:tcPr>
          <w:p>
            <w:r>
              <w:rPr>
                <w:rFonts w:ascii="Calibri" w:cs="Calibri" w:eastAsia="Calibri" w:hAnsi="Calibri"/>
                <w:sz w:val="22"/>
                <w:szCs w:val="22"/>
              </w:rPr>
              <w:t xml:space="preserve">Medium</w:t>
            </w:r>
          </w:p>
        </w:tc>
      </w:tr>
      <w:tr>
        <w:tc>
          <w:tcPr>
            <w:tcW w:type="pct" w:w="15%"/>
            <w:shd w:fill="FFFFFF" w:val="clear"/>
          </w:tcPr>
          <w:p>
            <w:r>
              <w:rPr>
                <w:rFonts w:ascii="Calibri" w:cs="Calibri" w:eastAsia="Calibri" w:hAnsi="Calibri"/>
                <w:sz w:val="22"/>
                <w:szCs w:val="22"/>
              </w:rPr>
              <w:t xml:space="preserve">DrugBank</w:t>
            </w:r>
          </w:p>
        </w:tc>
        <w:tc>
          <w:tcPr>
            <w:tcW w:type="pct" w:w="18%"/>
            <w:shd w:fill="FFFFFF" w:val="clear"/>
          </w:tcPr>
          <w:p>
            <w:r>
              <w:rPr>
                <w:rFonts w:ascii="Calibri" w:cs="Calibri" w:eastAsia="Calibri" w:hAnsi="Calibri"/>
                <w:sz w:val="22"/>
                <w:szCs w:val="22"/>
              </w:rPr>
              <w:t xml:space="preserve">Supplementary</w:t>
            </w:r>
          </w:p>
        </w:tc>
        <w:tc>
          <w:tcPr>
            <w:tcW w:type="pct" w:w="47%"/>
            <w:shd w:fill="FFFFFF" w:val="clear"/>
          </w:tcPr>
          <w:p>
            <w:r>
              <w:rPr>
                <w:rFonts w:ascii="Calibri" w:cs="Calibri" w:eastAsia="Calibri" w:hAnsi="Calibri"/>
                <w:sz w:val="22"/>
                <w:szCs w:val="22"/>
              </w:rPr>
              <w:t xml:space="preserve">Used to pre-train the model before the main training starts.</w:t>
            </w:r>
          </w:p>
        </w:tc>
        <w:tc>
          <w:tcPr>
            <w:tcW w:type="pct" w:w="10%"/>
            <w:shd w:fill="FFFFFF" w:val="clear"/>
          </w:tcPr>
          <w:p>
            <w:r>
              <w:rPr>
                <w:rFonts w:ascii="Calibri" w:cs="Calibri" w:eastAsia="Calibri" w:hAnsi="Calibri"/>
                <w:sz w:val="22"/>
                <w:szCs w:val="22"/>
              </w:rPr>
              <w:t xml:space="preserve">Medium</w:t>
            </w:r>
          </w:p>
        </w:tc>
      </w:tr>
    </w:tbl>
    <w:p>
      <w:pPr>
        <w:spacing w:after="80"/>
      </w:pPr>
    </w:p>
    <w:p>
      <w:pPr>
        <w:pStyle w:val="Heading2"/>
        <w:spacing w:after="120" w:before="320"/>
      </w:pPr>
      <w:r>
        <w:t xml:space="preserve">1.2  What to Download for Each Dataset</w:t>
      </w:r>
    </w:p>
    <w:p>
      <w:pPr>
        <w:spacing w:after="120" w:line="276"/>
        <w:jc w:val="both"/>
      </w:pPr>
      <w:r>
        <w:rPr>
          <w:rFonts w:ascii="Calibri" w:cs="Calibri" w:eastAsia="Calibri" w:hAnsi="Calibri"/>
          <w:sz w:val="24"/>
          <w:szCs w:val="24"/>
        </w:rPr>
        <w:t xml:space="preserve">For every dataset, you need three things:</w:t>
      </w:r>
    </w:p>
    <w:p>
      <w:pPr>
        <w:pStyle w:val="ListParagraph"/>
        <w:numPr>
          <w:ilvl w:val="0"/>
          <w:numId w:val="1"/>
        </w:numPr>
        <w:spacing w:after="80" w:line="276"/>
        <w:ind w:left="360"/>
      </w:pPr>
      <w:r>
        <w:rPr>
          <w:rFonts w:ascii="Calibri" w:cs="Calibri" w:eastAsia="Calibri" w:hAnsi="Calibri"/>
          <w:sz w:val="24"/>
          <w:szCs w:val="24"/>
        </w:rPr>
        <w:t xml:space="preserve">Interaction labels — a file that maps each drug–protein pair to a label (1 = interact, 0 = do not interact) or an affinity number.</w:t>
      </w:r>
    </w:p>
    <w:p>
      <w:pPr>
        <w:pStyle w:val="ListParagraph"/>
        <w:numPr>
          <w:ilvl w:val="0"/>
          <w:numId w:val="1"/>
        </w:numPr>
        <w:spacing w:after="80" w:line="276"/>
        <w:ind w:left="360"/>
      </w:pPr>
      <w:r>
        <w:rPr>
          <w:rFonts w:ascii="Calibri" w:cs="Calibri" w:eastAsia="Calibri" w:hAnsi="Calibri"/>
          <w:sz w:val="24"/>
          <w:szCs w:val="24"/>
        </w:rPr>
        <w:t xml:space="preserve">Drug SMILES strings — a text representation of each drug's chemical structure (e.g., CCO for ethanol).</w:t>
      </w:r>
    </w:p>
    <w:p>
      <w:pPr>
        <w:pStyle w:val="ListParagraph"/>
        <w:numPr>
          <w:ilvl w:val="0"/>
          <w:numId w:val="1"/>
        </w:numPr>
        <w:spacing w:after="80" w:line="276"/>
        <w:ind w:left="360"/>
      </w:pPr>
      <w:r>
        <w:rPr>
          <w:rFonts w:ascii="Calibri" w:cs="Calibri" w:eastAsia="Calibri" w:hAnsi="Calibri"/>
          <w:sz w:val="24"/>
          <w:szCs w:val="24"/>
        </w:rPr>
        <w:t xml:space="preserve">Protein FASTA sequences — the amino acid sequence of each protein target (e.g., MKTAYIAKQ...).</w:t>
      </w:r>
    </w:p>
    <w:p>
      <w:pPr>
        <w:spacing w:after="80"/>
      </w:pPr>
    </w:p>
    <w:p>
      <w:pPr>
        <w:pStyle w:val="Heading2"/>
        <w:spacing w:after="120" w:before="320"/>
      </w:pPr>
      <w:r>
        <w:t xml:space="preserve">1.3  Step-by-Step Download Instructions</w:t>
      </w:r>
    </w:p>
    <w:p>
      <w:pPr>
        <w:pStyle w:val="Heading3"/>
        <w:spacing w:after="80" w:before="240"/>
      </w:pPr>
      <w:r>
        <w:t xml:space="preserve">Step 1 — DAVIS and KIBA</w:t>
      </w:r>
    </w:p>
    <w:p>
      <w:pPr>
        <w:spacing w:after="120" w:line="276"/>
        <w:jc w:val="both"/>
      </w:pPr>
      <w:r>
        <w:rPr>
          <w:rFonts w:ascii="Calibri" w:cs="Calibri" w:eastAsia="Calibri" w:hAnsi="Calibri"/>
          <w:sz w:val="24"/>
          <w:szCs w:val="24"/>
        </w:rPr>
        <w:t xml:space="preserve">Clone the DeepDTA GitHub repository. It contains ready-made files for both datasets. This is the safest option because many published papers used these exact files, making comparisons fair.</w:t>
      </w:r>
    </w:p>
    <w:p>
      <w:pPr>
        <w:pStyle w:val="ListParagraph"/>
        <w:numPr>
          <w:ilvl w:val="0"/>
          <w:numId w:val="1"/>
        </w:numPr>
        <w:spacing w:after="80" w:line="276"/>
        <w:ind w:left="360"/>
      </w:pPr>
      <w:r>
        <w:rPr>
          <w:rFonts w:ascii="Calibri" w:cs="Calibri" w:eastAsia="Calibri" w:hAnsi="Calibri"/>
          <w:sz w:val="24"/>
          <w:szCs w:val="24"/>
        </w:rPr>
        <w:t xml:space="preserve">Files needed: affinity matrix (Y), ligands file (SMILES), proteins file (sequences)</w:t>
      </w:r>
    </w:p>
    <w:p>
      <w:pPr>
        <w:pStyle w:val="Heading3"/>
        <w:spacing w:after="80" w:before="240"/>
      </w:pPr>
      <w:r>
        <w:t xml:space="preserve">Step 2 — Yamanishi_08 and Luo_17</w:t>
      </w:r>
    </w:p>
    <w:p>
      <w:pPr>
        <w:spacing w:after="120" w:line="276"/>
        <w:jc w:val="both"/>
      </w:pPr>
      <w:r>
        <w:rPr>
          <w:rFonts w:ascii="Calibri" w:cs="Calibri" w:eastAsia="Calibri" w:hAnsi="Calibri"/>
          <w:sz w:val="24"/>
          <w:szCs w:val="24"/>
        </w:rPr>
        <w:t xml:space="preserve">Download from the DTINet GitHub repository or from the supplementary material of the Luo et al. (2017) paper. The Yamanishi_08 dataset has four sub-groups: Enzyme (E), Ion Channel (IC), GPCR, and Nuclear Receptor (NR).</w:t>
      </w:r>
    </w:p>
    <w:p>
      <w:pPr>
        <w:pStyle w:val="ListParagraph"/>
        <w:numPr>
          <w:ilvl w:val="0"/>
          <w:numId w:val="1"/>
        </w:numPr>
        <w:spacing w:after="80" w:line="276"/>
        <w:ind w:left="360"/>
      </w:pPr>
      <w:r>
        <w:rPr>
          <w:rFonts w:ascii="Calibri" w:cs="Calibri" w:eastAsia="Calibri" w:hAnsi="Calibri"/>
          <w:sz w:val="24"/>
          <w:szCs w:val="24"/>
        </w:rPr>
        <w:t xml:space="preserve">Download all four sub-groups from Yamanishi_08 separately.</w:t>
      </w:r>
    </w:p>
    <w:p>
      <w:pPr>
        <w:pStyle w:val="ListParagraph"/>
        <w:numPr>
          <w:ilvl w:val="0"/>
          <w:numId w:val="1"/>
        </w:numPr>
        <w:spacing w:after="80" w:line="276"/>
        <w:ind w:left="360"/>
      </w:pPr>
      <w:r>
        <w:rPr>
          <w:rFonts w:ascii="Calibri" w:cs="Calibri" w:eastAsia="Calibri" w:hAnsi="Calibri"/>
          <w:sz w:val="24"/>
          <w:szCs w:val="24"/>
        </w:rPr>
        <w:t xml:space="preserve">Download the full Luo_17 drug–target interaction matrix.</w:t>
      </w:r>
    </w:p>
    <w:p>
      <w:pPr>
        <w:pStyle w:val="Heading3"/>
        <w:spacing w:after="80" w:before="240"/>
      </w:pPr>
      <w:r>
        <w:t xml:space="preserve">Step 3 — BindingDB</w:t>
      </w:r>
    </w:p>
    <w:p>
      <w:pPr>
        <w:spacing w:after="120" w:line="276"/>
        <w:jc w:val="both"/>
      </w:pPr>
      <w:r>
        <w:rPr>
          <w:rFonts w:ascii="Calibri" w:cs="Calibri" w:eastAsia="Calibri" w:hAnsi="Calibri"/>
          <w:sz w:val="24"/>
          <w:szCs w:val="24"/>
        </w:rPr>
        <w:t xml:space="preserve">Go to the BindingDB website and download the full file: BindingDB_All.tsv.gz. After downloading, apply these filters to keep only useful records:</w:t>
      </w:r>
    </w:p>
    <w:p>
      <w:pPr>
        <w:pStyle w:val="ListParagraph"/>
        <w:numPr>
          <w:ilvl w:val="0"/>
          <w:numId w:val="1"/>
        </w:numPr>
        <w:spacing w:after="80" w:line="276"/>
        <w:ind w:left="360"/>
      </w:pPr>
      <w:r>
        <w:rPr>
          <w:rFonts w:ascii="Calibri" w:cs="Calibri" w:eastAsia="Calibri" w:hAnsi="Calibri"/>
          <w:sz w:val="24"/>
          <w:szCs w:val="24"/>
        </w:rPr>
        <w:t xml:space="preserve">Keep only rows with Kd, Ki, or IC50 values.</w:t>
      </w:r>
    </w:p>
    <w:p>
      <w:pPr>
        <w:pStyle w:val="ListParagraph"/>
        <w:numPr>
          <w:ilvl w:val="0"/>
          <w:numId w:val="1"/>
        </w:numPr>
        <w:spacing w:after="80" w:line="276"/>
        <w:ind w:left="360"/>
      </w:pPr>
      <w:r>
        <w:rPr>
          <w:rFonts w:ascii="Calibri" w:cs="Calibri" w:eastAsia="Calibri" w:hAnsi="Calibri"/>
          <w:sz w:val="24"/>
          <w:szCs w:val="24"/>
        </w:rPr>
        <w:t xml:space="preserve">Remove rows with missing SMILES or missing UniProt protein ID.</w:t>
      </w:r>
    </w:p>
    <w:p>
      <w:pPr>
        <w:pStyle w:val="ListParagraph"/>
        <w:numPr>
          <w:ilvl w:val="0"/>
          <w:numId w:val="1"/>
        </w:numPr>
        <w:spacing w:after="80" w:line="276"/>
        <w:ind w:left="360"/>
      </w:pPr>
      <w:r>
        <w:rPr>
          <w:rFonts w:ascii="Calibri" w:cs="Calibri" w:eastAsia="Calibri" w:hAnsi="Calibri"/>
          <w:sz w:val="24"/>
          <w:szCs w:val="24"/>
        </w:rPr>
        <w:t xml:space="preserve">For binary labelling: mark as positive (1) if Kd ≤ 10,000 nM; mark as negative (0) otherwise.</w:t>
      </w:r>
    </w:p>
    <w:p>
      <w:pPr>
        <w:pStyle w:val="Heading3"/>
        <w:spacing w:after="80" w:before="240"/>
      </w:pPr>
      <w:r>
        <w:t xml:space="preserve">Step 4 — ChEMBL (for transfer testing)</w:t>
      </w:r>
    </w:p>
    <w:p>
      <w:pPr>
        <w:spacing w:after="120" w:line="276"/>
        <w:jc w:val="both"/>
      </w:pPr>
      <w:r>
        <w:rPr>
          <w:rFonts w:ascii="Calibri" w:cs="Calibri" w:eastAsia="Calibri" w:hAnsi="Calibri"/>
          <w:sz w:val="24"/>
          <w:szCs w:val="24"/>
        </w:rPr>
        <w:t xml:space="preserve">Download the ChEMBL SQLite database from the ChEMBL website, or use their REST API. Filter records to keep only those where:</w:t>
      </w:r>
    </w:p>
    <w:p>
      <w:pPr>
        <w:pStyle w:val="ListParagraph"/>
        <w:numPr>
          <w:ilvl w:val="0"/>
          <w:numId w:val="1"/>
        </w:numPr>
        <w:spacing w:after="80" w:line="276"/>
        <w:ind w:left="360"/>
      </w:pPr>
      <w:r>
        <w:rPr>
          <w:rFonts w:ascii="Calibri" w:cs="Calibri" w:eastAsia="Calibri" w:hAnsi="Calibri"/>
          <w:sz w:val="24"/>
          <w:szCs w:val="24"/>
        </w:rPr>
        <w:t xml:space="preserve">Measurement type is IC50, Ki, or Kd</w:t>
      </w:r>
    </w:p>
    <w:p>
      <w:pPr>
        <w:pStyle w:val="ListParagraph"/>
        <w:numPr>
          <w:ilvl w:val="0"/>
          <w:numId w:val="1"/>
        </w:numPr>
        <w:spacing w:after="80" w:line="276"/>
        <w:ind w:left="360"/>
      </w:pPr>
      <w:r>
        <w:rPr>
          <w:rFonts w:ascii="Calibri" w:cs="Calibri" w:eastAsia="Calibri" w:hAnsi="Calibri"/>
          <w:sz w:val="24"/>
          <w:szCs w:val="24"/>
        </w:rPr>
        <w:t xml:space="preserve">Measurement relation is '=' (exact value, not '&gt;=' or '&lt;')</w:t>
      </w:r>
    </w:p>
    <w:p>
      <w:pPr>
        <w:pStyle w:val="ListParagraph"/>
        <w:numPr>
          <w:ilvl w:val="0"/>
          <w:numId w:val="1"/>
        </w:numPr>
        <w:spacing w:after="80" w:line="276"/>
        <w:ind w:left="360"/>
      </w:pPr>
      <w:r>
        <w:rPr>
          <w:rFonts w:ascii="Calibri" w:cs="Calibri" w:eastAsia="Calibri" w:hAnsi="Calibri"/>
          <w:sz w:val="24"/>
          <w:szCs w:val="24"/>
        </w:rPr>
        <w:t xml:space="preserve">Units are nM</w:t>
      </w:r>
    </w:p>
    <w:p>
      <w:pPr>
        <w:pStyle w:val="ListParagraph"/>
        <w:numPr>
          <w:ilvl w:val="0"/>
          <w:numId w:val="1"/>
        </w:numPr>
        <w:spacing w:after="80" w:line="276"/>
        <w:ind w:left="360"/>
      </w:pPr>
      <w:r>
        <w:rPr>
          <w:rFonts w:ascii="Calibri" w:cs="Calibri" w:eastAsia="Calibri" w:hAnsi="Calibri"/>
          <w:sz w:val="24"/>
          <w:szCs w:val="24"/>
        </w:rPr>
        <w:t xml:space="preserve">pChEMBL value is available</w:t>
      </w:r>
    </w:p>
    <w:p>
      <w:pPr>
        <w:pStyle w:val="Heading3"/>
        <w:spacing w:after="80" w:before="240"/>
      </w:pPr>
      <w:r>
        <w:t xml:space="preserve">Step 5 — DrugBank (for pre-training)</w:t>
      </w:r>
    </w:p>
    <w:p>
      <w:pPr>
        <w:spacing w:after="120" w:line="276"/>
        <w:jc w:val="both"/>
      </w:pPr>
      <w:r>
        <w:rPr>
          <w:rFonts w:ascii="Calibri" w:cs="Calibri" w:eastAsia="Calibri" w:hAnsi="Calibri"/>
          <w:sz w:val="24"/>
          <w:szCs w:val="24"/>
        </w:rPr>
        <w:t xml:space="preserve">Register for a free academic account at drugbank.ca. Then download:</w:t>
      </w:r>
    </w:p>
    <w:p>
      <w:pPr>
        <w:pStyle w:val="ListParagraph"/>
        <w:numPr>
          <w:ilvl w:val="0"/>
          <w:numId w:val="1"/>
        </w:numPr>
        <w:spacing w:after="80" w:line="276"/>
        <w:ind w:left="360"/>
      </w:pPr>
      <w:r>
        <w:rPr>
          <w:rFonts w:ascii="Calibri" w:cs="Calibri" w:eastAsia="Calibri" w:hAnsi="Calibri"/>
          <w:sz w:val="24"/>
          <w:szCs w:val="24"/>
        </w:rPr>
        <w:t xml:space="preserve">drugbank_all_structures.sdf — contains SMILES for all drugs</w:t>
      </w:r>
    </w:p>
    <w:p>
      <w:pPr>
        <w:pStyle w:val="ListParagraph"/>
        <w:numPr>
          <w:ilvl w:val="0"/>
          <w:numId w:val="1"/>
        </w:numPr>
        <w:spacing w:after="80" w:line="276"/>
        <w:ind w:left="360"/>
      </w:pPr>
      <w:r>
        <w:rPr>
          <w:rFonts w:ascii="Calibri" w:cs="Calibri" w:eastAsia="Calibri" w:hAnsi="Calibri"/>
          <w:sz w:val="24"/>
          <w:szCs w:val="24"/>
        </w:rPr>
        <w:t xml:space="preserve">drug_target_links.csv — contains known drug–protein interaction pairs</w:t>
      </w:r>
    </w:p>
    <w:p>
      <w:pPr>
        <w:spacing w:after="80"/>
      </w:pPr>
    </w:p>
    <w:p>
      <w:pPr>
        <w:pStyle w:val="Heading2"/>
        <w:spacing w:after="120" w:before="320"/>
      </w:pPr>
      <w:r>
        <w:t xml:space="preserve">1.4  Data Quality Checks</w:t>
      </w:r>
    </w:p>
    <w:p>
      <w:pPr>
        <w:spacing w:after="120" w:line="276"/>
        <w:jc w:val="both"/>
      </w:pPr>
      <w:r>
        <w:rPr>
          <w:rFonts w:ascii="Calibri" w:cs="Calibri" w:eastAsia="Calibri" w:hAnsi="Calibri"/>
          <w:sz w:val="24"/>
          <w:szCs w:val="24"/>
        </w:rPr>
        <w:t xml:space="preserve">Before moving to preprocessing, check the data quality. The table below lists what to check and what to do if there is a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1F497D" w:val="clear"/>
          </w:tcPr>
          <w:p>
            <w:pPr>
              <w:jc w:val="center"/>
            </w:pPr>
            <w:r>
              <w:rPr>
                <w:rFonts w:ascii="Calibri" w:cs="Calibri" w:eastAsia="Calibri" w:hAnsi="Calibri"/>
                <w:b/>
                <w:bCs/>
                <w:sz w:val="22"/>
                <w:szCs w:val="22"/>
              </w:rPr>
              <w:t xml:space="preserve">What to Check</w:t>
            </w:r>
          </w:p>
        </w:tc>
        <w:tc>
          <w:tcPr>
            <w:tcW w:type="pct" w:w="65%"/>
            <w:shd w:fill="1F497D" w:val="clear"/>
          </w:tcPr>
          <w:p>
            <w:pPr>
              <w:jc w:val="center"/>
            </w:pPr>
            <w:r>
              <w:rPr>
                <w:rFonts w:ascii="Calibri" w:cs="Calibri" w:eastAsia="Calibri" w:hAnsi="Calibri"/>
                <w:b/>
                <w:bCs/>
                <w:sz w:val="22"/>
                <w:szCs w:val="22"/>
              </w:rPr>
              <w:t xml:space="preserve">How to Fix It</w:t>
            </w:r>
          </w:p>
        </w:tc>
      </w:tr>
      <w:tr>
        <w:tc>
          <w:tcPr>
            <w:tcW w:type="pct" w:w="35%"/>
            <w:shd w:fill="FFFFFF" w:val="clear"/>
          </w:tcPr>
          <w:p>
            <w:r>
              <w:rPr>
                <w:rFonts w:ascii="Calibri" w:cs="Calibri" w:eastAsia="Calibri" w:hAnsi="Calibri"/>
                <w:sz w:val="22"/>
                <w:szCs w:val="22"/>
              </w:rPr>
              <w:t xml:space="preserve">Duplicate drug–protein pairs</w:t>
            </w:r>
          </w:p>
        </w:tc>
        <w:tc>
          <w:tcPr>
            <w:tcW w:type="pct" w:w="65%"/>
            <w:shd w:fill="FFFFFF" w:val="clear"/>
          </w:tcPr>
          <w:p>
            <w:r>
              <w:rPr>
                <w:rFonts w:ascii="Calibri" w:cs="Calibri" w:eastAsia="Calibri" w:hAnsi="Calibri"/>
                <w:sz w:val="22"/>
                <w:szCs w:val="22"/>
              </w:rPr>
              <w:t xml:space="preserve">Remove duplicates. If two rows have the same pair but different affinity values, keep the one with the smaller (more precise) value.</w:t>
            </w:r>
          </w:p>
        </w:tc>
      </w:tr>
      <w:tr>
        <w:tc>
          <w:tcPr>
            <w:tcW w:type="pct" w:w="35%"/>
            <w:shd w:fill="EBF3F9" w:val="clear"/>
          </w:tcPr>
          <w:p>
            <w:r>
              <w:rPr>
                <w:rFonts w:ascii="Calibri" w:cs="Calibri" w:eastAsia="Calibri" w:hAnsi="Calibri"/>
                <w:sz w:val="22"/>
                <w:szCs w:val="22"/>
              </w:rPr>
              <w:t xml:space="preserve">Invalid SMILES strings</w:t>
            </w:r>
          </w:p>
        </w:tc>
        <w:tc>
          <w:tcPr>
            <w:tcW w:type="pct" w:w="65%"/>
            <w:shd w:fill="EBF3F9" w:val="clear"/>
          </w:tcPr>
          <w:p>
            <w:r>
              <w:rPr>
                <w:rFonts w:ascii="Calibri" w:cs="Calibri" w:eastAsia="Calibri" w:hAnsi="Calibri"/>
                <w:sz w:val="22"/>
                <w:szCs w:val="22"/>
              </w:rPr>
              <w:t xml:space="preserve">Use RDKit to check each SMILES. Remove any that RDKit cannot read. Record how many were removed.</w:t>
            </w:r>
          </w:p>
        </w:tc>
      </w:tr>
      <w:tr>
        <w:tc>
          <w:tcPr>
            <w:tcW w:type="pct" w:w="35%"/>
            <w:shd w:fill="FFFFFF" w:val="clear"/>
          </w:tcPr>
          <w:p>
            <w:r>
              <w:rPr>
                <w:rFonts w:ascii="Calibri" w:cs="Calibri" w:eastAsia="Calibri" w:hAnsi="Calibri"/>
                <w:sz w:val="22"/>
                <w:szCs w:val="22"/>
              </w:rPr>
              <w:t xml:space="preserve">Missing protein sequences</w:t>
            </w:r>
          </w:p>
        </w:tc>
        <w:tc>
          <w:tcPr>
            <w:tcW w:type="pct" w:w="65%"/>
            <w:shd w:fill="FFFFFF" w:val="clear"/>
          </w:tcPr>
          <w:p>
            <w:r>
              <w:rPr>
                <w:rFonts w:ascii="Calibri" w:cs="Calibri" w:eastAsia="Calibri" w:hAnsi="Calibri"/>
                <w:sz w:val="22"/>
                <w:szCs w:val="22"/>
              </w:rPr>
              <w:t xml:space="preserve">Use the UniProt REST API to look up missing sequences by their accession number.</w:t>
            </w:r>
          </w:p>
        </w:tc>
      </w:tr>
      <w:tr>
        <w:tc>
          <w:tcPr>
            <w:tcW w:type="pct" w:w="35%"/>
            <w:shd w:fill="EBF3F9" w:val="clear"/>
          </w:tcPr>
          <w:p>
            <w:r>
              <w:rPr>
                <w:rFonts w:ascii="Calibri" w:cs="Calibri" w:eastAsia="Calibri" w:hAnsi="Calibri"/>
                <w:sz w:val="22"/>
                <w:szCs w:val="22"/>
              </w:rPr>
              <w:t xml:space="preserve">Very unusual affinity values (pKd &lt; 3 or &gt; 12)</w:t>
            </w:r>
          </w:p>
        </w:tc>
        <w:tc>
          <w:tcPr>
            <w:tcW w:type="pct" w:w="65%"/>
            <w:shd w:fill="EBF3F9" w:val="clear"/>
          </w:tcPr>
          <w:p>
            <w:r>
              <w:rPr>
                <w:rFonts w:ascii="Calibri" w:cs="Calibri" w:eastAsia="Calibri" w:hAnsi="Calibri"/>
                <w:sz w:val="22"/>
                <w:szCs w:val="22"/>
              </w:rPr>
              <w:t xml:space="preserve">Flag these rows. Consider removing them or capping the values.</w:t>
            </w:r>
          </w:p>
        </w:tc>
      </w:tr>
      <w:tr>
        <w:tc>
          <w:tcPr>
            <w:tcW w:type="pct" w:w="35%"/>
            <w:shd w:fill="FFFFFF" w:val="clear"/>
          </w:tcPr>
          <w:p>
            <w:r>
              <w:rPr>
                <w:rFonts w:ascii="Calibri" w:cs="Calibri" w:eastAsia="Calibri" w:hAnsi="Calibri"/>
                <w:sz w:val="22"/>
                <w:szCs w:val="22"/>
              </w:rPr>
              <w:t xml:space="preserve">How many positives vs. negatives</w:t>
            </w:r>
          </w:p>
        </w:tc>
        <w:tc>
          <w:tcPr>
            <w:tcW w:type="pct" w:w="65%"/>
            <w:shd w:fill="FFFFFF" w:val="clear"/>
          </w:tcPr>
          <w:p>
            <w:r>
              <w:rPr>
                <w:rFonts w:ascii="Calibri" w:cs="Calibri" w:eastAsia="Calibri" w:hAnsi="Calibri"/>
                <w:sz w:val="22"/>
                <w:szCs w:val="22"/>
              </w:rPr>
              <w:t xml:space="preserve">Count the ratio. Write it down — you will need it to set the negative sampling ratio in Phase 2.</w:t>
            </w:r>
          </w:p>
        </w:tc>
      </w:tr>
      <w:tr>
        <w:tc>
          <w:tcPr>
            <w:tcW w:type="pct" w:w="35%"/>
            <w:shd w:fill="EBF3F9" w:val="clear"/>
          </w:tcPr>
          <w:p>
            <w:r>
              <w:rPr>
                <w:rFonts w:ascii="Calibri" w:cs="Calibri" w:eastAsia="Calibri" w:hAnsi="Calibri"/>
                <w:sz w:val="22"/>
                <w:szCs w:val="22"/>
              </w:rPr>
              <w:t xml:space="preserve">How long the protein sequences are</w:t>
            </w:r>
          </w:p>
        </w:tc>
        <w:tc>
          <w:tcPr>
            <w:tcW w:type="pct" w:w="65%"/>
            <w:shd w:fill="EBF3F9" w:val="clear"/>
          </w:tcPr>
          <w:p>
            <w:r>
              <w:rPr>
                <w:rFonts w:ascii="Calibri" w:cs="Calibri" w:eastAsia="Calibri" w:hAnsi="Calibri"/>
                <w:sz w:val="22"/>
                <w:szCs w:val="22"/>
              </w:rPr>
              <w:t xml:space="preserve">Find the 95th percentile length. Use this as your maximum sequence length when padding/truncating.</w:t>
            </w:r>
          </w:p>
        </w:tc>
      </w:tr>
    </w:tbl>
    <w:p>
      <w:pPr>
        <w:spacing w:after="80"/>
      </w:pPr>
    </w:p>
    <w:p>
      <w:pPr>
        <w:pStyle w:val="Heading1"/>
        <w:spacing w:after="160" w:before="400"/>
      </w:pPr>
      <w:r>
        <w:t xml:space="preserve">Phase 2: Data Preprocessing</w:t>
      </w:r>
    </w:p>
    <w:p>
      <w:pPr>
        <w:spacing w:after="120" w:line="276"/>
        <w:jc w:val="both"/>
      </w:pPr>
      <w:r>
        <w:rPr>
          <w:rFonts w:ascii="Calibri" w:cs="Calibri" w:eastAsia="Calibri" w:hAnsi="Calibri"/>
          <w:sz w:val="24"/>
          <w:szCs w:val="24"/>
        </w:rPr>
        <w:t xml:space="preserve">Raw data cannot be fed directly into the model. We need to convert drugs into graphs and proteins into number vectors (embeddings).</w:t>
      </w:r>
    </w:p>
    <w:p>
      <w:pPr>
        <w:pStyle w:val="Heading2"/>
        <w:spacing w:after="120" w:before="320"/>
      </w:pPr>
      <w:r>
        <w:t xml:space="preserve">2.1  Drug Representation — Building a Molecular Graph</w:t>
      </w:r>
    </w:p>
    <w:p>
      <w:pPr>
        <w:spacing w:after="120" w:line="276"/>
        <w:jc w:val="both"/>
      </w:pPr>
      <w:r>
        <w:rPr>
          <w:rFonts w:ascii="Calibri" w:cs="Calibri" w:eastAsia="Calibri" w:hAnsi="Calibri"/>
          <w:sz w:val="24"/>
          <w:szCs w:val="24"/>
        </w:rPr>
        <w:t xml:space="preserve">For each drug SMILES string, do the following:</w:t>
      </w:r>
    </w:p>
    <w:p>
      <w:pPr>
        <w:pStyle w:val="ListParagraph"/>
        <w:numPr>
          <w:ilvl w:val="0"/>
          <w:numId w:val="2"/>
        </w:numPr>
        <w:spacing w:after="80" w:line="276"/>
      </w:pPr>
      <w:r>
        <w:rPr>
          <w:rFonts w:ascii="Calibri" w:cs="Calibri" w:eastAsia="Calibri" w:hAnsi="Calibri"/>
          <w:sz w:val="24"/>
          <w:szCs w:val="24"/>
        </w:rPr>
        <w:t xml:space="preserve">Use RDKit (a Python chemistry library) to read the SMILES and build a molecular graph.</w:t>
      </w:r>
    </w:p>
    <w:p>
      <w:pPr>
        <w:pStyle w:val="ListParagraph"/>
        <w:numPr>
          <w:ilvl w:val="0"/>
          <w:numId w:val="2"/>
        </w:numPr>
        <w:spacing w:after="80" w:line="276"/>
      </w:pPr>
      <w:r>
        <w:rPr>
          <w:rFonts w:ascii="Calibri" w:cs="Calibri" w:eastAsia="Calibri" w:hAnsi="Calibri"/>
          <w:sz w:val="24"/>
          <w:szCs w:val="24"/>
        </w:rPr>
        <w:t xml:space="preserve">Each atom becomes a node. The node features are: atomic number, number of bonds (degree), type of hybridization (sp, sp2, sp3), whether the atom is aromatic (yes/no), and formal charge.</w:t>
      </w:r>
    </w:p>
    <w:p>
      <w:pPr>
        <w:pStyle w:val="ListParagraph"/>
        <w:numPr>
          <w:ilvl w:val="0"/>
          <w:numId w:val="2"/>
        </w:numPr>
        <w:spacing w:after="80" w:line="276"/>
      </w:pPr>
      <w:r>
        <w:rPr>
          <w:rFonts w:ascii="Calibri" w:cs="Calibri" w:eastAsia="Calibri" w:hAnsi="Calibri"/>
          <w:sz w:val="24"/>
          <w:szCs w:val="24"/>
        </w:rPr>
        <w:t xml:space="preserve">Each bond becomes an edge. The edge features are: bond type (single, double, triple, aromatic), whether it is conjugated (yes/no), and whether it is in a ring (yes/no).</w:t>
      </w:r>
    </w:p>
    <w:p>
      <w:pPr>
        <w:pStyle w:val="ListParagraph"/>
        <w:numPr>
          <w:ilvl w:val="0"/>
          <w:numId w:val="2"/>
        </w:numPr>
        <w:spacing w:after="80" w:line="276"/>
      </w:pPr>
      <w:r>
        <w:rPr>
          <w:rFonts w:ascii="Calibri" w:cs="Calibri" w:eastAsia="Calibri" w:hAnsi="Calibri"/>
          <w:sz w:val="24"/>
          <w:szCs w:val="24"/>
        </w:rPr>
        <w:t xml:space="preserve">Add pre-trained ChemBERTa embeddings as extra node features. ChemBERTa is a language model trained on millions of drug molecules. Its embeddings give the model extra chemical knowledge at the start.</w:t>
      </w:r>
    </w:p>
    <w:p>
      <w:pPr>
        <w:spacing w:after="80"/>
      </w:pPr>
    </w:p>
    <w:p>
      <w:pPr>
        <w:pStyle w:val="Heading2"/>
        <w:spacing w:after="120" w:before="320"/>
      </w:pPr>
      <w:r>
        <w:t xml:space="preserve">2.2  Protein Representation — Building a Sequence Embedding</w:t>
      </w:r>
    </w:p>
    <w:p>
      <w:pPr>
        <w:spacing w:after="120" w:line="276"/>
        <w:jc w:val="both"/>
      </w:pPr>
      <w:r>
        <w:rPr>
          <w:rFonts w:ascii="Calibri" w:cs="Calibri" w:eastAsia="Calibri" w:hAnsi="Calibri"/>
          <w:sz w:val="24"/>
          <w:szCs w:val="24"/>
        </w:rPr>
        <w:t xml:space="preserve">For each protein FASTA sequence, do the following:</w:t>
      </w:r>
    </w:p>
    <w:p>
      <w:pPr>
        <w:pStyle w:val="ListParagraph"/>
        <w:numPr>
          <w:ilvl w:val="0"/>
          <w:numId w:val="2"/>
        </w:numPr>
        <w:spacing w:after="80" w:line="276"/>
      </w:pPr>
      <w:r>
        <w:rPr>
          <w:rFonts w:ascii="Calibri" w:cs="Calibri" w:eastAsia="Calibri" w:hAnsi="Calibri"/>
          <w:sz w:val="24"/>
          <w:szCs w:val="24"/>
        </w:rPr>
        <w:t xml:space="preserve">Feed the sequence into the pre-trained ESM-2 model (650 million parameter version). ESM-2 was trained on hundreds of millions of protein sequences and understands how amino acids relate to each other.</w:t>
      </w:r>
    </w:p>
    <w:p>
      <w:pPr>
        <w:pStyle w:val="ListParagraph"/>
        <w:numPr>
          <w:ilvl w:val="0"/>
          <w:numId w:val="2"/>
        </w:numPr>
        <w:spacing w:after="80" w:line="276"/>
      </w:pPr>
      <w:r>
        <w:rPr>
          <w:rFonts w:ascii="Calibri" w:cs="Calibri" w:eastAsia="Calibri" w:hAnsi="Calibri"/>
          <w:sz w:val="24"/>
          <w:szCs w:val="24"/>
        </w:rPr>
        <w:t xml:space="preserve">ESM-2 outputs a vector (a list of numbers) for each amino acid residue in the sequence. These are called residue-level embeddings.</w:t>
      </w:r>
    </w:p>
    <w:p>
      <w:pPr>
        <w:pStyle w:val="ListParagraph"/>
        <w:numPr>
          <w:ilvl w:val="0"/>
          <w:numId w:val="2"/>
        </w:numPr>
        <w:spacing w:after="80" w:line="276"/>
      </w:pPr>
      <w:r>
        <w:rPr>
          <w:rFonts w:ascii="Calibri" w:cs="Calibri" w:eastAsia="Calibri" w:hAnsi="Calibri"/>
          <w:sz w:val="24"/>
          <w:szCs w:val="24"/>
        </w:rPr>
        <w:t xml:space="preserve">Pad sequences shorter than the maximum length with zeros. Cut sequences longer than the maximum length at the end. The maximum length is the 95th percentile length found in Step 1.4.</w:t>
      </w:r>
    </w:p>
    <w:p>
      <w:pPr>
        <w:spacing w:after="80"/>
      </w:pPr>
    </w:p>
    <w:p>
      <w:pPr>
        <w:pStyle w:val="Heading2"/>
        <w:spacing w:after="120" w:before="320"/>
      </w:pPr>
      <w:r>
        <w:t xml:space="preserve">2.3  Label Preparation</w:t>
      </w:r>
    </w:p>
    <w:p>
      <w:pPr>
        <w:spacing w:after="100" w:line="276"/>
      </w:pPr>
      <w:r>
        <w:rPr>
          <w:rFonts w:ascii="Calibri" w:cs="Calibri" w:eastAsia="Calibri" w:hAnsi="Calibri"/>
          <w:b/>
          <w:bCs/>
          <w:sz w:val="24"/>
          <w:szCs w:val="24"/>
        </w:rPr>
        <w:t xml:space="preserve">For binary classification (DTI): </w:t>
      </w:r>
      <w:r>
        <w:rPr>
          <w:rFonts w:ascii="Calibri" w:cs="Calibri" w:eastAsia="Calibri" w:hAnsi="Calibri"/>
          <w:sz w:val="24"/>
          <w:szCs w:val="24"/>
        </w:rPr>
        <w:t xml:space="preserve"/>
      </w:r>
    </w:p>
    <w:p>
      <w:pPr>
        <w:pStyle w:val="ListParagraph"/>
        <w:numPr>
          <w:ilvl w:val="0"/>
          <w:numId w:val="1"/>
        </w:numPr>
        <w:spacing w:after="80" w:line="276"/>
        <w:ind w:left="360"/>
      </w:pPr>
      <w:r>
        <w:rPr>
          <w:rFonts w:ascii="Calibri" w:cs="Calibri" w:eastAsia="Calibri" w:hAnsi="Calibri"/>
          <w:sz w:val="24"/>
          <w:szCs w:val="24"/>
        </w:rPr>
        <w:t xml:space="preserve">Verified known interactions = label 1 (positive)</w:t>
      </w:r>
    </w:p>
    <w:p>
      <w:pPr>
        <w:pStyle w:val="ListParagraph"/>
        <w:numPr>
          <w:ilvl w:val="0"/>
          <w:numId w:val="1"/>
        </w:numPr>
        <w:spacing w:after="80" w:line="276"/>
        <w:ind w:left="360"/>
      </w:pPr>
      <w:r>
        <w:rPr>
          <w:rFonts w:ascii="Calibri" w:cs="Calibri" w:eastAsia="Calibri" w:hAnsi="Calibri"/>
          <w:sz w:val="24"/>
          <w:szCs w:val="24"/>
        </w:rPr>
        <w:t xml:space="preserve">Unknown or non-interacting pairs = label 0 (negative)</w:t>
      </w:r>
    </w:p>
    <w:p>
      <w:pPr>
        <w:pStyle w:val="ListParagraph"/>
        <w:numPr>
          <w:ilvl w:val="0"/>
          <w:numId w:val="1"/>
        </w:numPr>
        <w:spacing w:after="80" w:line="276"/>
        <w:ind w:left="360"/>
      </w:pPr>
      <w:r>
        <w:rPr>
          <w:rFonts w:ascii="Calibri" w:cs="Calibri" w:eastAsia="Calibri" w:hAnsi="Calibri"/>
          <w:sz w:val="24"/>
          <w:szCs w:val="24"/>
        </w:rPr>
        <w:t xml:space="preserve">Use negative sampling. Generate 1 negative pair for every 1 positive pair (1:1 ratio) as the default. Also prepare a 1:10 version to test how the model handles extreme imbalance.</w:t>
      </w:r>
    </w:p>
    <w:p>
      <w:pPr>
        <w:spacing w:after="80"/>
      </w:pPr>
    </w:p>
    <w:p>
      <w:pPr>
        <w:spacing w:after="100" w:line="276"/>
      </w:pPr>
      <w:r>
        <w:rPr>
          <w:rFonts w:ascii="Calibri" w:cs="Calibri" w:eastAsia="Calibri" w:hAnsi="Calibri"/>
          <w:b/>
          <w:bCs/>
          <w:sz w:val="24"/>
          <w:szCs w:val="24"/>
        </w:rPr>
        <w:t xml:space="preserve">For affinity regression (DTA): </w:t>
      </w:r>
      <w:r>
        <w:rPr>
          <w:rFonts w:ascii="Calibri" w:cs="Calibri" w:eastAsia="Calibri" w:hAnsi="Calibri"/>
          <w:sz w:val="24"/>
          <w:szCs w:val="24"/>
        </w:rPr>
        <w:t xml:space="preserve"/>
      </w:r>
    </w:p>
    <w:p>
      <w:pPr>
        <w:pStyle w:val="ListParagraph"/>
        <w:numPr>
          <w:ilvl w:val="0"/>
          <w:numId w:val="1"/>
        </w:numPr>
        <w:spacing w:after="80" w:line="276"/>
        <w:ind w:left="360"/>
      </w:pPr>
      <w:r>
        <w:rPr>
          <w:rFonts w:ascii="Calibri" w:cs="Calibri" w:eastAsia="Calibri" w:hAnsi="Calibri"/>
          <w:sz w:val="24"/>
          <w:szCs w:val="24"/>
        </w:rPr>
        <w:t xml:space="preserve">Convert raw Kd/Ki/IC50 values using the formula: pValue = −log10(value in Molar)</w:t>
      </w:r>
    </w:p>
    <w:p>
      <w:pPr>
        <w:pStyle w:val="ListParagraph"/>
        <w:numPr>
          <w:ilvl w:val="0"/>
          <w:numId w:val="1"/>
        </w:numPr>
        <w:spacing w:after="80" w:line="276"/>
        <w:ind w:left="360"/>
      </w:pPr>
      <w:r>
        <w:rPr>
          <w:rFonts w:ascii="Calibri" w:cs="Calibri" w:eastAsia="Calibri" w:hAnsi="Calibri"/>
          <w:sz w:val="24"/>
          <w:szCs w:val="24"/>
        </w:rPr>
        <w:t xml:space="preserve">This turns large numbers like 1,000,000 nM into small ones like 3.0. It makes training more stable.</w:t>
      </w:r>
    </w:p>
    <w:p>
      <w:pPr>
        <w:spacing w:after="80"/>
      </w:pPr>
    </w:p>
    <w:p>
      <w:pPr>
        <w:pStyle w:val="Heading2"/>
        <w:spacing w:after="120" w:before="320"/>
      </w:pPr>
      <w:r>
        <w:t xml:space="preserve">2.4  Data Splitting</w:t>
      </w:r>
    </w:p>
    <w:p>
      <w:pPr>
        <w:spacing w:after="120" w:line="276"/>
        <w:jc w:val="both"/>
      </w:pPr>
      <w:r>
        <w:rPr>
          <w:rFonts w:ascii="Calibri" w:cs="Calibri" w:eastAsia="Calibri" w:hAnsi="Calibri"/>
          <w:sz w:val="24"/>
          <w:szCs w:val="24"/>
        </w:rPr>
        <w:t xml:space="preserve">We will split the data in four different ways to test the model fairly.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F497D" w:val="clear"/>
          </w:tcPr>
          <w:p>
            <w:pPr>
              <w:jc w:val="center"/>
            </w:pPr>
            <w:r>
              <w:rPr>
                <w:rFonts w:ascii="Calibri" w:cs="Calibri" w:eastAsia="Calibri" w:hAnsi="Calibri"/>
                <w:b/>
                <w:bCs/>
                <w:sz w:val="22"/>
                <w:szCs w:val="22"/>
              </w:rPr>
              <w:t xml:space="preserve">Split Name</w:t>
            </w:r>
          </w:p>
        </w:tc>
        <w:tc>
          <w:tcPr>
            <w:tcW w:type="pct" w:w="43%"/>
            <w:shd w:fill="1F497D" w:val="clear"/>
          </w:tcPr>
          <w:p>
            <w:pPr>
              <w:jc w:val="center"/>
            </w:pPr>
            <w:r>
              <w:rPr>
                <w:rFonts w:ascii="Calibri" w:cs="Calibri" w:eastAsia="Calibri" w:hAnsi="Calibri"/>
                <w:b/>
                <w:bCs/>
                <w:sz w:val="22"/>
                <w:szCs w:val="22"/>
              </w:rPr>
              <w:t xml:space="preserve">How It Works</w:t>
            </w:r>
          </w:p>
        </w:tc>
        <w:tc>
          <w:tcPr>
            <w:tcW w:type="pct" w:w="35%"/>
            <w:shd w:fill="1F497D" w:val="clear"/>
          </w:tcPr>
          <w:p>
            <w:pPr>
              <w:jc w:val="center"/>
            </w:pPr>
            <w:r>
              <w:rPr>
                <w:rFonts w:ascii="Calibri" w:cs="Calibri" w:eastAsia="Calibri" w:hAnsi="Calibri"/>
                <w:b/>
                <w:bCs/>
                <w:sz w:val="22"/>
                <w:szCs w:val="22"/>
              </w:rPr>
              <w:t xml:space="preserve">What It Tests</w:t>
            </w:r>
          </w:p>
        </w:tc>
      </w:tr>
      <w:tr>
        <w:tc>
          <w:tcPr>
            <w:tcW w:type="pct" w:w="22%"/>
            <w:shd w:fill="FFFFFF" w:val="clear"/>
          </w:tcPr>
          <w:p>
            <w:r>
              <w:rPr>
                <w:rFonts w:ascii="Calibri" w:cs="Calibri" w:eastAsia="Calibri" w:hAnsi="Calibri"/>
                <w:sz w:val="22"/>
                <w:szCs w:val="22"/>
              </w:rPr>
              <w:t xml:space="preserve">Random split (10-fold cross-validation)</w:t>
            </w:r>
          </w:p>
        </w:tc>
        <w:tc>
          <w:tcPr>
            <w:tcW w:type="pct" w:w="43%"/>
            <w:shd w:fill="FFFFFF" w:val="clear"/>
          </w:tcPr>
          <w:p>
            <w:r>
              <w:rPr>
                <w:rFonts w:ascii="Calibri" w:cs="Calibri" w:eastAsia="Calibri" w:hAnsi="Calibri"/>
                <w:sz w:val="22"/>
                <w:szCs w:val="22"/>
              </w:rPr>
              <w:t xml:space="preserve">Randomly divide all pairs into 10 equal groups. Train on 9 groups, test on 1. Repeat 10 times.</w:t>
            </w:r>
          </w:p>
        </w:tc>
        <w:tc>
          <w:tcPr>
            <w:tcW w:type="pct" w:w="35%"/>
            <w:shd w:fill="FFFFFF" w:val="clear"/>
          </w:tcPr>
          <w:p>
            <w:r>
              <w:rPr>
                <w:rFonts w:ascii="Calibri" w:cs="Calibri" w:eastAsia="Calibri" w:hAnsi="Calibri"/>
                <w:sz w:val="22"/>
                <w:szCs w:val="22"/>
              </w:rPr>
              <w:t xml:space="preserve">General model performance under normal conditions.</w:t>
            </w:r>
          </w:p>
        </w:tc>
      </w:tr>
      <w:tr>
        <w:tc>
          <w:tcPr>
            <w:tcW w:type="pct" w:w="22%"/>
            <w:shd w:fill="EBF3F9" w:val="clear"/>
          </w:tcPr>
          <w:p>
            <w:r>
              <w:rPr>
                <w:rFonts w:ascii="Calibri" w:cs="Calibri" w:eastAsia="Calibri" w:hAnsi="Calibri"/>
                <w:sz w:val="22"/>
                <w:szCs w:val="22"/>
              </w:rPr>
              <w:t xml:space="preserve">Cold-drug split</w:t>
            </w:r>
          </w:p>
        </w:tc>
        <w:tc>
          <w:tcPr>
            <w:tcW w:type="pct" w:w="43%"/>
            <w:shd w:fill="EBF3F9" w:val="clear"/>
          </w:tcPr>
          <w:p>
            <w:r>
              <w:rPr>
                <w:rFonts w:ascii="Calibri" w:cs="Calibri" w:eastAsia="Calibri" w:hAnsi="Calibri"/>
                <w:sz w:val="22"/>
                <w:szCs w:val="22"/>
              </w:rPr>
              <w:t xml:space="preserve">Put all pairs involving certain drugs into the test set only. The model never sees these drugs during training.</w:t>
            </w:r>
          </w:p>
        </w:tc>
        <w:tc>
          <w:tcPr>
            <w:tcW w:type="pct" w:w="35%"/>
            <w:shd w:fill="EBF3F9" w:val="clear"/>
          </w:tcPr>
          <w:p>
            <w:r>
              <w:rPr>
                <w:rFonts w:ascii="Calibri" w:cs="Calibri" w:eastAsia="Calibri" w:hAnsi="Calibri"/>
                <w:sz w:val="22"/>
                <w:szCs w:val="22"/>
              </w:rPr>
              <w:t xml:space="preserve">Can the model predict interactions for brand-new drug compounds?</w:t>
            </w:r>
          </w:p>
        </w:tc>
      </w:tr>
      <w:tr>
        <w:tc>
          <w:tcPr>
            <w:tcW w:type="pct" w:w="22%"/>
            <w:shd w:fill="FFFFFF" w:val="clear"/>
          </w:tcPr>
          <w:p>
            <w:r>
              <w:rPr>
                <w:rFonts w:ascii="Calibri" w:cs="Calibri" w:eastAsia="Calibri" w:hAnsi="Calibri"/>
                <w:sz w:val="22"/>
                <w:szCs w:val="22"/>
              </w:rPr>
              <w:t xml:space="preserve">Cold-target split</w:t>
            </w:r>
          </w:p>
        </w:tc>
        <w:tc>
          <w:tcPr>
            <w:tcW w:type="pct" w:w="43%"/>
            <w:shd w:fill="FFFFFF" w:val="clear"/>
          </w:tcPr>
          <w:p>
            <w:r>
              <w:rPr>
                <w:rFonts w:ascii="Calibri" w:cs="Calibri" w:eastAsia="Calibri" w:hAnsi="Calibri"/>
                <w:sz w:val="22"/>
                <w:szCs w:val="22"/>
              </w:rPr>
              <w:t xml:space="preserve">Put all pairs involving certain proteins into the test set only. The model never sees these proteins during training.</w:t>
            </w:r>
          </w:p>
        </w:tc>
        <w:tc>
          <w:tcPr>
            <w:tcW w:type="pct" w:w="35%"/>
            <w:shd w:fill="FFFFFF" w:val="clear"/>
          </w:tcPr>
          <w:p>
            <w:r>
              <w:rPr>
                <w:rFonts w:ascii="Calibri" w:cs="Calibri" w:eastAsia="Calibri" w:hAnsi="Calibri"/>
                <w:sz w:val="22"/>
                <w:szCs w:val="22"/>
              </w:rPr>
              <w:t xml:space="preserve">Can the model predict interactions for brand-new protein targets?</w:t>
            </w:r>
          </w:p>
        </w:tc>
      </w:tr>
      <w:tr>
        <w:tc>
          <w:tcPr>
            <w:tcW w:type="pct" w:w="22%"/>
            <w:shd w:fill="EBF3F9" w:val="clear"/>
          </w:tcPr>
          <w:p>
            <w:r>
              <w:rPr>
                <w:rFonts w:ascii="Calibri" w:cs="Calibri" w:eastAsia="Calibri" w:hAnsi="Calibri"/>
                <w:sz w:val="22"/>
                <w:szCs w:val="22"/>
              </w:rPr>
              <w:t xml:space="preserve">Cross-dataset split</w:t>
            </w:r>
          </w:p>
        </w:tc>
        <w:tc>
          <w:tcPr>
            <w:tcW w:type="pct" w:w="43%"/>
            <w:shd w:fill="EBF3F9" w:val="clear"/>
          </w:tcPr>
          <w:p>
            <w:r>
              <w:rPr>
                <w:rFonts w:ascii="Calibri" w:cs="Calibri" w:eastAsia="Calibri" w:hAnsi="Calibri"/>
                <w:sz w:val="22"/>
                <w:szCs w:val="22"/>
              </w:rPr>
              <w:t xml:space="preserve">Train on one dataset (e.g., BindingDB). Test on a completely different dataset (e.g., DAVIS).</w:t>
            </w:r>
          </w:p>
        </w:tc>
        <w:tc>
          <w:tcPr>
            <w:tcW w:type="pct" w:w="35%"/>
            <w:shd w:fill="EBF3F9" w:val="clear"/>
          </w:tcPr>
          <w:p>
            <w:r>
              <w:rPr>
                <w:rFonts w:ascii="Calibri" w:cs="Calibri" w:eastAsia="Calibri" w:hAnsi="Calibri"/>
                <w:sz w:val="22"/>
                <w:szCs w:val="22"/>
              </w:rPr>
              <w:t xml:space="preserve">Does the model generalise across different experimental conditions?</w:t>
            </w:r>
          </w:p>
        </w:tc>
      </w:tr>
    </w:tbl>
    <w:p>
      <w:pPr>
        <w:spacing w:after="80"/>
      </w:pPr>
    </w:p>
    <w:p>
      <w:pPr>
        <w:pStyle w:val="Heading1"/>
        <w:spacing w:after="160" w:before="400"/>
      </w:pPr>
      <w:r>
        <w:t xml:space="preserve">Phase 3: Baseline Setup</w:t>
      </w:r>
    </w:p>
    <w:p>
      <w:pPr>
        <w:spacing w:after="120" w:line="276"/>
        <w:jc w:val="both"/>
      </w:pPr>
      <w:r>
        <w:rPr>
          <w:rFonts w:ascii="Calibri" w:cs="Calibri" w:eastAsia="Calibri" w:hAnsi="Calibri"/>
          <w:sz w:val="24"/>
          <w:szCs w:val="24"/>
        </w:rPr>
        <w:t xml:space="preserve">Before testing our new model, we must first reproduce the published results of three existing models. This ensures the comparison is honest and that our evaluation setup is correct.</w:t>
      </w:r>
    </w:p>
    <w:p>
      <w:pPr>
        <w:pStyle w:val="Heading2"/>
        <w:spacing w:after="120" w:before="320"/>
      </w:pPr>
      <w:r>
        <w:t xml:space="preserve">3.1  Baselines to Reproduce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F497D" w:val="clear"/>
          </w:tcPr>
          <w:p>
            <w:pPr>
              <w:jc w:val="center"/>
            </w:pPr>
            <w:r>
              <w:rPr>
                <w:rFonts w:ascii="Calibri" w:cs="Calibri" w:eastAsia="Calibri" w:hAnsi="Calibri"/>
                <w:b/>
                <w:bCs/>
                <w:sz w:val="22"/>
                <w:szCs w:val="22"/>
              </w:rPr>
              <w:t xml:space="preserve">Baseline Model</w:t>
            </w:r>
          </w:p>
        </w:tc>
        <w:tc>
          <w:tcPr>
            <w:tcW w:type="pct" w:w="30%"/>
            <w:shd w:fill="1F497D" w:val="clear"/>
          </w:tcPr>
          <w:p>
            <w:pPr>
              <w:jc w:val="center"/>
            </w:pPr>
            <w:r>
              <w:rPr>
                <w:rFonts w:ascii="Calibri" w:cs="Calibri" w:eastAsia="Calibri" w:hAnsi="Calibri"/>
                <w:b/>
                <w:bCs/>
                <w:sz w:val="22"/>
                <w:szCs w:val="22"/>
              </w:rPr>
              <w:t xml:space="preserve">Dataset</w:t>
            </w:r>
          </w:p>
        </w:tc>
        <w:tc>
          <w:tcPr>
            <w:tcW w:type="pct" w:w="40%"/>
            <w:shd w:fill="1F497D" w:val="clear"/>
          </w:tcPr>
          <w:p>
            <w:pPr>
              <w:jc w:val="center"/>
            </w:pPr>
            <w:r>
              <w:rPr>
                <w:rFonts w:ascii="Calibri" w:cs="Calibri" w:eastAsia="Calibri" w:hAnsi="Calibri"/>
                <w:b/>
                <w:bCs/>
                <w:sz w:val="22"/>
                <w:szCs w:val="22"/>
              </w:rPr>
              <w:t xml:space="preserve">Target Score to Match</w:t>
            </w:r>
          </w:p>
        </w:tc>
      </w:tr>
      <w:tr>
        <w:tc>
          <w:tcPr>
            <w:tcW w:type="pct" w:w="30%"/>
            <w:shd w:fill="FFFFFF" w:val="clear"/>
          </w:tcPr>
          <w:p>
            <w:r>
              <w:rPr>
                <w:rFonts w:ascii="Calibri" w:cs="Calibri" w:eastAsia="Calibri" w:hAnsi="Calibri"/>
                <w:sz w:val="22"/>
                <w:szCs w:val="22"/>
              </w:rPr>
              <w:t xml:space="preserve">GSRF-DTI (Zhu et al., 2024)</w:t>
            </w:r>
          </w:p>
        </w:tc>
        <w:tc>
          <w:tcPr>
            <w:tcW w:type="pct" w:w="30%"/>
            <w:shd w:fill="FFFFFF" w:val="clear"/>
          </w:tcPr>
          <w:p>
            <w:r>
              <w:rPr>
                <w:rFonts w:ascii="Calibri" w:cs="Calibri" w:eastAsia="Calibri" w:hAnsi="Calibri"/>
                <w:sz w:val="22"/>
                <w:szCs w:val="22"/>
              </w:rPr>
              <w:t xml:space="preserve">Luo_17</w:t>
            </w:r>
          </w:p>
        </w:tc>
        <w:tc>
          <w:tcPr>
            <w:tcW w:type="pct" w:w="40%"/>
            <w:shd w:fill="FFFFFF" w:val="clear"/>
          </w:tcPr>
          <w:p>
            <w:r>
              <w:rPr>
                <w:rFonts w:ascii="Calibri" w:cs="Calibri" w:eastAsia="Calibri" w:hAnsi="Calibri"/>
                <w:sz w:val="22"/>
                <w:szCs w:val="22"/>
              </w:rPr>
              <w:t xml:space="preserve">AUROC = 0.9818, AUPR = 0.9839</w:t>
            </w:r>
          </w:p>
        </w:tc>
      </w:tr>
      <w:tr>
        <w:tc>
          <w:tcPr>
            <w:tcW w:type="pct" w:w="30%"/>
            <w:shd w:fill="EBF3F9" w:val="clear"/>
          </w:tcPr>
          <w:p>
            <w:r>
              <w:rPr>
                <w:rFonts w:ascii="Calibri" w:cs="Calibri" w:eastAsia="Calibri" w:hAnsi="Calibri"/>
                <w:sz w:val="22"/>
                <w:szCs w:val="22"/>
              </w:rPr>
              <w:t xml:space="preserve">DTKGIN (Luo et al., 2024)</w:t>
            </w:r>
          </w:p>
        </w:tc>
        <w:tc>
          <w:tcPr>
            <w:tcW w:type="pct" w:w="30%"/>
            <w:shd w:fill="EBF3F9" w:val="clear"/>
          </w:tcPr>
          <w:p>
            <w:r>
              <w:rPr>
                <w:rFonts w:ascii="Calibri" w:cs="Calibri" w:eastAsia="Calibri" w:hAnsi="Calibri"/>
                <w:sz w:val="22"/>
                <w:szCs w:val="22"/>
              </w:rPr>
              <w:t xml:space="preserve">Yamanishi_08 — cold-drug setting (S2)</w:t>
            </w:r>
          </w:p>
        </w:tc>
        <w:tc>
          <w:tcPr>
            <w:tcW w:type="pct" w:w="40%"/>
            <w:shd w:fill="EBF3F9" w:val="clear"/>
          </w:tcPr>
          <w:p>
            <w:r>
              <w:rPr>
                <w:rFonts w:ascii="Calibri" w:cs="Calibri" w:eastAsia="Calibri" w:hAnsi="Calibri"/>
                <w:sz w:val="22"/>
                <w:szCs w:val="22"/>
              </w:rPr>
              <w:t xml:space="preserve">AUC = 0.894, AUPR = 0.753</w:t>
            </w:r>
          </w:p>
        </w:tc>
      </w:tr>
      <w:tr>
        <w:tc>
          <w:tcPr>
            <w:tcW w:type="pct" w:w="30%"/>
            <w:shd w:fill="FFFFFF" w:val="clear"/>
          </w:tcPr>
          <w:p>
            <w:r>
              <w:rPr>
                <w:rFonts w:ascii="Calibri" w:cs="Calibri" w:eastAsia="Calibri" w:hAnsi="Calibri"/>
                <w:sz w:val="22"/>
                <w:szCs w:val="22"/>
              </w:rPr>
              <w:t xml:space="preserve">Simple Concatenation GNN-RNN</w:t>
            </w:r>
          </w:p>
        </w:tc>
        <w:tc>
          <w:tcPr>
            <w:tcW w:type="pct" w:w="30%"/>
            <w:shd w:fill="FFFFFF" w:val="clear"/>
          </w:tcPr>
          <w:p>
            <w:r>
              <w:rPr>
                <w:rFonts w:ascii="Calibri" w:cs="Calibri" w:eastAsia="Calibri" w:hAnsi="Calibri"/>
                <w:sz w:val="22"/>
                <w:szCs w:val="22"/>
              </w:rPr>
              <w:t xml:space="preserve">Same datasets as above</w:t>
            </w:r>
          </w:p>
        </w:tc>
        <w:tc>
          <w:tcPr>
            <w:tcW w:type="pct" w:w="40%"/>
            <w:shd w:fill="FFFFFF" w:val="clear"/>
          </w:tcPr>
          <w:p>
            <w:r>
              <w:rPr>
                <w:rFonts w:ascii="Calibri" w:cs="Calibri" w:eastAsia="Calibri" w:hAnsi="Calibri"/>
                <w:sz w:val="22"/>
                <w:szCs w:val="22"/>
              </w:rPr>
              <w:t xml:space="preserve">This is our own simplified version — records initial score before adding cross-attention.</w:t>
            </w:r>
          </w:p>
        </w:tc>
      </w:tr>
    </w:tbl>
    <w:p>
      <w:pPr>
        <w:spacing w:after="80"/>
      </w:pPr>
    </w:p>
    <w:p>
      <w:pPr>
        <w:spacing w:after="120" w:line="276"/>
        <w:jc w:val="both"/>
      </w:pPr>
      <w:r>
        <w:rPr>
          <w:rFonts w:ascii="Calibri" w:cs="Calibri" w:eastAsia="Calibri" w:hAnsi="Calibri"/>
          <w:sz w:val="24"/>
          <w:szCs w:val="24"/>
        </w:rPr>
        <w:t xml:space="preserve">The third baseline — the Simple Concatenation GNN-RNN — is the most important one for Objective 1. It is the same as our model but without the Gated Cross-Attention fusion. The difference in performance between this baseline and the full model is what proves that the cross-attention layer helps.</w:t>
      </w:r>
    </w:p>
    <w:p>
      <w:pPr>
        <w:spacing w:after="80"/>
      </w:pPr>
    </w:p>
    <w:p>
      <w:pPr>
        <w:pStyle w:val="Heading1"/>
        <w:spacing w:after="160" w:before="400"/>
      </w:pPr>
      <w:r>
        <w:t xml:space="preserve">Phase 4: Building the H-GNN-RNN-DTI Model</w:t>
      </w:r>
    </w:p>
    <w:p>
      <w:pPr>
        <w:spacing w:after="120" w:line="276"/>
        <w:jc w:val="both"/>
      </w:pPr>
      <w:r>
        <w:rPr>
          <w:rFonts w:ascii="Calibri" w:cs="Calibri" w:eastAsia="Calibri" w:hAnsi="Calibri"/>
          <w:sz w:val="24"/>
          <w:szCs w:val="24"/>
        </w:rPr>
        <w:t xml:space="preserve">The model has three main parts. Each part is built and tested separately before they are all connected together.</w:t>
      </w:r>
    </w:p>
    <w:p>
      <w:pPr>
        <w:pStyle w:val="Heading2"/>
        <w:spacing w:after="120" w:before="320"/>
      </w:pPr>
      <w:r>
        <w:t xml:space="preserve">4.1  Drug Encoder (Graph Attention Network)</w:t>
      </w:r>
    </w:p>
    <w:p>
      <w:pPr>
        <w:spacing w:after="120" w:line="276"/>
        <w:jc w:val="both"/>
      </w:pPr>
      <w:r>
        <w:rPr>
          <w:rFonts w:ascii="Calibri" w:cs="Calibri" w:eastAsia="Calibri" w:hAnsi="Calibri"/>
          <w:sz w:val="24"/>
          <w:szCs w:val="24"/>
        </w:rPr>
        <w:t xml:space="preserve">This part reads the drug molecular graph and produces a single vector that summarises the drug.</w:t>
      </w:r>
    </w:p>
    <w:p>
      <w:pPr>
        <w:pStyle w:val="ListParagraph"/>
        <w:numPr>
          <w:ilvl w:val="0"/>
          <w:numId w:val="1"/>
        </w:numPr>
        <w:spacing w:after="80" w:line="276"/>
        <w:ind w:left="360"/>
      </w:pPr>
      <w:r>
        <w:rPr>
          <w:rFonts w:ascii="Calibri" w:cs="Calibri" w:eastAsia="Calibri" w:hAnsi="Calibri"/>
          <w:sz w:val="24"/>
          <w:szCs w:val="24"/>
        </w:rPr>
        <w:t xml:space="preserve">Use a Graph Attention Network (GAT) with 3 layers and 8 attention heads per layer.</w:t>
      </w:r>
    </w:p>
    <w:p>
      <w:pPr>
        <w:pStyle w:val="ListParagraph"/>
        <w:numPr>
          <w:ilvl w:val="0"/>
          <w:numId w:val="1"/>
        </w:numPr>
        <w:spacing w:after="80" w:line="276"/>
        <w:ind w:left="360"/>
      </w:pPr>
      <w:r>
        <w:rPr>
          <w:rFonts w:ascii="Calibri" w:cs="Calibri" w:eastAsia="Calibri" w:hAnsi="Calibri"/>
          <w:sz w:val="24"/>
          <w:szCs w:val="24"/>
        </w:rPr>
        <w:t xml:space="preserve">In each layer, every atom collects information from its neighbouring atoms. Atoms that are more important get higher attention weights.</w:t>
      </w:r>
    </w:p>
    <w:p>
      <w:pPr>
        <w:pStyle w:val="ListParagraph"/>
        <w:numPr>
          <w:ilvl w:val="0"/>
          <w:numId w:val="1"/>
        </w:numPr>
        <w:spacing w:after="80" w:line="276"/>
        <w:ind w:left="360"/>
      </w:pPr>
      <w:r>
        <w:rPr>
          <w:rFonts w:ascii="Calibri" w:cs="Calibri" w:eastAsia="Calibri" w:hAnsi="Calibri"/>
          <w:sz w:val="24"/>
          <w:szCs w:val="24"/>
        </w:rPr>
        <w:t xml:space="preserve">After the last layer, combine all atom vectors into one drug-level vector using an attention-based READOUT step, followed by a small MLP (multi-layer perceptron).</w:t>
      </w:r>
    </w:p>
    <w:p>
      <w:pPr>
        <w:spacing w:after="80"/>
      </w:pPr>
    </w:p>
    <w:p>
      <w:pPr>
        <w:pStyle w:val="Heading2"/>
        <w:spacing w:after="120" w:before="320"/>
      </w:pPr>
      <w:r>
        <w:t xml:space="preserve">4.2  Protein Encoder (Bidirectional RNN)</w:t>
      </w:r>
    </w:p>
    <w:p>
      <w:pPr>
        <w:spacing w:after="120" w:line="276"/>
        <w:jc w:val="both"/>
      </w:pPr>
      <w:r>
        <w:rPr>
          <w:rFonts w:ascii="Calibri" w:cs="Calibri" w:eastAsia="Calibri" w:hAnsi="Calibri"/>
          <w:sz w:val="24"/>
          <w:szCs w:val="24"/>
        </w:rPr>
        <w:t xml:space="preserve">This part reads the protein sequence and produces a single vector that summarises the protein.</w:t>
      </w:r>
    </w:p>
    <w:p>
      <w:pPr>
        <w:pStyle w:val="ListParagraph"/>
        <w:numPr>
          <w:ilvl w:val="0"/>
          <w:numId w:val="1"/>
        </w:numPr>
        <w:spacing w:after="80" w:line="276"/>
        <w:ind w:left="360"/>
      </w:pPr>
      <w:r>
        <w:rPr>
          <w:rFonts w:ascii="Calibri" w:cs="Calibri" w:eastAsia="Calibri" w:hAnsi="Calibri"/>
          <w:sz w:val="24"/>
          <w:szCs w:val="24"/>
        </w:rPr>
        <w:t xml:space="preserve">Use a Bidirectional LSTM or Bidirectional GRU with 2 layers.</w:t>
      </w:r>
    </w:p>
    <w:p>
      <w:pPr>
        <w:pStyle w:val="ListParagraph"/>
        <w:numPr>
          <w:ilvl w:val="0"/>
          <w:numId w:val="1"/>
        </w:numPr>
        <w:spacing w:after="80" w:line="276"/>
        <w:ind w:left="360"/>
      </w:pPr>
      <w:r>
        <w:rPr>
          <w:rFonts w:ascii="Calibri" w:cs="Calibri" w:eastAsia="Calibri" w:hAnsi="Calibri"/>
          <w:sz w:val="24"/>
          <w:szCs w:val="24"/>
        </w:rPr>
        <w:t xml:space="preserve">'Bidirectional' means the model reads the sequence left-to-right AND right-to-left at the same time, so it understands context from both directions.</w:t>
      </w:r>
    </w:p>
    <w:p>
      <w:pPr>
        <w:pStyle w:val="ListParagraph"/>
        <w:numPr>
          <w:ilvl w:val="0"/>
          <w:numId w:val="1"/>
        </w:numPr>
        <w:spacing w:after="80" w:line="276"/>
        <w:ind w:left="360"/>
      </w:pPr>
      <w:r>
        <w:rPr>
          <w:rFonts w:ascii="Calibri" w:cs="Calibri" w:eastAsia="Calibri" w:hAnsi="Calibri"/>
          <w:sz w:val="24"/>
          <w:szCs w:val="24"/>
        </w:rPr>
        <w:t xml:space="preserve">After processing, combine all residue-level vectors into one protein-level vector using attention-based pooling.</w:t>
      </w:r>
    </w:p>
    <w:p>
      <w:pPr>
        <w:spacing w:after="80"/>
      </w:pPr>
    </w:p>
    <w:p>
      <w:pPr>
        <w:pStyle w:val="Heading2"/>
        <w:spacing w:after="120" w:before="320"/>
      </w:pPr>
      <w:r>
        <w:t xml:space="preserve">4.3  Gated Cross-Attention Fusion</w:t>
      </w:r>
    </w:p>
    <w:p>
      <w:pPr>
        <w:spacing w:after="120" w:line="276"/>
        <w:jc w:val="both"/>
      </w:pPr>
      <w:r>
        <w:rPr>
          <w:rFonts w:ascii="Calibri" w:cs="Calibri" w:eastAsia="Calibri" w:hAnsi="Calibri"/>
          <w:sz w:val="24"/>
          <w:szCs w:val="24"/>
        </w:rPr>
        <w:t xml:space="preserve">This is the most important and novel part of the model.</w:t>
      </w:r>
    </w:p>
    <w:p>
      <w:pPr>
        <w:pStyle w:val="ListParagraph"/>
        <w:numPr>
          <w:ilvl w:val="0"/>
          <w:numId w:val="1"/>
        </w:numPr>
        <w:spacing w:after="80" w:line="276"/>
        <w:ind w:left="360"/>
      </w:pPr>
      <w:r>
        <w:rPr>
          <w:rFonts w:ascii="Calibri" w:cs="Calibri" w:eastAsia="Calibri" w:hAnsi="Calibri"/>
          <w:sz w:val="24"/>
          <w:szCs w:val="24"/>
        </w:rPr>
        <w:t xml:space="preserve">The drug and protein vectors are combined here — but not by simple joining.</w:t>
      </w:r>
    </w:p>
    <w:p>
      <w:pPr>
        <w:pStyle w:val="ListParagraph"/>
        <w:numPr>
          <w:ilvl w:val="0"/>
          <w:numId w:val="1"/>
        </w:numPr>
        <w:spacing w:after="80" w:line="276"/>
        <w:ind w:left="360"/>
      </w:pPr>
      <w:r>
        <w:rPr>
          <w:rFonts w:ascii="Calibri" w:cs="Calibri" w:eastAsia="Calibri" w:hAnsi="Calibri"/>
          <w:sz w:val="24"/>
          <w:szCs w:val="24"/>
        </w:rPr>
        <w:t xml:space="preserve">Instead, the drug vector 'looks at' the protein vector to find which parts of the protein are most relevant to that drug, and vice versa. This is the cross-attention step.</w:t>
      </w:r>
    </w:p>
    <w:p>
      <w:pPr>
        <w:pStyle w:val="ListParagraph"/>
        <w:numPr>
          <w:ilvl w:val="0"/>
          <w:numId w:val="1"/>
        </w:numPr>
        <w:spacing w:after="80" w:line="276"/>
        <w:ind w:left="360"/>
      </w:pPr>
      <w:r>
        <w:rPr>
          <w:rFonts w:ascii="Calibri" w:cs="Calibri" w:eastAsia="Calibri" w:hAnsi="Calibri"/>
          <w:sz w:val="24"/>
          <w:szCs w:val="24"/>
        </w:rPr>
        <w:t xml:space="preserve">A gate (a sigmoid function) then controls how much of this cross-attention information flows through. This prevents too much noise from distorting the drug or protein representation.</w:t>
      </w:r>
    </w:p>
    <w:p>
      <w:pPr>
        <w:pStyle w:val="ListParagraph"/>
        <w:numPr>
          <w:ilvl w:val="0"/>
          <w:numId w:val="1"/>
        </w:numPr>
        <w:spacing w:after="80" w:line="276"/>
        <w:ind w:left="360"/>
      </w:pPr>
      <w:r>
        <w:rPr>
          <w:rFonts w:ascii="Calibri" w:cs="Calibri" w:eastAsia="Calibri" w:hAnsi="Calibri"/>
          <w:sz w:val="24"/>
          <w:szCs w:val="24"/>
        </w:rPr>
        <w:t xml:space="preserve">The result is one combined drug–protein vector that captures the interaction between the two.</w:t>
      </w:r>
    </w:p>
    <w:p>
      <w:pPr>
        <w:spacing w:after="80"/>
      </w:pPr>
    </w:p>
    <w:p>
      <w:pPr>
        <w:pStyle w:val="Heading2"/>
        <w:spacing w:after="120" w:before="320"/>
      </w:pPr>
      <w:r>
        <w:t xml:space="preserve">4.4  Prediction Head</w:t>
      </w:r>
    </w:p>
    <w:p>
      <w:pPr>
        <w:spacing w:after="120" w:line="276"/>
        <w:jc w:val="both"/>
      </w:pPr>
      <w:r>
        <w:rPr>
          <w:rFonts w:ascii="Calibri" w:cs="Calibri" w:eastAsia="Calibri" w:hAnsi="Calibri"/>
          <w:sz w:val="24"/>
          <w:szCs w:val="24"/>
        </w:rPr>
        <w:t xml:space="preserve">The final step maps the combined drug–protein vector to a prediction.</w:t>
      </w:r>
    </w:p>
    <w:p>
      <w:pPr>
        <w:pStyle w:val="ListParagraph"/>
        <w:numPr>
          <w:ilvl w:val="0"/>
          <w:numId w:val="1"/>
        </w:numPr>
        <w:spacing w:after="80" w:line="276"/>
        <w:ind w:left="360"/>
      </w:pPr>
      <w:r>
        <w:rPr>
          <w:rFonts w:ascii="Calibri" w:cs="Calibri" w:eastAsia="Calibri" w:hAnsi="Calibri"/>
          <w:sz w:val="24"/>
          <w:szCs w:val="24"/>
        </w:rPr>
        <w:t xml:space="preserve">For binary classification (does the drug interact with the protein?): the MLP ends with a sigmoid activation → outputs a probability between 0 and 1.</w:t>
      </w:r>
    </w:p>
    <w:p>
      <w:pPr>
        <w:pStyle w:val="ListParagraph"/>
        <w:numPr>
          <w:ilvl w:val="0"/>
          <w:numId w:val="1"/>
        </w:numPr>
        <w:spacing w:after="80" w:line="276"/>
        <w:ind w:left="360"/>
      </w:pPr>
      <w:r>
        <w:rPr>
          <w:rFonts w:ascii="Calibri" w:cs="Calibri" w:eastAsia="Calibri" w:hAnsi="Calibri"/>
          <w:sz w:val="24"/>
          <w:szCs w:val="24"/>
        </w:rPr>
        <w:t xml:space="preserve">For affinity regression (how strongly do they bind?): the MLP ends with a linear activation → outputs a continuous number like pKd.</w:t>
      </w:r>
    </w:p>
    <w:p>
      <w:pPr>
        <w:spacing w:after="80"/>
      </w:pPr>
    </w:p>
    <w:p>
      <w:pPr>
        <w:pStyle w:val="Heading1"/>
        <w:spacing w:after="160" w:before="400"/>
      </w:pPr>
      <w:r>
        <w:t xml:space="preserve">Phase 5: Training and Evaluation</w:t>
      </w:r>
    </w:p>
    <w:p>
      <w:pPr>
        <w:pStyle w:val="Heading2"/>
        <w:spacing w:after="120" w:before="320"/>
      </w:pPr>
      <w:r>
        <w:t xml:space="preserve">5.1  Training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F497D" w:val="clear"/>
          </w:tcPr>
          <w:p>
            <w:pPr>
              <w:jc w:val="center"/>
            </w:pPr>
            <w:r>
              <w:rPr>
                <w:rFonts w:ascii="Calibri" w:cs="Calibri" w:eastAsia="Calibri" w:hAnsi="Calibri"/>
                <w:b/>
                <w:bCs/>
                <w:sz w:val="22"/>
                <w:szCs w:val="22"/>
              </w:rPr>
              <w:t xml:space="preserve">Setting</w:t>
            </w:r>
          </w:p>
        </w:tc>
        <w:tc>
          <w:tcPr>
            <w:tcW w:type="pct" w:w="30%"/>
            <w:shd w:fill="1F497D" w:val="clear"/>
          </w:tcPr>
          <w:p>
            <w:pPr>
              <w:jc w:val="center"/>
            </w:pPr>
            <w:r>
              <w:rPr>
                <w:rFonts w:ascii="Calibri" w:cs="Calibri" w:eastAsia="Calibri" w:hAnsi="Calibri"/>
                <w:b/>
                <w:bCs/>
                <w:sz w:val="22"/>
                <w:szCs w:val="22"/>
              </w:rPr>
              <w:t xml:space="preserve">Choice</w:t>
            </w:r>
          </w:p>
        </w:tc>
        <w:tc>
          <w:tcPr>
            <w:tcW w:type="pct" w:w="45%"/>
            <w:shd w:fill="1F497D" w:val="clear"/>
          </w:tcPr>
          <w:p>
            <w:pPr>
              <w:jc w:val="center"/>
            </w:pPr>
            <w:r>
              <w:rPr>
                <w:rFonts w:ascii="Calibri" w:cs="Calibri" w:eastAsia="Calibri" w:hAnsi="Calibri"/>
                <w:b/>
                <w:bCs/>
                <w:sz w:val="22"/>
                <w:szCs w:val="22"/>
              </w:rPr>
              <w:t xml:space="preserve">Reason</w:t>
            </w:r>
          </w:p>
        </w:tc>
      </w:tr>
      <w:tr>
        <w:tc>
          <w:tcPr>
            <w:tcW w:type="pct" w:w="25%"/>
            <w:shd w:fill="FFFFFF" w:val="clear"/>
          </w:tcPr>
          <w:p>
            <w:r>
              <w:rPr>
                <w:rFonts w:ascii="Calibri" w:cs="Calibri" w:eastAsia="Calibri" w:hAnsi="Calibri"/>
                <w:sz w:val="22"/>
                <w:szCs w:val="22"/>
              </w:rPr>
              <w:t xml:space="preserve">Loss function (classification)</w:t>
            </w:r>
          </w:p>
        </w:tc>
        <w:tc>
          <w:tcPr>
            <w:tcW w:type="pct" w:w="30%"/>
            <w:shd w:fill="FFFFFF" w:val="clear"/>
          </w:tcPr>
          <w:p>
            <w:r>
              <w:rPr>
                <w:rFonts w:ascii="Calibri" w:cs="Calibri" w:eastAsia="Calibri" w:hAnsi="Calibri"/>
                <w:sz w:val="22"/>
                <w:szCs w:val="22"/>
              </w:rPr>
              <w:t xml:space="preserve">Focal Loss</w:t>
            </w:r>
          </w:p>
        </w:tc>
        <w:tc>
          <w:tcPr>
            <w:tcW w:type="pct" w:w="45%"/>
            <w:shd w:fill="FFFFFF" w:val="clear"/>
          </w:tcPr>
          <w:p>
            <w:r>
              <w:rPr>
                <w:rFonts w:ascii="Calibri" w:cs="Calibri" w:eastAsia="Calibri" w:hAnsi="Calibri"/>
                <w:sz w:val="22"/>
                <w:szCs w:val="22"/>
              </w:rPr>
              <w:t xml:space="preserve">Handles class imbalance. Makes the model focus on hard-to-predict examples.</w:t>
            </w:r>
          </w:p>
        </w:tc>
      </w:tr>
      <w:tr>
        <w:tc>
          <w:tcPr>
            <w:tcW w:type="pct" w:w="25%"/>
            <w:shd w:fill="EBF3F9" w:val="clear"/>
          </w:tcPr>
          <w:p>
            <w:r>
              <w:rPr>
                <w:rFonts w:ascii="Calibri" w:cs="Calibri" w:eastAsia="Calibri" w:hAnsi="Calibri"/>
                <w:sz w:val="22"/>
                <w:szCs w:val="22"/>
              </w:rPr>
              <w:t xml:space="preserve">Loss function (regression)</w:t>
            </w:r>
          </w:p>
        </w:tc>
        <w:tc>
          <w:tcPr>
            <w:tcW w:type="pct" w:w="30%"/>
            <w:shd w:fill="EBF3F9" w:val="clear"/>
          </w:tcPr>
          <w:p>
            <w:r>
              <w:rPr>
                <w:rFonts w:ascii="Calibri" w:cs="Calibri" w:eastAsia="Calibri" w:hAnsi="Calibri"/>
                <w:sz w:val="22"/>
                <w:szCs w:val="22"/>
              </w:rPr>
              <w:t xml:space="preserve">Mean Squared Error (MSE)</w:t>
            </w:r>
          </w:p>
        </w:tc>
        <w:tc>
          <w:tcPr>
            <w:tcW w:type="pct" w:w="45%"/>
            <w:shd w:fill="EBF3F9" w:val="clear"/>
          </w:tcPr>
          <w:p>
            <w:r>
              <w:rPr>
                <w:rFonts w:ascii="Calibri" w:cs="Calibri" w:eastAsia="Calibri" w:hAnsi="Calibri"/>
                <w:sz w:val="22"/>
                <w:szCs w:val="22"/>
              </w:rPr>
              <w:t xml:space="preserve">Standard choice for predicting continuous values.</w:t>
            </w:r>
          </w:p>
        </w:tc>
      </w:tr>
      <w:tr>
        <w:tc>
          <w:tcPr>
            <w:tcW w:type="pct" w:w="25%"/>
            <w:shd w:fill="FFFFFF" w:val="clear"/>
          </w:tcPr>
          <w:p>
            <w:r>
              <w:rPr>
                <w:rFonts w:ascii="Calibri" w:cs="Calibri" w:eastAsia="Calibri" w:hAnsi="Calibri"/>
                <w:sz w:val="22"/>
                <w:szCs w:val="22"/>
              </w:rPr>
              <w:t xml:space="preserve">Optimizer</w:t>
            </w:r>
          </w:p>
        </w:tc>
        <w:tc>
          <w:tcPr>
            <w:tcW w:type="pct" w:w="30%"/>
            <w:shd w:fill="FFFFFF" w:val="clear"/>
          </w:tcPr>
          <w:p>
            <w:r>
              <w:rPr>
                <w:rFonts w:ascii="Calibri" w:cs="Calibri" w:eastAsia="Calibri" w:hAnsi="Calibri"/>
                <w:sz w:val="22"/>
                <w:szCs w:val="22"/>
              </w:rPr>
              <w:t xml:space="preserve">Adam with weight decay</w:t>
            </w:r>
          </w:p>
        </w:tc>
        <w:tc>
          <w:tcPr>
            <w:tcW w:type="pct" w:w="45%"/>
            <w:shd w:fill="FFFFFF" w:val="clear"/>
          </w:tcPr>
          <w:p>
            <w:r>
              <w:rPr>
                <w:rFonts w:ascii="Calibri" w:cs="Calibri" w:eastAsia="Calibri" w:hAnsi="Calibri"/>
                <w:sz w:val="22"/>
                <w:szCs w:val="22"/>
              </w:rPr>
              <w:t xml:space="preserve">Fast and stable. Weight decay prevents overfitting.</w:t>
            </w:r>
          </w:p>
        </w:tc>
      </w:tr>
      <w:tr>
        <w:tc>
          <w:tcPr>
            <w:tcW w:type="pct" w:w="25%"/>
            <w:shd w:fill="EBF3F9" w:val="clear"/>
          </w:tcPr>
          <w:p>
            <w:r>
              <w:rPr>
                <w:rFonts w:ascii="Calibri" w:cs="Calibri" w:eastAsia="Calibri" w:hAnsi="Calibri"/>
                <w:sz w:val="22"/>
                <w:szCs w:val="22"/>
              </w:rPr>
              <w:t xml:space="preserve">Learning rate schedule</w:t>
            </w:r>
          </w:p>
        </w:tc>
        <w:tc>
          <w:tcPr>
            <w:tcW w:type="pct" w:w="30%"/>
            <w:shd w:fill="EBF3F9" w:val="clear"/>
          </w:tcPr>
          <w:p>
            <w:r>
              <w:rPr>
                <w:rFonts w:ascii="Calibri" w:cs="Calibri" w:eastAsia="Calibri" w:hAnsi="Calibri"/>
                <w:sz w:val="22"/>
                <w:szCs w:val="22"/>
              </w:rPr>
              <w:t xml:space="preserve">Reduce on plateau + early stopping</w:t>
            </w:r>
          </w:p>
        </w:tc>
        <w:tc>
          <w:tcPr>
            <w:tcW w:type="pct" w:w="45%"/>
            <w:shd w:fill="EBF3F9" w:val="clear"/>
          </w:tcPr>
          <w:p>
            <w:r>
              <w:rPr>
                <w:rFonts w:ascii="Calibri" w:cs="Calibri" w:eastAsia="Calibri" w:hAnsi="Calibri"/>
                <w:sz w:val="22"/>
                <w:szCs w:val="22"/>
              </w:rPr>
              <w:t xml:space="preserve">Stops training automatically when the model stops improving.</w:t>
            </w:r>
          </w:p>
        </w:tc>
      </w:tr>
      <w:tr>
        <w:tc>
          <w:tcPr>
            <w:tcW w:type="pct" w:w="25%"/>
            <w:shd w:fill="FFFFFF" w:val="clear"/>
          </w:tcPr>
          <w:p>
            <w:r>
              <w:rPr>
                <w:rFonts w:ascii="Calibri" w:cs="Calibri" w:eastAsia="Calibri" w:hAnsi="Calibri"/>
                <w:sz w:val="22"/>
                <w:szCs w:val="22"/>
              </w:rPr>
              <w:t xml:space="preserve">Regularization</w:t>
            </w:r>
          </w:p>
        </w:tc>
        <w:tc>
          <w:tcPr>
            <w:tcW w:type="pct" w:w="30%"/>
            <w:shd w:fill="FFFFFF" w:val="clear"/>
          </w:tcPr>
          <w:p>
            <w:r>
              <w:rPr>
                <w:rFonts w:ascii="Calibri" w:cs="Calibri" w:eastAsia="Calibri" w:hAnsi="Calibri"/>
                <w:sz w:val="22"/>
                <w:szCs w:val="22"/>
              </w:rPr>
              <w:t xml:space="preserve">Dropout layers</w:t>
            </w:r>
          </w:p>
        </w:tc>
        <w:tc>
          <w:tcPr>
            <w:tcW w:type="pct" w:w="45%"/>
            <w:shd w:fill="FFFFFF" w:val="clear"/>
          </w:tcPr>
          <w:p>
            <w:r>
              <w:rPr>
                <w:rFonts w:ascii="Calibri" w:cs="Calibri" w:eastAsia="Calibri" w:hAnsi="Calibri"/>
                <w:sz w:val="22"/>
                <w:szCs w:val="22"/>
              </w:rPr>
              <w:t xml:space="preserve">Randomly turns off some neurons during training to prevent the model from memorising the data.</w:t>
            </w:r>
          </w:p>
        </w:tc>
      </w:tr>
    </w:tbl>
    <w:p>
      <w:pPr>
        <w:spacing w:after="80"/>
      </w:pPr>
    </w:p>
    <w:p>
      <w:pPr>
        <w:pStyle w:val="Heading2"/>
        <w:spacing w:after="120" w:before="320"/>
      </w:pPr>
      <w:r>
        <w:t xml:space="preserve">5.2  Ablation Study</w:t>
      </w:r>
    </w:p>
    <w:p>
      <w:pPr>
        <w:spacing w:after="120" w:line="276"/>
        <w:jc w:val="both"/>
      </w:pPr>
      <w:r>
        <w:rPr>
          <w:rFonts w:ascii="Calibri" w:cs="Calibri" w:eastAsia="Calibri" w:hAnsi="Calibri"/>
          <w:sz w:val="24"/>
          <w:szCs w:val="24"/>
        </w:rPr>
        <w:t xml:space="preserve">To prove that each part of the model helps, we will train several simplified versions and compare them to the full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F497D" w:val="clear"/>
          </w:tcPr>
          <w:p>
            <w:pPr>
              <w:jc w:val="center"/>
            </w:pPr>
            <w:r>
              <w:rPr>
                <w:rFonts w:ascii="Calibri" w:cs="Calibri" w:eastAsia="Calibri" w:hAnsi="Calibri"/>
                <w:b/>
                <w:bCs/>
                <w:sz w:val="22"/>
                <w:szCs w:val="22"/>
              </w:rPr>
              <w:t xml:space="preserve">Model Version</w:t>
            </w:r>
          </w:p>
        </w:tc>
        <w:tc>
          <w:tcPr>
            <w:tcW w:type="pct" w:w="35%"/>
            <w:shd w:fill="1F497D" w:val="clear"/>
          </w:tcPr>
          <w:p>
            <w:pPr>
              <w:jc w:val="center"/>
            </w:pPr>
            <w:r>
              <w:rPr>
                <w:rFonts w:ascii="Calibri" w:cs="Calibri" w:eastAsia="Calibri" w:hAnsi="Calibri"/>
                <w:b/>
                <w:bCs/>
                <w:sz w:val="22"/>
                <w:szCs w:val="22"/>
              </w:rPr>
              <w:t xml:space="preserve">What Is Missing</w:t>
            </w:r>
          </w:p>
        </w:tc>
        <w:tc>
          <w:tcPr>
            <w:tcW w:type="pct" w:w="35%"/>
            <w:shd w:fill="1F497D" w:val="clear"/>
          </w:tcPr>
          <w:p>
            <w:pPr>
              <w:jc w:val="center"/>
            </w:pPr>
            <w:r>
              <w:rPr>
                <w:rFonts w:ascii="Calibri" w:cs="Calibri" w:eastAsia="Calibri" w:hAnsi="Calibri"/>
                <w:b/>
                <w:bCs/>
                <w:sz w:val="22"/>
                <w:szCs w:val="22"/>
              </w:rPr>
              <w:t xml:space="preserve">What We Learn</w:t>
            </w:r>
          </w:p>
        </w:tc>
      </w:tr>
      <w:tr>
        <w:tc>
          <w:tcPr>
            <w:tcW w:type="pct" w:w="30%"/>
            <w:shd w:fill="FFFFFF" w:val="clear"/>
          </w:tcPr>
          <w:p>
            <w:r>
              <w:rPr>
                <w:rFonts w:ascii="Calibri" w:cs="Calibri" w:eastAsia="Calibri" w:hAnsi="Calibri"/>
                <w:sz w:val="22"/>
                <w:szCs w:val="22"/>
              </w:rPr>
              <w:t xml:space="preserve">GNN only</w:t>
            </w:r>
          </w:p>
        </w:tc>
        <w:tc>
          <w:tcPr>
            <w:tcW w:type="pct" w:w="35%"/>
            <w:shd w:fill="FFFFFF" w:val="clear"/>
          </w:tcPr>
          <w:p>
            <w:r>
              <w:rPr>
                <w:rFonts w:ascii="Calibri" w:cs="Calibri" w:eastAsia="Calibri" w:hAnsi="Calibri"/>
                <w:sz w:val="22"/>
                <w:szCs w:val="22"/>
              </w:rPr>
              <w:t xml:space="preserve">No protein encoder, no fusion</w:t>
            </w:r>
          </w:p>
        </w:tc>
        <w:tc>
          <w:tcPr>
            <w:tcW w:type="pct" w:w="35%"/>
            <w:shd w:fill="FFFFFF" w:val="clear"/>
          </w:tcPr>
          <w:p>
            <w:r>
              <w:rPr>
                <w:rFonts w:ascii="Calibri" w:cs="Calibri" w:eastAsia="Calibri" w:hAnsi="Calibri"/>
                <w:sz w:val="22"/>
                <w:szCs w:val="22"/>
              </w:rPr>
              <w:t xml:space="preserve">How much does the drug structure alone contribute?</w:t>
            </w:r>
          </w:p>
        </w:tc>
      </w:tr>
      <w:tr>
        <w:tc>
          <w:tcPr>
            <w:tcW w:type="pct" w:w="30%"/>
            <w:shd w:fill="EBF3F9" w:val="clear"/>
          </w:tcPr>
          <w:p>
            <w:r>
              <w:rPr>
                <w:rFonts w:ascii="Calibri" w:cs="Calibri" w:eastAsia="Calibri" w:hAnsi="Calibri"/>
                <w:sz w:val="22"/>
                <w:szCs w:val="22"/>
              </w:rPr>
              <w:t xml:space="preserve">RNN only</w:t>
            </w:r>
          </w:p>
        </w:tc>
        <w:tc>
          <w:tcPr>
            <w:tcW w:type="pct" w:w="35%"/>
            <w:shd w:fill="EBF3F9" w:val="clear"/>
          </w:tcPr>
          <w:p>
            <w:r>
              <w:rPr>
                <w:rFonts w:ascii="Calibri" w:cs="Calibri" w:eastAsia="Calibri" w:hAnsi="Calibri"/>
                <w:sz w:val="22"/>
                <w:szCs w:val="22"/>
              </w:rPr>
              <w:t xml:space="preserve">No drug encoder, no fusion</w:t>
            </w:r>
          </w:p>
        </w:tc>
        <w:tc>
          <w:tcPr>
            <w:tcW w:type="pct" w:w="35%"/>
            <w:shd w:fill="EBF3F9" w:val="clear"/>
          </w:tcPr>
          <w:p>
            <w:r>
              <w:rPr>
                <w:rFonts w:ascii="Calibri" w:cs="Calibri" w:eastAsia="Calibri" w:hAnsi="Calibri"/>
                <w:sz w:val="22"/>
                <w:szCs w:val="22"/>
              </w:rPr>
              <w:t xml:space="preserve">How much does the protein sequence alone contribute?</w:t>
            </w:r>
          </w:p>
        </w:tc>
      </w:tr>
      <w:tr>
        <w:tc>
          <w:tcPr>
            <w:tcW w:type="pct" w:w="30%"/>
            <w:shd w:fill="FFFFFF" w:val="clear"/>
          </w:tcPr>
          <w:p>
            <w:r>
              <w:rPr>
                <w:rFonts w:ascii="Calibri" w:cs="Calibri" w:eastAsia="Calibri" w:hAnsi="Calibri"/>
                <w:sz w:val="22"/>
                <w:szCs w:val="22"/>
              </w:rPr>
              <w:t xml:space="preserve">GNN + RNN with concatenation</w:t>
            </w:r>
          </w:p>
        </w:tc>
        <w:tc>
          <w:tcPr>
            <w:tcW w:type="pct" w:w="35%"/>
            <w:shd w:fill="FFFFFF" w:val="clear"/>
          </w:tcPr>
          <w:p>
            <w:r>
              <w:rPr>
                <w:rFonts w:ascii="Calibri" w:cs="Calibri" w:eastAsia="Calibri" w:hAnsi="Calibri"/>
                <w:sz w:val="22"/>
                <w:szCs w:val="22"/>
              </w:rPr>
              <w:t xml:space="preserve">No cross-attention fusion</w:t>
            </w:r>
          </w:p>
        </w:tc>
        <w:tc>
          <w:tcPr>
            <w:tcW w:type="pct" w:w="35%"/>
            <w:shd w:fill="FFFFFF" w:val="clear"/>
          </w:tcPr>
          <w:p>
            <w:r>
              <w:rPr>
                <w:rFonts w:ascii="Calibri" w:cs="Calibri" w:eastAsia="Calibri" w:hAnsi="Calibri"/>
                <w:sz w:val="22"/>
                <w:szCs w:val="22"/>
              </w:rPr>
              <w:t xml:space="preserve">This is the direct test of Objective 1 — does cross-attention beat simple concatenation?</w:t>
            </w:r>
          </w:p>
        </w:tc>
      </w:tr>
      <w:tr>
        <w:tc>
          <w:tcPr>
            <w:tcW w:type="pct" w:w="30%"/>
            <w:shd w:fill="EBF3F9" w:val="clear"/>
          </w:tcPr>
          <w:p>
            <w:r>
              <w:rPr>
                <w:rFonts w:ascii="Calibri" w:cs="Calibri" w:eastAsia="Calibri" w:hAnsi="Calibri"/>
                <w:sz w:val="22"/>
                <w:szCs w:val="22"/>
              </w:rPr>
              <w:t xml:space="preserve">Full H-GNN-RNN-DTI</w:t>
            </w:r>
          </w:p>
        </w:tc>
        <w:tc>
          <w:tcPr>
            <w:tcW w:type="pct" w:w="35%"/>
            <w:shd w:fill="EBF3F9" w:val="clear"/>
          </w:tcPr>
          <w:p>
            <w:r>
              <w:rPr>
                <w:rFonts w:ascii="Calibri" w:cs="Calibri" w:eastAsia="Calibri" w:hAnsi="Calibri"/>
                <w:sz w:val="22"/>
                <w:szCs w:val="22"/>
              </w:rPr>
              <w:t xml:space="preserve">Nothing removed — complete model</w:t>
            </w:r>
          </w:p>
        </w:tc>
        <w:tc>
          <w:tcPr>
            <w:tcW w:type="pct" w:w="35%"/>
            <w:shd w:fill="EBF3F9" w:val="clear"/>
          </w:tcPr>
          <w:p>
            <w:r>
              <w:rPr>
                <w:rFonts w:ascii="Calibri" w:cs="Calibri" w:eastAsia="Calibri" w:hAnsi="Calibri"/>
                <w:sz w:val="22"/>
                <w:szCs w:val="22"/>
              </w:rPr>
              <w:t xml:space="preserve">Best performance expected.</w:t>
            </w:r>
          </w:p>
        </w:tc>
      </w:tr>
    </w:tbl>
    <w:p>
      <w:pPr>
        <w:spacing w:after="80"/>
      </w:pPr>
    </w:p>
    <w:p>
      <w:pPr>
        <w:pStyle w:val="Heading2"/>
        <w:spacing w:after="120" w:before="320"/>
      </w:pPr>
      <w:r>
        <w:t xml:space="preserve">5.3  Performance Metrics</w:t>
      </w:r>
    </w:p>
    <w:p>
      <w:pPr>
        <w:spacing w:after="100" w:line="276"/>
      </w:pPr>
      <w:r>
        <w:rPr>
          <w:rFonts w:ascii="Calibri" w:cs="Calibri" w:eastAsia="Calibri" w:hAnsi="Calibri"/>
          <w:b/>
          <w:bCs/>
          <w:sz w:val="24"/>
          <w:szCs w:val="24"/>
        </w:rPr>
        <w:t xml:space="preserve">For binary interaction classification:</w:t>
      </w:r>
      <w:r>
        <w:rPr>
          <w:rFonts w:ascii="Calibri" w:cs="Calibri" w:eastAsia="Calibri" w:hAnsi="Calibri"/>
          <w:sz w:val="24"/>
          <w:szCs w:val="24"/>
        </w:rPr>
        <w:t xml:space="preserve"/>
      </w:r>
    </w:p>
    <w:p>
      <w:pPr>
        <w:pStyle w:val="ListParagraph"/>
        <w:numPr>
          <w:ilvl w:val="0"/>
          <w:numId w:val="1"/>
        </w:numPr>
        <w:spacing w:after="80" w:line="276"/>
        <w:ind w:left="360"/>
      </w:pPr>
      <w:r>
        <w:rPr>
          <w:rFonts w:ascii="Calibri" w:cs="Calibri" w:eastAsia="Calibri" w:hAnsi="Calibri"/>
          <w:sz w:val="24"/>
          <w:szCs w:val="24"/>
        </w:rPr>
        <w:t xml:space="preserve">AUC-ROC — Area under the Receiver Operating Characteristic curve. Higher is better. Maximum = 1.0.</w:t>
      </w:r>
    </w:p>
    <w:p>
      <w:pPr>
        <w:pStyle w:val="ListParagraph"/>
        <w:numPr>
          <w:ilvl w:val="0"/>
          <w:numId w:val="1"/>
        </w:numPr>
        <w:spacing w:after="80" w:line="276"/>
        <w:ind w:left="360"/>
      </w:pPr>
      <w:r>
        <w:rPr>
          <w:rFonts w:ascii="Calibri" w:cs="Calibri" w:eastAsia="Calibri" w:hAnsi="Calibri"/>
          <w:sz w:val="24"/>
          <w:szCs w:val="24"/>
        </w:rPr>
        <w:t xml:space="preserve">AUPR — Area under the Precision–Recall curve. More informative than AUC when the dataset is imbalanced.</w:t>
      </w:r>
    </w:p>
    <w:p>
      <w:pPr>
        <w:spacing w:after="80"/>
      </w:pPr>
    </w:p>
    <w:p>
      <w:pPr>
        <w:spacing w:after="100" w:line="276"/>
      </w:pPr>
      <w:r>
        <w:rPr>
          <w:rFonts w:ascii="Calibri" w:cs="Calibri" w:eastAsia="Calibri" w:hAnsi="Calibri"/>
          <w:b/>
          <w:bCs/>
          <w:sz w:val="24"/>
          <w:szCs w:val="24"/>
        </w:rPr>
        <w:t xml:space="preserve">For binding affinity regression:</w:t>
      </w:r>
      <w:r>
        <w:rPr>
          <w:rFonts w:ascii="Calibri" w:cs="Calibri" w:eastAsia="Calibri" w:hAnsi="Calibri"/>
          <w:sz w:val="24"/>
          <w:szCs w:val="24"/>
        </w:rPr>
        <w:t xml:space="preserve"/>
      </w:r>
    </w:p>
    <w:p>
      <w:pPr>
        <w:pStyle w:val="ListParagraph"/>
        <w:numPr>
          <w:ilvl w:val="0"/>
          <w:numId w:val="1"/>
        </w:numPr>
        <w:spacing w:after="80" w:line="276"/>
        <w:ind w:left="360"/>
      </w:pPr>
      <w:r>
        <w:rPr>
          <w:rFonts w:ascii="Calibri" w:cs="Calibri" w:eastAsia="Calibri" w:hAnsi="Calibri"/>
          <w:sz w:val="24"/>
          <w:szCs w:val="24"/>
        </w:rPr>
        <w:t xml:space="preserve">RMSE — Root Mean Squared Error. Measures the average prediction error. Lower is better.</w:t>
      </w:r>
    </w:p>
    <w:p>
      <w:pPr>
        <w:pStyle w:val="ListParagraph"/>
        <w:numPr>
          <w:ilvl w:val="0"/>
          <w:numId w:val="1"/>
        </w:numPr>
        <w:spacing w:after="80" w:line="276"/>
        <w:ind w:left="360"/>
      </w:pPr>
      <w:r>
        <w:rPr>
          <w:rFonts w:ascii="Calibri" w:cs="Calibri" w:eastAsia="Calibri" w:hAnsi="Calibri"/>
          <w:sz w:val="24"/>
          <w:szCs w:val="24"/>
        </w:rPr>
        <w:t xml:space="preserve">MAE — Mean Absolute Error. Similar to RMSE but less sensitive to large errors.</w:t>
      </w:r>
    </w:p>
    <w:p>
      <w:pPr>
        <w:pStyle w:val="ListParagraph"/>
        <w:numPr>
          <w:ilvl w:val="0"/>
          <w:numId w:val="1"/>
        </w:numPr>
        <w:spacing w:after="80" w:line="276"/>
        <w:ind w:left="360"/>
      </w:pPr>
      <w:r>
        <w:rPr>
          <w:rFonts w:ascii="Calibri" w:cs="Calibri" w:eastAsia="Calibri" w:hAnsi="Calibri"/>
          <w:sz w:val="24"/>
          <w:szCs w:val="24"/>
        </w:rPr>
        <w:t xml:space="preserve">PCC — Pearson Correlation Coefficient. Measures how closely the predicted values match the real values. Higher is better. Maximum = 1.0.</w:t>
      </w:r>
    </w:p>
    <w:p>
      <w:pPr>
        <w:spacing w:after="80"/>
      </w:pPr>
    </w:p>
    <w:p>
      <w:pPr>
        <w:pStyle w:val="Heading2"/>
        <w:spacing w:after="120" w:before="320"/>
      </w:pPr>
      <w:r>
        <w:t xml:space="preserve">5.4  Statistical Testing</w:t>
      </w:r>
    </w:p>
    <w:p>
      <w:pPr>
        <w:spacing w:after="120" w:line="276"/>
        <w:jc w:val="both"/>
      </w:pPr>
      <w:r>
        <w:rPr>
          <w:rFonts w:ascii="Calibri" w:cs="Calibri" w:eastAsia="Calibri" w:hAnsi="Calibri"/>
          <w:sz w:val="24"/>
          <w:szCs w:val="24"/>
        </w:rPr>
        <w:t xml:space="preserve">To claim that our model is better than the baselines, we must show the difference is statistically significant — not just luck. We will:</w:t>
      </w:r>
    </w:p>
    <w:p>
      <w:pPr>
        <w:pStyle w:val="ListParagraph"/>
        <w:numPr>
          <w:ilvl w:val="0"/>
          <w:numId w:val="1"/>
        </w:numPr>
        <w:spacing w:after="80" w:line="276"/>
        <w:ind w:left="360"/>
      </w:pPr>
      <w:r>
        <w:rPr>
          <w:rFonts w:ascii="Calibri" w:cs="Calibri" w:eastAsia="Calibri" w:hAnsi="Calibri"/>
          <w:sz w:val="24"/>
          <w:szCs w:val="24"/>
        </w:rPr>
        <w:t xml:space="preserve">Run each experiment with at least 5 different random seeds.</w:t>
      </w:r>
    </w:p>
    <w:p>
      <w:pPr>
        <w:pStyle w:val="ListParagraph"/>
        <w:numPr>
          <w:ilvl w:val="0"/>
          <w:numId w:val="1"/>
        </w:numPr>
        <w:spacing w:after="80" w:line="276"/>
        <w:ind w:left="360"/>
      </w:pPr>
      <w:r>
        <w:rPr>
          <w:rFonts w:ascii="Calibri" w:cs="Calibri" w:eastAsia="Calibri" w:hAnsi="Calibri"/>
          <w:sz w:val="24"/>
          <w:szCs w:val="24"/>
        </w:rPr>
        <w:t xml:space="preserve">Report the mean score ± standard deviation across all runs.</w:t>
      </w:r>
    </w:p>
    <w:p>
      <w:pPr>
        <w:pStyle w:val="ListParagraph"/>
        <w:numPr>
          <w:ilvl w:val="0"/>
          <w:numId w:val="1"/>
        </w:numPr>
        <w:spacing w:after="80" w:line="276"/>
        <w:ind w:left="360"/>
      </w:pPr>
      <w:r>
        <w:rPr>
          <w:rFonts w:ascii="Calibri" w:cs="Calibri" w:eastAsia="Calibri" w:hAnsi="Calibri"/>
          <w:sz w:val="24"/>
          <w:szCs w:val="24"/>
        </w:rPr>
        <w:t xml:space="preserve">Use a paired t-test or Wilcoxon signed-rank test to compare our model to each baseline.</w:t>
      </w:r>
    </w:p>
    <w:p>
      <w:pPr>
        <w:pStyle w:val="ListParagraph"/>
        <w:numPr>
          <w:ilvl w:val="0"/>
          <w:numId w:val="1"/>
        </w:numPr>
        <w:spacing w:after="80" w:line="276"/>
        <w:ind w:left="360"/>
      </w:pPr>
      <w:r>
        <w:rPr>
          <w:rFonts w:ascii="Calibri" w:cs="Calibri" w:eastAsia="Calibri" w:hAnsi="Calibri"/>
          <w:sz w:val="24"/>
          <w:szCs w:val="24"/>
        </w:rPr>
        <w:t xml:space="preserve">A result is considered significant if the p-value is less than 0.05.</w:t>
      </w:r>
    </w:p>
    <w:p>
      <w:pPr>
        <w:spacing w:after="80"/>
      </w:pPr>
    </w:p>
    <w:p>
      <w:pPr>
        <w:pStyle w:val="Heading1"/>
        <w:spacing w:after="160" w:before="400"/>
      </w:pPr>
      <w:r>
        <w:t xml:space="preserve">Deliverables for Objective 1</w:t>
      </w:r>
    </w:p>
    <w:p>
      <w:pPr>
        <w:spacing w:after="120" w:line="276"/>
        <w:jc w:val="both"/>
      </w:pPr>
      <w:r>
        <w:rPr>
          <w:rFonts w:ascii="Calibri" w:cs="Calibri" w:eastAsia="Calibri" w:hAnsi="Calibri"/>
          <w:sz w:val="24"/>
          <w:szCs w:val="24"/>
        </w:rPr>
        <w:t xml:space="preserve">By the end of this phase of the research, the following items must be ready: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
            <w:shd w:fill="1F497D" w:val="clear"/>
          </w:tcPr>
          <w:p>
            <w:pPr>
              <w:jc w:val="center"/>
            </w:pPr>
            <w:r>
              <w:rPr>
                <w:rFonts w:ascii="Calibri" w:cs="Calibri" w:eastAsia="Calibri" w:hAnsi="Calibri"/>
                <w:b/>
                <w:bCs/>
                <w:sz w:val="22"/>
                <w:szCs w:val="22"/>
              </w:rPr>
              <w:t xml:space="preserve">#</w:t>
            </w:r>
          </w:p>
        </w:tc>
        <w:tc>
          <w:tcPr>
            <w:tcW w:type="pct" w:w="28%"/>
            <w:shd w:fill="1F497D" w:val="clear"/>
          </w:tcPr>
          <w:p>
            <w:pPr>
              <w:jc w:val="center"/>
            </w:pPr>
            <w:r>
              <w:rPr>
                <w:rFonts w:ascii="Calibri" w:cs="Calibri" w:eastAsia="Calibri" w:hAnsi="Calibri"/>
                <w:b/>
                <w:bCs/>
                <w:sz w:val="22"/>
                <w:szCs w:val="22"/>
              </w:rPr>
              <w:t xml:space="preserve">Deliverable</w:t>
            </w:r>
          </w:p>
        </w:tc>
        <w:tc>
          <w:tcPr>
            <w:tcW w:type="pct" w:w="67%"/>
            <w:shd w:fill="1F497D" w:val="clear"/>
          </w:tcPr>
          <w:p>
            <w:pPr>
              <w:jc w:val="center"/>
            </w:pPr>
            <w:r>
              <w:rPr>
                <w:rFonts w:ascii="Calibri" w:cs="Calibri" w:eastAsia="Calibri" w:hAnsi="Calibri"/>
                <w:b/>
                <w:bCs/>
                <w:sz w:val="22"/>
                <w:szCs w:val="22"/>
              </w:rPr>
              <w:t xml:space="preserve">Description</w:t>
            </w:r>
          </w:p>
        </w:tc>
      </w:tr>
      <w:tr>
        <w:tc>
          <w:tcPr>
            <w:tcW w:type="pct" w:w="5%"/>
            <w:shd w:fill="FFFFFF" w:val="clear"/>
          </w:tcPr>
          <w:p>
            <w:r>
              <w:rPr>
                <w:rFonts w:ascii="Calibri" w:cs="Calibri" w:eastAsia="Calibri" w:hAnsi="Calibri"/>
                <w:sz w:val="22"/>
                <w:szCs w:val="22"/>
              </w:rPr>
              <w:t xml:space="preserve">1</w:t>
            </w:r>
          </w:p>
        </w:tc>
        <w:tc>
          <w:tcPr>
            <w:tcW w:type="pct" w:w="28%"/>
            <w:shd w:fill="FFFFFF" w:val="clear"/>
          </w:tcPr>
          <w:p>
            <w:r>
              <w:rPr>
                <w:rFonts w:ascii="Calibri" w:cs="Calibri" w:eastAsia="Calibri" w:hAnsi="Calibri"/>
                <w:sz w:val="22"/>
                <w:szCs w:val="22"/>
              </w:rPr>
              <w:t xml:space="preserve">Cleaned dataset files</w:t>
            </w:r>
          </w:p>
        </w:tc>
        <w:tc>
          <w:tcPr>
            <w:tcW w:type="pct" w:w="67%"/>
            <w:shd w:fill="FFFFFF" w:val="clear"/>
          </w:tcPr>
          <w:p>
            <w:r>
              <w:rPr>
                <w:rFonts w:ascii="Calibri" w:cs="Calibri" w:eastAsia="Calibri" w:hAnsi="Calibri"/>
                <w:sz w:val="22"/>
                <w:szCs w:val="22"/>
              </w:rPr>
              <w:t xml:space="preserve">All datasets downloaded, filtered, and saved in a consistent format with clear version numbers.</w:t>
            </w:r>
          </w:p>
        </w:tc>
      </w:tr>
      <w:tr>
        <w:tc>
          <w:tcPr>
            <w:tcW w:type="pct" w:w="5%"/>
            <w:shd w:fill="EBF3F9" w:val="clear"/>
          </w:tcPr>
          <w:p>
            <w:r>
              <w:rPr>
                <w:rFonts w:ascii="Calibri" w:cs="Calibri" w:eastAsia="Calibri" w:hAnsi="Calibri"/>
                <w:sz w:val="22"/>
                <w:szCs w:val="22"/>
              </w:rPr>
              <w:t xml:space="preserve">2</w:t>
            </w:r>
          </w:p>
        </w:tc>
        <w:tc>
          <w:tcPr>
            <w:tcW w:type="pct" w:w="28%"/>
            <w:shd w:fill="EBF3F9" w:val="clear"/>
          </w:tcPr>
          <w:p>
            <w:r>
              <w:rPr>
                <w:rFonts w:ascii="Calibri" w:cs="Calibri" w:eastAsia="Calibri" w:hAnsi="Calibri"/>
                <w:sz w:val="22"/>
                <w:szCs w:val="22"/>
              </w:rPr>
              <w:t xml:space="preserve">Preprocessing scripts</w:t>
            </w:r>
          </w:p>
        </w:tc>
        <w:tc>
          <w:tcPr>
            <w:tcW w:type="pct" w:w="67%"/>
            <w:shd w:fill="EBF3F9" w:val="clear"/>
          </w:tcPr>
          <w:p>
            <w:r>
              <w:rPr>
                <w:rFonts w:ascii="Calibri" w:cs="Calibri" w:eastAsia="Calibri" w:hAnsi="Calibri"/>
                <w:sz w:val="22"/>
                <w:szCs w:val="22"/>
              </w:rPr>
              <w:t xml:space="preserve">Python code using RDKit and ESM-2 to convert raw data into drug graphs and protein embeddings. Must be reusable.</w:t>
            </w:r>
          </w:p>
        </w:tc>
      </w:tr>
      <w:tr>
        <w:tc>
          <w:tcPr>
            <w:tcW w:type="pct" w:w="5%"/>
            <w:shd w:fill="FFFFFF" w:val="clear"/>
          </w:tcPr>
          <w:p>
            <w:r>
              <w:rPr>
                <w:rFonts w:ascii="Calibri" w:cs="Calibri" w:eastAsia="Calibri" w:hAnsi="Calibri"/>
                <w:sz w:val="22"/>
                <w:szCs w:val="22"/>
              </w:rPr>
              <w:t xml:space="preserve">3</w:t>
            </w:r>
          </w:p>
        </w:tc>
        <w:tc>
          <w:tcPr>
            <w:tcW w:type="pct" w:w="28%"/>
            <w:shd w:fill="FFFFFF" w:val="clear"/>
          </w:tcPr>
          <w:p>
            <w:r>
              <w:rPr>
                <w:rFonts w:ascii="Calibri" w:cs="Calibri" w:eastAsia="Calibri" w:hAnsi="Calibri"/>
                <w:sz w:val="22"/>
                <w:szCs w:val="22"/>
              </w:rPr>
              <w:t xml:space="preserve">Baseline results</w:t>
            </w:r>
          </w:p>
        </w:tc>
        <w:tc>
          <w:tcPr>
            <w:tcW w:type="pct" w:w="67%"/>
            <w:shd w:fill="FFFFFF" w:val="clear"/>
          </w:tcPr>
          <w:p>
            <w:r>
              <w:rPr>
                <w:rFonts w:ascii="Calibri" w:cs="Calibri" w:eastAsia="Calibri" w:hAnsi="Calibri"/>
                <w:sz w:val="22"/>
                <w:szCs w:val="22"/>
              </w:rPr>
              <w:t xml:space="preserve">Reproduced performance numbers for GSRF-DTI, DTKGIN, and the simple concatenation model.</w:t>
            </w:r>
          </w:p>
        </w:tc>
      </w:tr>
      <w:tr>
        <w:tc>
          <w:tcPr>
            <w:tcW w:type="pct" w:w="5%"/>
            <w:shd w:fill="EBF3F9" w:val="clear"/>
          </w:tcPr>
          <w:p>
            <w:r>
              <w:rPr>
                <w:rFonts w:ascii="Calibri" w:cs="Calibri" w:eastAsia="Calibri" w:hAnsi="Calibri"/>
                <w:sz w:val="22"/>
                <w:szCs w:val="22"/>
              </w:rPr>
              <w:t xml:space="preserve">4</w:t>
            </w:r>
          </w:p>
        </w:tc>
        <w:tc>
          <w:tcPr>
            <w:tcW w:type="pct" w:w="28%"/>
            <w:shd w:fill="EBF3F9" w:val="clear"/>
          </w:tcPr>
          <w:p>
            <w:r>
              <w:rPr>
                <w:rFonts w:ascii="Calibri" w:cs="Calibri" w:eastAsia="Calibri" w:hAnsi="Calibri"/>
                <w:sz w:val="22"/>
                <w:szCs w:val="22"/>
              </w:rPr>
              <w:t xml:space="preserve">Trained H-GNN-RNN-DTI model</w:t>
            </w:r>
          </w:p>
        </w:tc>
        <w:tc>
          <w:tcPr>
            <w:tcW w:type="pct" w:w="67%"/>
            <w:shd w:fill="EBF3F9" w:val="clear"/>
          </w:tcPr>
          <w:p>
            <w:r>
              <w:rPr>
                <w:rFonts w:ascii="Calibri" w:cs="Calibri" w:eastAsia="Calibri" w:hAnsi="Calibri"/>
                <w:sz w:val="22"/>
                <w:szCs w:val="22"/>
              </w:rPr>
              <w:t xml:space="preserve">The fully trained model, including the saved weights file and training logs.</w:t>
            </w:r>
          </w:p>
        </w:tc>
      </w:tr>
      <w:tr>
        <w:tc>
          <w:tcPr>
            <w:tcW w:type="pct" w:w="5%"/>
            <w:shd w:fill="FFFFFF" w:val="clear"/>
          </w:tcPr>
          <w:p>
            <w:r>
              <w:rPr>
                <w:rFonts w:ascii="Calibri" w:cs="Calibri" w:eastAsia="Calibri" w:hAnsi="Calibri"/>
                <w:sz w:val="22"/>
                <w:szCs w:val="22"/>
              </w:rPr>
              <w:t xml:space="preserve">5</w:t>
            </w:r>
          </w:p>
        </w:tc>
        <w:tc>
          <w:tcPr>
            <w:tcW w:type="pct" w:w="28%"/>
            <w:shd w:fill="FFFFFF" w:val="clear"/>
          </w:tcPr>
          <w:p>
            <w:r>
              <w:rPr>
                <w:rFonts w:ascii="Calibri" w:cs="Calibri" w:eastAsia="Calibri" w:hAnsi="Calibri"/>
                <w:sz w:val="22"/>
                <w:szCs w:val="22"/>
              </w:rPr>
              <w:t xml:space="preserve">Ablation study results</w:t>
            </w:r>
          </w:p>
        </w:tc>
        <w:tc>
          <w:tcPr>
            <w:tcW w:type="pct" w:w="67%"/>
            <w:shd w:fill="FFFFFF" w:val="clear"/>
          </w:tcPr>
          <w:p>
            <w:r>
              <w:rPr>
                <w:rFonts w:ascii="Calibri" w:cs="Calibri" w:eastAsia="Calibri" w:hAnsi="Calibri"/>
                <w:sz w:val="22"/>
                <w:szCs w:val="22"/>
              </w:rPr>
              <w:t xml:space="preserve">A table comparing all model variants (GNN-only, RNN-only, concatenation, full model).</w:t>
            </w:r>
          </w:p>
        </w:tc>
      </w:tr>
      <w:tr>
        <w:tc>
          <w:tcPr>
            <w:tcW w:type="pct" w:w="5%"/>
            <w:shd w:fill="EBF3F9" w:val="clear"/>
          </w:tcPr>
          <w:p>
            <w:r>
              <w:rPr>
                <w:rFonts w:ascii="Calibri" w:cs="Calibri" w:eastAsia="Calibri" w:hAnsi="Calibri"/>
                <w:sz w:val="22"/>
                <w:szCs w:val="22"/>
              </w:rPr>
              <w:t xml:space="preserve">6</w:t>
            </w:r>
          </w:p>
        </w:tc>
        <w:tc>
          <w:tcPr>
            <w:tcW w:type="pct" w:w="28%"/>
            <w:shd w:fill="EBF3F9" w:val="clear"/>
          </w:tcPr>
          <w:p>
            <w:r>
              <w:rPr>
                <w:rFonts w:ascii="Calibri" w:cs="Calibri" w:eastAsia="Calibri" w:hAnsi="Calibri"/>
                <w:sz w:val="22"/>
                <w:szCs w:val="22"/>
              </w:rPr>
              <w:t xml:space="preserve">Evaluation report</w:t>
            </w:r>
          </w:p>
        </w:tc>
        <w:tc>
          <w:tcPr>
            <w:tcW w:type="pct" w:w="67%"/>
            <w:shd w:fill="EBF3F9" w:val="clear"/>
          </w:tcPr>
          <w:p>
            <w:r>
              <w:rPr>
                <w:rFonts w:ascii="Calibri" w:cs="Calibri" w:eastAsia="Calibri" w:hAnsi="Calibri"/>
                <w:sz w:val="22"/>
                <w:szCs w:val="22"/>
              </w:rPr>
              <w:t xml:space="preserve">A summary table of all metrics across all datasets and split types, with statistical significance noted.</w:t>
            </w:r>
          </w:p>
        </w:tc>
      </w:tr>
    </w:tbl>
    <w:p>
      <w:pPr>
        <w:spacing w:after="80"/>
      </w:pPr>
    </w:p>
    <w:p>
      <w:pPr>
        <w:pStyle w:val="Heading1"/>
        <w:spacing w:after="160" w:before="400"/>
      </w:pPr>
      <w:r>
        <w:t xml:space="preserve">Where to Start First</w:t>
      </w:r>
    </w:p>
    <w:p>
      <w:pPr>
        <w:spacing w:after="120" w:line="276"/>
        <w:jc w:val="both"/>
      </w:pPr>
      <w:r>
        <w:rPr>
          <w:rFonts w:ascii="Calibri" w:cs="Calibri" w:eastAsia="Calibri" w:hAnsi="Calibri"/>
          <w:sz w:val="24"/>
          <w:szCs w:val="24"/>
        </w:rPr>
        <w:t xml:space="preserve">Begin with the DAVIS and Yamanishi_08 datasets because they are small and well-structured. This lets you build and test the entire pipeline — from download to model training — quickly. Once the pipeline works on small data, it is easy to add the larger datasets.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5%"/>
            <w:shd w:fill="1F497D" w:val="clear"/>
          </w:tcPr>
          <w:p>
            <w:pPr>
              <w:jc w:val="center"/>
            </w:pPr>
            <w:r>
              <w:rPr>
                <w:rFonts w:ascii="Calibri" w:cs="Calibri" w:eastAsia="Calibri" w:hAnsi="Calibri"/>
                <w:b/>
                <w:bCs/>
                <w:sz w:val="22"/>
                <w:szCs w:val="22"/>
              </w:rPr>
              <w:t xml:space="preserve">Week</w:t>
            </w:r>
          </w:p>
        </w:tc>
        <w:tc>
          <w:tcPr>
            <w:tcW w:type="pct" w:w="85%"/>
            <w:shd w:fill="1F497D" w:val="clear"/>
          </w:tcPr>
          <w:p>
            <w:pPr>
              <w:jc w:val="center"/>
            </w:pPr>
            <w:r>
              <w:rPr>
                <w:rFonts w:ascii="Calibri" w:cs="Calibri" w:eastAsia="Calibri" w:hAnsi="Calibri"/>
                <w:b/>
                <w:bCs/>
                <w:sz w:val="22"/>
                <w:szCs w:val="22"/>
              </w:rPr>
              <w:t xml:space="preserve">Task</w:t>
            </w:r>
          </w:p>
        </w:tc>
      </w:tr>
      <w:tr>
        <w:tc>
          <w:tcPr>
            <w:tcW w:type="pct" w:w="15%"/>
            <w:shd w:fill="FFFFFF" w:val="clear"/>
          </w:tcPr>
          <w:p>
            <w:r>
              <w:rPr>
                <w:rFonts w:ascii="Calibri" w:cs="Calibri" w:eastAsia="Calibri" w:hAnsi="Calibri"/>
                <w:sz w:val="22"/>
                <w:szCs w:val="22"/>
              </w:rPr>
              <w:t xml:space="preserve">Week 1–2</w:t>
            </w:r>
          </w:p>
        </w:tc>
        <w:tc>
          <w:tcPr>
            <w:tcW w:type="pct" w:w="85%"/>
            <w:shd w:fill="FFFFFF" w:val="clear"/>
          </w:tcPr>
          <w:p>
            <w:r>
              <w:rPr>
                <w:rFonts w:ascii="Calibri" w:cs="Calibri" w:eastAsia="Calibri" w:hAnsi="Calibri"/>
                <w:sz w:val="22"/>
                <w:szCs w:val="22"/>
              </w:rPr>
              <w:t xml:space="preserve">Download DAVIS, KIBA, Yamanishi_08, and Luo_17. Run data quality checks.</w:t>
            </w:r>
          </w:p>
        </w:tc>
      </w:tr>
      <w:tr>
        <w:tc>
          <w:tcPr>
            <w:tcW w:type="pct" w:w="15%"/>
            <w:shd w:fill="EBF3F9" w:val="clear"/>
          </w:tcPr>
          <w:p>
            <w:r>
              <w:rPr>
                <w:rFonts w:ascii="Calibri" w:cs="Calibri" w:eastAsia="Calibri" w:hAnsi="Calibri"/>
                <w:sz w:val="22"/>
                <w:szCs w:val="22"/>
              </w:rPr>
              <w:t xml:space="preserve">Week 3–4</w:t>
            </w:r>
          </w:p>
        </w:tc>
        <w:tc>
          <w:tcPr>
            <w:tcW w:type="pct" w:w="85%"/>
            <w:shd w:fill="EBF3F9" w:val="clear"/>
          </w:tcPr>
          <w:p>
            <w:r>
              <w:rPr>
                <w:rFonts w:ascii="Calibri" w:cs="Calibri" w:eastAsia="Calibri" w:hAnsi="Calibri"/>
                <w:sz w:val="22"/>
                <w:szCs w:val="22"/>
              </w:rPr>
              <w:t xml:space="preserve">Write preprocessing scripts. Build drug graphs and protein embeddings for DAVIS and Yamanishi_08.</w:t>
            </w:r>
          </w:p>
        </w:tc>
      </w:tr>
      <w:tr>
        <w:tc>
          <w:tcPr>
            <w:tcW w:type="pct" w:w="15%"/>
            <w:shd w:fill="FFFFFF" w:val="clear"/>
          </w:tcPr>
          <w:p>
            <w:r>
              <w:rPr>
                <w:rFonts w:ascii="Calibri" w:cs="Calibri" w:eastAsia="Calibri" w:hAnsi="Calibri"/>
                <w:sz w:val="22"/>
                <w:szCs w:val="22"/>
              </w:rPr>
              <w:t xml:space="preserve">Week 5–6</w:t>
            </w:r>
          </w:p>
        </w:tc>
        <w:tc>
          <w:tcPr>
            <w:tcW w:type="pct" w:w="85%"/>
            <w:shd w:fill="FFFFFF" w:val="clear"/>
          </w:tcPr>
          <w:p>
            <w:r>
              <w:rPr>
                <w:rFonts w:ascii="Calibri" w:cs="Calibri" w:eastAsia="Calibri" w:hAnsi="Calibri"/>
                <w:sz w:val="22"/>
                <w:szCs w:val="22"/>
              </w:rPr>
              <w:t xml:space="preserve">Reproduce DTKGIN and GSRF-DTI baselines. Build the simple concatenation model.</w:t>
            </w:r>
          </w:p>
        </w:tc>
      </w:tr>
      <w:tr>
        <w:tc>
          <w:tcPr>
            <w:tcW w:type="pct" w:w="15%"/>
            <w:shd w:fill="EBF3F9" w:val="clear"/>
          </w:tcPr>
          <w:p>
            <w:r>
              <w:rPr>
                <w:rFonts w:ascii="Calibri" w:cs="Calibri" w:eastAsia="Calibri" w:hAnsi="Calibri"/>
                <w:sz w:val="22"/>
                <w:szCs w:val="22"/>
              </w:rPr>
              <w:t xml:space="preserve">Week 7–10</w:t>
            </w:r>
          </w:p>
        </w:tc>
        <w:tc>
          <w:tcPr>
            <w:tcW w:type="pct" w:w="85%"/>
            <w:shd w:fill="EBF3F9" w:val="clear"/>
          </w:tcPr>
          <w:p>
            <w:r>
              <w:rPr>
                <w:rFonts w:ascii="Calibri" w:cs="Calibri" w:eastAsia="Calibri" w:hAnsi="Calibri"/>
                <w:sz w:val="22"/>
                <w:szCs w:val="22"/>
              </w:rPr>
              <w:t xml:space="preserve">Build and train the full H-GNN-RNN-DTI model. Run ablation studies.</w:t>
            </w:r>
          </w:p>
        </w:tc>
      </w:tr>
      <w:tr>
        <w:tc>
          <w:tcPr>
            <w:tcW w:type="pct" w:w="15%"/>
            <w:shd w:fill="FFFFFF" w:val="clear"/>
          </w:tcPr>
          <w:p>
            <w:r>
              <w:rPr>
                <w:rFonts w:ascii="Calibri" w:cs="Calibri" w:eastAsia="Calibri" w:hAnsi="Calibri"/>
                <w:sz w:val="22"/>
                <w:szCs w:val="22"/>
              </w:rPr>
              <w:t xml:space="preserve">Week 11–12</w:t>
            </w:r>
          </w:p>
        </w:tc>
        <w:tc>
          <w:tcPr>
            <w:tcW w:type="pct" w:w="85%"/>
            <w:shd w:fill="FFFFFF" w:val="clear"/>
          </w:tcPr>
          <w:p>
            <w:r>
              <w:rPr>
                <w:rFonts w:ascii="Calibri" w:cs="Calibri" w:eastAsia="Calibri" w:hAnsi="Calibri"/>
                <w:sz w:val="22"/>
                <w:szCs w:val="22"/>
              </w:rPr>
              <w:t xml:space="preserve">Run all evaluations. Write up results. Download and test on BindingDB and ChEMBL.</w:t>
            </w:r>
          </w:p>
        </w:tc>
      </w:tr>
    </w:tbl>
    <w:p>
      <w:pPr>
        <w:spacing w:after="80"/>
      </w:pP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pPr>
    <w:rPr>
      <w:rFonts w:ascii="Calibri Light" w:cs="Calibri Light" w:eastAsia="Calibri Light" w:hAnsi="Calibri Light"/>
      <w:b/>
      <w:bCs/>
      <w:color w:val="1F497D"/>
      <w:sz w:val="32"/>
      <w:szCs w:val="32"/>
    </w:rPr>
  </w:style>
  <w:style w:type="paragraph" w:styleId="Heading2">
    <w:name w:val="Heading 2"/>
    <w:basedOn w:val="Normal"/>
    <w:next w:val="Normal"/>
    <w:pPr>
      <w:spacing w:after="120" w:before="320"/>
    </w:pPr>
    <w:rPr>
      <w:rFonts w:ascii="Calibri Light" w:cs="Calibri Light" w:eastAsia="Calibri Light" w:hAnsi="Calibri Light"/>
      <w:b/>
      <w:bCs/>
      <w:color w:val="2E74B5"/>
      <w:sz w:val="28"/>
      <w:szCs w:val="28"/>
    </w:rPr>
  </w:style>
  <w:style w:type="paragraph" w:styleId="Heading3">
    <w:name w:val="Heading 3"/>
    <w:basedOn w:val="Normal"/>
    <w:next w:val="Normal"/>
    <w:pPr>
      <w:spacing w:after="80" w:before="240"/>
    </w:pPr>
    <w:rPr>
      <w:rFonts w:ascii="Calibri Light" w:cs="Calibri Light" w:eastAsia="Calibri Light" w:hAnsi="Calibri Light"/>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2026-06-15T20:38:09.428Z</dcterms:created>
  <dcterms:modified xsi:type="dcterms:W3CDTF">2026-06-15T20:38:09.429Z</dcterms:modified>
</cp:coreProperties>
</file>

<file path=docProps/custom.xml><?xml version="1.0" encoding="utf-8"?>
<Properties xmlns="http://schemas.openxmlformats.org/officeDocument/2006/custom-properties" xmlns:vt="http://schemas.openxmlformats.org/officeDocument/2006/docPropsVTypes"/>
</file>