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497D"/>
          <w:sz w:val="44"/>
        </w:rPr>
        <w:t>Objective 3 — Full Research Walkthrough</w:t>
      </w:r>
    </w:p>
    <w:p>
      <w:pPr>
        <w:jc w:val="center"/>
      </w:pPr>
      <w:r>
        <w:rPr>
          <w:color w:val="007078"/>
          <w:sz w:val="28"/>
        </w:rPr>
        <w:t>H-GNN-RNN-DTI: Attention-Based Interpretability Analysis</w:t>
      </w:r>
    </w:p>
    <w:p>
      <w:pPr>
        <w:jc w:val="center"/>
      </w:pPr>
      <w:r>
        <w:rPr>
          <w:color w:val="595959"/>
          <w:sz w:val="22"/>
        </w:rPr>
        <w:t>Attribution Extraction · Grad-CAM · Visualization · Faithfulness Metrics · PDB Case Studies · Baseline Comparison</w:t>
      </w:r>
    </w:p>
    <w:p/>
    <w:p>
      <w:pPr>
        <w:jc w:val="center"/>
      </w:pPr>
      <w:r>
        <w:rPr>
          <w:color w:val="595959"/>
          <w:sz w:val="22"/>
        </w:rPr>
        <w:t>Universiti Sains Malaysia  |  School of Computer Sciences</w:t>
        <w:br/>
        <w:t>Supervisor: Assoc. Prof. Dr. Nurul Hashimah</w:t>
        <w:br/>
        <w:t>Prepared: July 2026</w:t>
      </w:r>
    </w:p>
    <w:p>
      <w:r>
        <w:br w:type="page"/>
      </w:r>
    </w:p>
    <w:p>
      <w:pPr>
        <w:spacing w:before="360" w:after="80"/>
        <w:pBdr>
          <w:bottom w:val="single" w:sz="6" w:space="1" w:color="1F497D"/>
        </w:pBdr>
      </w:pPr>
      <w:r>
        <w:rPr>
          <w:b/>
          <w:color w:val="1F497D"/>
          <w:sz w:val="32"/>
        </w:rPr>
        <w:t>Document Overview</w:t>
      </w:r>
    </w:p>
    <w:p>
      <w:pPr>
        <w:spacing w:before="40" w:after="80"/>
      </w:pPr>
      <w:r>
        <w:rPr>
          <w:color w:val="595959"/>
          <w:sz w:val="22"/>
        </w:rPr>
        <w:t>This document is a complete, plain-English walkthrough of Objective 3 of the H-GNN-RNN-DTI research project. Objective 3 asks: can the model explain its predictions in a biologically meaningful way? Specifically, when H-GNN-RNN-DTI predicts that a drug interacts with a protein, can we identify which parts of the drug molecule and which regions of the protein sequence are driving that prediction? And can we verify those explanations against known biology?</w:t>
      </w:r>
    </w:p>
    <w:p>
      <w:pPr>
        <w:spacing w:before="40" w:after="80"/>
      </w:pPr>
      <w:r>
        <w:rPr>
          <w:color w:val="595959"/>
          <w:sz w:val="22"/>
        </w:rPr>
        <w:t>The analysis has seven phases, building from basic extraction of internal model signals all the way to systematic comparison of explanation methods against biological ground truth. The main case study throughout is L-tryptophan (DB00150) binding to the adenosine receptor ADORA3 (P19838) from the luo_17 dataset, cross-validated with methotrexate (D00142) binding to human DHFR (P00374) from the yamanishi_e dataset.</w:t>
      </w:r>
    </w:p>
    <w:tbl>
      <w:tblPr>
        <w:tblStyle w:val="TableGrid"/>
        <w:tblW w:type="auto" w:w="0"/>
        <w:tblLook w:firstColumn="1" w:firstRow="1" w:lastColumn="0" w:lastRow="0" w:noHBand="0" w:noVBand="1" w:val="04A0"/>
      </w:tblPr>
      <w:tblGrid>
        <w:gridCol w:w="2280"/>
        <w:gridCol w:w="2280"/>
        <w:gridCol w:w="2280"/>
        <w:gridCol w:w="2280"/>
      </w:tblGrid>
      <w:tr>
        <w:tc>
          <w:tcPr>
            <w:tcW w:type="dxa" w:w="720"/>
            <w:shd w:val="clear" w:color="auto" w:fill="1F497D"/>
          </w:tcPr>
          <w:p>
            <w:r>
              <w:rPr>
                <w:b/>
                <w:color w:val="FFFFFF"/>
                <w:sz w:val="20"/>
              </w:rPr>
              <w:t>Phase</w:t>
            </w:r>
          </w:p>
        </w:tc>
        <w:tc>
          <w:tcPr>
            <w:tcW w:type="dxa" w:w="3744"/>
            <w:shd w:val="clear" w:color="auto" w:fill="1F497D"/>
          </w:tcPr>
          <w:p>
            <w:r>
              <w:rPr>
                <w:b/>
                <w:color w:val="FFFFFF"/>
                <w:sz w:val="20"/>
              </w:rPr>
              <w:t>What Was Done</w:t>
            </w:r>
          </w:p>
        </w:tc>
        <w:tc>
          <w:tcPr>
            <w:tcW w:type="dxa" w:w="3024"/>
            <w:shd w:val="clear" w:color="auto" w:fill="1F497D"/>
          </w:tcPr>
          <w:p>
            <w:r>
              <w:rPr>
                <w:b/>
                <w:color w:val="FFFFFF"/>
                <w:sz w:val="20"/>
              </w:rPr>
              <w:t>Key Output</w:t>
            </w:r>
          </w:p>
        </w:tc>
        <w:tc>
          <w:tcPr>
            <w:tcW w:type="dxa" w:w="1008"/>
            <w:shd w:val="clear" w:color="auto" w:fill="1F497D"/>
          </w:tcPr>
          <w:p>
            <w:r>
              <w:rPr>
                <w:b/>
                <w:color w:val="FFFFFF"/>
                <w:sz w:val="20"/>
              </w:rPr>
              <w:t>Status</w:t>
            </w:r>
          </w:p>
        </w:tc>
      </w:tr>
      <w:tr>
        <w:tc>
          <w:tcPr>
            <w:tcW w:type="dxa" w:w="720"/>
            <w:shd w:val="clear" w:color="auto" w:fill="F2F7FF"/>
          </w:tcPr>
          <w:p>
            <w:r>
              <w:rPr>
                <w:color w:val="595959"/>
                <w:sz w:val="20"/>
              </w:rPr>
              <w:t>1</w:t>
            </w:r>
          </w:p>
        </w:tc>
        <w:tc>
          <w:tcPr>
            <w:tcW w:type="dxa" w:w="3744"/>
            <w:shd w:val="clear" w:color="auto" w:fill="F2F7FF"/>
          </w:tcPr>
          <w:p>
            <w:r>
              <w:rPr>
                <w:color w:val="595959"/>
                <w:sz w:val="20"/>
              </w:rPr>
              <w:t>Extract attention weights and atom-level importance from the trained model</w:t>
            </w:r>
          </w:p>
        </w:tc>
        <w:tc>
          <w:tcPr>
            <w:tcW w:type="dxa" w:w="3024"/>
            <w:shd w:val="clear" w:color="auto" w:fill="F2F7FF"/>
          </w:tcPr>
          <w:p>
            <w:r>
              <w:rPr>
                <w:color w:val="595959"/>
                <w:sz w:val="20"/>
              </w:rPr>
              <w:t>interpret/extract_attention.py</w:t>
            </w:r>
          </w:p>
        </w:tc>
        <w:tc>
          <w:tcPr>
            <w:tcW w:type="dxa" w:w="1008"/>
            <w:shd w:val="clear" w:color="auto" w:fill="F2F7FF"/>
          </w:tcPr>
          <w:p>
            <w:r>
              <w:rPr>
                <w:color w:val="595959"/>
                <w:sz w:val="20"/>
              </w:rPr>
              <w:t>✓ Done</w:t>
            </w:r>
          </w:p>
        </w:tc>
      </w:tr>
      <w:tr>
        <w:tc>
          <w:tcPr>
            <w:tcW w:type="dxa" w:w="720"/>
            <w:shd w:val="clear" w:color="auto" w:fill="FFFFFF"/>
          </w:tcPr>
          <w:p>
            <w:r>
              <w:rPr>
                <w:color w:val="595959"/>
                <w:sz w:val="20"/>
              </w:rPr>
              <w:t>2</w:t>
            </w:r>
          </w:p>
        </w:tc>
        <w:tc>
          <w:tcPr>
            <w:tcW w:type="dxa" w:w="3744"/>
            <w:shd w:val="clear" w:color="auto" w:fill="FFFFFF"/>
          </w:tcPr>
          <w:p>
            <w:r>
              <w:rPr>
                <w:color w:val="595959"/>
                <w:sz w:val="20"/>
              </w:rPr>
              <w:t>Compute Graph Grad-CAM on drug (GAT layers) and protein (BiGRU hidden states)</w:t>
            </w:r>
          </w:p>
        </w:tc>
        <w:tc>
          <w:tcPr>
            <w:tcW w:type="dxa" w:w="3024"/>
            <w:shd w:val="clear" w:color="auto" w:fill="FFFFFF"/>
          </w:tcPr>
          <w:p>
            <w:r>
              <w:rPr>
                <w:color w:val="595959"/>
                <w:sz w:val="20"/>
              </w:rPr>
              <w:t>interpret/grad_cam.py</w:t>
            </w:r>
          </w:p>
        </w:tc>
        <w:tc>
          <w:tcPr>
            <w:tcW w:type="dxa" w:w="1008"/>
            <w:shd w:val="clear" w:color="auto" w:fill="FFFFFF"/>
          </w:tcPr>
          <w:p>
            <w:r>
              <w:rPr>
                <w:color w:val="595959"/>
                <w:sz w:val="20"/>
              </w:rPr>
              <w:t>✓ Done</w:t>
            </w:r>
          </w:p>
        </w:tc>
      </w:tr>
      <w:tr>
        <w:tc>
          <w:tcPr>
            <w:tcW w:type="dxa" w:w="720"/>
            <w:shd w:val="clear" w:color="auto" w:fill="F2F7FF"/>
          </w:tcPr>
          <w:p>
            <w:r>
              <w:rPr>
                <w:color w:val="595959"/>
                <w:sz w:val="20"/>
              </w:rPr>
              <w:t>3</w:t>
            </w:r>
          </w:p>
        </w:tc>
        <w:tc>
          <w:tcPr>
            <w:tcW w:type="dxa" w:w="3744"/>
            <w:shd w:val="clear" w:color="auto" w:fill="F2F7FF"/>
          </w:tcPr>
          <w:p>
            <w:r>
              <w:rPr>
                <w:color w:val="595959"/>
                <w:sz w:val="20"/>
              </w:rPr>
              <w:t>Generate publication-quality visualizations: drug atom coloring, residue heatmap, drug-protein interaction matrix</w:t>
            </w:r>
          </w:p>
        </w:tc>
        <w:tc>
          <w:tcPr>
            <w:tcW w:type="dxa" w:w="3024"/>
            <w:shd w:val="clear" w:color="auto" w:fill="F2F7FF"/>
          </w:tcPr>
          <w:p>
            <w:r>
              <w:rPr>
                <w:color w:val="595959"/>
                <w:sz w:val="20"/>
              </w:rPr>
              <w:t>interpret/visualize_*.py</w:t>
            </w:r>
          </w:p>
        </w:tc>
        <w:tc>
          <w:tcPr>
            <w:tcW w:type="dxa" w:w="1008"/>
            <w:shd w:val="clear" w:color="auto" w:fill="F2F7FF"/>
          </w:tcPr>
          <w:p>
            <w:r>
              <w:rPr>
                <w:color w:val="595959"/>
                <w:sz w:val="20"/>
              </w:rPr>
              <w:t>✓ Done</w:t>
            </w:r>
          </w:p>
        </w:tc>
      </w:tr>
      <w:tr>
        <w:tc>
          <w:tcPr>
            <w:tcW w:type="dxa" w:w="720"/>
            <w:shd w:val="clear" w:color="auto" w:fill="FFFFFF"/>
          </w:tcPr>
          <w:p>
            <w:r>
              <w:rPr>
                <w:color w:val="595959"/>
                <w:sz w:val="20"/>
              </w:rPr>
              <w:t>4</w:t>
            </w:r>
          </w:p>
        </w:tc>
        <w:tc>
          <w:tcPr>
            <w:tcW w:type="dxa" w:w="3744"/>
            <w:shd w:val="clear" w:color="auto" w:fill="FFFFFF"/>
          </w:tcPr>
          <w:p>
            <w:r>
              <w:rPr>
                <w:color w:val="595959"/>
                <w:sz w:val="20"/>
              </w:rPr>
              <w:t>Quantify attribution quality: faithfulness AUC (atom masking), pharmacophore precision@K, cross-seed Spearman rho</w:t>
            </w:r>
          </w:p>
        </w:tc>
        <w:tc>
          <w:tcPr>
            <w:tcW w:type="dxa" w:w="3024"/>
            <w:shd w:val="clear" w:color="auto" w:fill="FFFFFF"/>
          </w:tcPr>
          <w:p>
            <w:r>
              <w:rPr>
                <w:color w:val="595959"/>
                <w:sz w:val="20"/>
              </w:rPr>
              <w:t>interpret/metrics.py</w:t>
            </w:r>
          </w:p>
        </w:tc>
        <w:tc>
          <w:tcPr>
            <w:tcW w:type="dxa" w:w="1008"/>
            <w:shd w:val="clear" w:color="auto" w:fill="FFFFFF"/>
          </w:tcPr>
          <w:p>
            <w:r>
              <w:rPr>
                <w:color w:val="595959"/>
                <w:sz w:val="20"/>
              </w:rPr>
              <w:t>✓ Done</w:t>
            </w:r>
          </w:p>
        </w:tc>
      </w:tr>
      <w:tr>
        <w:tc>
          <w:tcPr>
            <w:tcW w:type="dxa" w:w="720"/>
            <w:shd w:val="clear" w:color="auto" w:fill="F2F7FF"/>
          </w:tcPr>
          <w:p>
            <w:r>
              <w:rPr>
                <w:color w:val="595959"/>
                <w:sz w:val="20"/>
              </w:rPr>
              <w:t>5</w:t>
            </w:r>
          </w:p>
        </w:tc>
        <w:tc>
          <w:tcPr>
            <w:tcW w:type="dxa" w:w="3744"/>
            <w:shd w:val="clear" w:color="auto" w:fill="F2F7FF"/>
          </w:tcPr>
          <w:p>
            <w:r>
              <w:rPr>
                <w:color w:val="595959"/>
                <w:sz w:val="20"/>
              </w:rPr>
              <w:t>Validate residue attribution against PDB crystal structure binding sites (DHFR+methotrexate, ADA+adenosine)</w:t>
            </w:r>
          </w:p>
        </w:tc>
        <w:tc>
          <w:tcPr>
            <w:tcW w:type="dxa" w:w="3024"/>
            <w:shd w:val="clear" w:color="auto" w:fill="F2F7FF"/>
          </w:tcPr>
          <w:p>
            <w:r>
              <w:rPr>
                <w:color w:val="595959"/>
                <w:sz w:val="20"/>
              </w:rPr>
              <w:t>interpret/evaluate_case_studies.py</w:t>
            </w:r>
          </w:p>
        </w:tc>
        <w:tc>
          <w:tcPr>
            <w:tcW w:type="dxa" w:w="1008"/>
            <w:shd w:val="clear" w:color="auto" w:fill="F2F7FF"/>
          </w:tcPr>
          <w:p>
            <w:r>
              <w:rPr>
                <w:color w:val="595959"/>
                <w:sz w:val="20"/>
              </w:rPr>
              <w:t>✓ Done</w:t>
            </w:r>
          </w:p>
        </w:tc>
      </w:tr>
      <w:tr>
        <w:tc>
          <w:tcPr>
            <w:tcW w:type="dxa" w:w="720"/>
            <w:shd w:val="clear" w:color="auto" w:fill="FFFFFF"/>
          </w:tcPr>
          <w:p>
            <w:r>
              <w:rPr>
                <w:color w:val="595959"/>
                <w:sz w:val="20"/>
              </w:rPr>
              <w:t>6</w:t>
            </w:r>
          </w:p>
        </w:tc>
        <w:tc>
          <w:tcPr>
            <w:tcW w:type="dxa" w:w="3744"/>
            <w:shd w:val="clear" w:color="auto" w:fill="FFFFFF"/>
          </w:tcPr>
          <w:p>
            <w:r>
              <w:rPr>
                <w:color w:val="595959"/>
                <w:sz w:val="20"/>
              </w:rPr>
              <w:t>Compare all four drug and protein attribution methods systematically; establish which method to recommend</w:t>
            </w:r>
          </w:p>
        </w:tc>
        <w:tc>
          <w:tcPr>
            <w:tcW w:type="dxa" w:w="3024"/>
            <w:shd w:val="clear" w:color="auto" w:fill="FFFFFF"/>
          </w:tcPr>
          <w:p>
            <w:r>
              <w:rPr>
                <w:color w:val="595959"/>
                <w:sz w:val="20"/>
              </w:rPr>
              <w:t>interpret/compare_baselines.py</w:t>
            </w:r>
          </w:p>
        </w:tc>
        <w:tc>
          <w:tcPr>
            <w:tcW w:type="dxa" w:w="1008"/>
            <w:shd w:val="clear" w:color="auto" w:fill="FFFFFF"/>
          </w:tcPr>
          <w:p>
            <w:r>
              <w:rPr>
                <w:color w:val="595959"/>
                <w:sz w:val="20"/>
              </w:rPr>
              <w:t>✓ Done</w:t>
            </w:r>
          </w:p>
        </w:tc>
      </w:tr>
      <w:tr>
        <w:tc>
          <w:tcPr>
            <w:tcW w:type="dxa" w:w="720"/>
            <w:shd w:val="clear" w:color="auto" w:fill="F2F7FF"/>
          </w:tcPr>
          <w:p>
            <w:r>
              <w:rPr>
                <w:color w:val="595959"/>
                <w:sz w:val="20"/>
              </w:rPr>
              <w:t>7</w:t>
            </w:r>
          </w:p>
        </w:tc>
        <w:tc>
          <w:tcPr>
            <w:tcW w:type="dxa" w:w="3744"/>
            <w:shd w:val="clear" w:color="auto" w:fill="F2F7FF"/>
          </w:tcPr>
          <w:p>
            <w:r>
              <w:rPr>
                <w:color w:val="595959"/>
                <w:sz w:val="20"/>
              </w:rPr>
              <w:t>Consolidate results into evaluation_report.md Section 3.11 (Tables 21–25) and finalize figures</w:t>
            </w:r>
          </w:p>
        </w:tc>
        <w:tc>
          <w:tcPr>
            <w:tcW w:type="dxa" w:w="3024"/>
            <w:shd w:val="clear" w:color="auto" w:fill="F2F7FF"/>
          </w:tcPr>
          <w:p>
            <w:r>
              <w:rPr>
                <w:color w:val="595959"/>
                <w:sz w:val="20"/>
              </w:rPr>
              <w:t>paper/evaluation_report.md</w:t>
            </w:r>
          </w:p>
        </w:tc>
        <w:tc>
          <w:tcPr>
            <w:tcW w:type="dxa" w:w="1008"/>
            <w:shd w:val="clear" w:color="auto" w:fill="F2F7FF"/>
          </w:tcPr>
          <w:p>
            <w:r>
              <w:rPr>
                <w:color w:val="595959"/>
                <w:sz w:val="20"/>
              </w:rPr>
              <w:t>✓ Done</w:t>
            </w:r>
          </w:p>
        </w:tc>
      </w:tr>
    </w:tbl>
    <w:p/>
    <w:p>
      <w:pPr>
        <w:spacing w:before="120" w:after="120"/>
        <w:ind w:left="567"/>
        <w:pBdr>
          <w:left w:val="single" w:sz="12" w:space="6" w:color="007078"/>
        </w:pBdr>
      </w:pPr>
      <w:r>
        <w:rPr>
          <w:i/>
          <w:color w:val="595959"/>
          <w:sz w:val="21"/>
        </w:rPr>
        <w:t>How to read this document:  ✓ marks completed tasks.  Positive faithfulness advantage means attribution-guided masking is more informative than random masking. AUROC for protein attribution is compared against PDB-confirmed binding residues. All results use seed 1 of fold 0 unless stated otherwise.</w:t>
      </w:r>
    </w:p>
    <w:p>
      <w:pPr>
        <w:spacing w:before="360" w:after="80"/>
        <w:pBdr>
          <w:bottom w:val="single" w:sz="6" w:space="1" w:color="1F497D"/>
        </w:pBdr>
      </w:pPr>
      <w:r>
        <w:rPr>
          <w:b/>
          <w:color w:val="1F497D"/>
          <w:sz w:val="32"/>
        </w:rPr>
        <w:t>1.  What Is Objective 3?</w:t>
      </w:r>
    </w:p>
    <w:p>
      <w:pPr>
        <w:spacing w:before="40" w:after="80"/>
      </w:pPr>
      <w:r>
        <w:rPr>
          <w:color w:val="595959"/>
          <w:sz w:val="22"/>
        </w:rPr>
        <w:t>Objectives 1 and 2 established that H-GNN-RNN-DTI predicts drug-target interactions accurately and can be improved through better training strategies. However, accurate prediction alone is not sufficient for drug discovery: researchers need to understand which structural features of a drug molecule and which regions of a protein are responsible for the predicted interaction.</w:t>
      </w:r>
    </w:p>
    <w:p>
      <w:pPr>
        <w:spacing w:before="40" w:after="80"/>
      </w:pPr>
      <w:r>
        <w:rPr>
          <w:color w:val="595959"/>
          <w:sz w:val="22"/>
        </w:rPr>
        <w:t>This is the core of Objective 3: building an interpretability layer on top of the trained model. The model already computes internal attention weights and gradient signals as it processes drug-protein pairs. Objective 3 extracts, visualizes, and rigorously validates these internal signals.</w:t>
      </w:r>
    </w:p>
    <w:p>
      <w:pPr>
        <w:spacing w:before="240" w:after="40"/>
      </w:pPr>
      <w:r>
        <w:rPr>
          <w:b/>
          <w:color w:val="007078"/>
          <w:sz w:val="26"/>
        </w:rPr>
        <w:t>1.1  The Three Research Questions</w:t>
      </w:r>
    </w:p>
    <w:p>
      <w:pPr>
        <w:pStyle w:val="ListBullet"/>
        <w:spacing w:before="20" w:after="20"/>
        <w:ind w:left="454"/>
      </w:pPr>
      <w:r>
        <w:rPr>
          <w:color w:val="595959"/>
          <w:sz w:val="22"/>
        </w:rPr>
        <w:t>RQ3a: Do the model's internal attribution signals identify known pharmacophore features (hydrogen bond donors/acceptors, aromatic rings) in drug molecules?</w:t>
      </w:r>
    </w:p>
    <w:p>
      <w:pPr>
        <w:pStyle w:val="ListBullet"/>
        <w:spacing w:before="20" w:after="20"/>
        <w:ind w:left="454"/>
      </w:pPr>
      <w:r>
        <w:rPr>
          <w:color w:val="595959"/>
          <w:sz w:val="22"/>
        </w:rPr>
        <w:t>RQ3b: Do the model's protein residue attribution scores correspond to known binding site residues from crystal structure data?</w:t>
      </w:r>
    </w:p>
    <w:p>
      <w:pPr>
        <w:pStyle w:val="ListBullet"/>
        <w:spacing w:before="20" w:after="20"/>
        <w:ind w:left="454"/>
      </w:pPr>
      <w:r>
        <w:rPr>
          <w:color w:val="595959"/>
          <w:sz w:val="22"/>
        </w:rPr>
        <w:t>RQ3c: Which attribution method (input gradient, Grad-CAM, attention pool, or ensemble) provides the most reliable signal, and why?</w:t>
      </w:r>
    </w:p>
    <w:p>
      <w:pPr>
        <w:spacing w:before="240" w:after="40"/>
      </w:pPr>
      <w:r>
        <w:rPr>
          <w:b/>
          <w:color w:val="007078"/>
          <w:sz w:val="26"/>
        </w:rPr>
        <w:t>1.2  Key Pair: L-Tryptophan / ADORA3</w:t>
      </w:r>
    </w:p>
    <w:p>
      <w:pPr>
        <w:spacing w:before="40" w:after="80"/>
      </w:pPr>
      <w:r>
        <w:rPr>
          <w:color w:val="595959"/>
          <w:sz w:val="22"/>
        </w:rPr>
        <w:t>The main illustrative case is the drug L-tryptophan (DB00150, 15 atoms, SMILES: NC(Cc1c[nH]c2ccccc12)C(=O)O) predicted to interact with the adenosine A3 receptor (P19838) from the luo_17 dataset. The C3 configuration checkpoint (ESM-2 150M + 1:5 ratio + BindingDB pretraining) gives a predicted DTI probability of 0.869 for this pair — high confidence. This provides a clear signal for attribution analysis.</w:t>
      </w:r>
    </w:p>
    <w:p>
      <w:pPr>
        <w:spacing w:before="40" w:after="80"/>
      </w:pPr>
      <w:r>
        <w:rPr>
          <w:color w:val="595959"/>
          <w:sz w:val="22"/>
        </w:rPr>
        <w:t>A second pair, methotrexate (D00142, 33 atoms) vs. human DHFR (P00374, 187 residues) from the yamanishi_e dataset, is used for protein attribution validation: PDB structure 1U72 provides a ground-truth list of residues within 4.5 Å of the methotrexate ligand, allowing quantitative AUROC evaluation of residue attribution.</w:t>
      </w:r>
    </w:p>
    <w:p>
      <w:pPr>
        <w:spacing w:before="120" w:after="120"/>
        <w:ind w:left="567"/>
        <w:pBdr>
          <w:left w:val="single" w:sz="12" w:space="6" w:color="6A0DAD"/>
        </w:pBdr>
      </w:pPr>
      <w:r>
        <w:rPr>
          <w:i/>
          <w:color w:val="595959"/>
          <w:sz w:val="21"/>
        </w:rPr>
        <w:t>Key principle: Attribution signals are prediction-conditional. When the model predicts a high-confidence interaction (prob ≥ 0.6), its internal signals meaningfully reflect which structural features drove that prediction. When confidence is low (prob &lt; 0.4), the model has essentially no strong internal signal to explain — and the attribution metrics reflect this. This is a feature, not a bug.</w:t>
      </w:r>
    </w:p>
    <w:p>
      <w:r>
        <w:br w:type="page"/>
      </w:r>
    </w:p>
    <w:p>
      <w:pPr>
        <w:spacing w:before="360" w:after="80"/>
        <w:pBdr>
          <w:bottom w:val="single" w:sz="6" w:space="1" w:color="1F497D"/>
        </w:pBdr>
      </w:pPr>
      <w:r>
        <w:rPr>
          <w:b/>
          <w:color w:val="1F497D"/>
          <w:sz w:val="32"/>
        </w:rPr>
        <w:t>2.  Phase 1 — Attention Weight Extraction</w:t>
      </w:r>
    </w:p>
    <w:p>
      <w:pPr>
        <w:spacing w:before="40" w:after="80"/>
      </w:pPr>
      <w:r>
        <w:rPr>
          <w:color w:val="595959"/>
          <w:sz w:val="22"/>
        </w:rPr>
        <w:t>Phase 1 instruments the trained model to extract two types of internal signals without retraining. These signals are the raw material that all subsequent phases build on.</w:t>
      </w:r>
    </w:p>
    <w:p>
      <w:pPr>
        <w:spacing w:before="240" w:after="40"/>
      </w:pPr>
      <w:r>
        <w:rPr>
          <w:b/>
          <w:color w:val="007078"/>
          <w:sz w:val="26"/>
        </w:rPr>
        <w:t>2.1  What Was Extracted</w:t>
      </w:r>
    </w:p>
    <w:p>
      <w:pPr>
        <w:spacing w:before="160" w:after="40"/>
      </w:pPr>
      <w:r>
        <w:rPr>
          <w:b/>
          <w:color w:val="1F497D"/>
          <w:sz w:val="22"/>
        </w:rPr>
        <w:t>Signal 1: Atom-Level Input Gradient Saliency</w:t>
      </w:r>
    </w:p>
    <w:p>
      <w:pPr>
        <w:spacing w:before="40" w:after="80"/>
      </w:pPr>
      <w:r>
        <w:rPr>
          <w:color w:val="595959"/>
          <w:sz w:val="22"/>
        </w:rPr>
        <w:t>The input-gradient method computes how much the model's prediction changes when each atom's feature vector is perturbed. Formally, for each atom i, the saliency score is ||grad_x||_2: the L2 norm of the gradient of the prediction with respect to atom i's features. Large gradient norm = the model's prediction is sensitive to that atom = the atom is important for the prediction.</w:t>
      </w:r>
    </w:p>
    <w:p>
      <w:pPr>
        <w:spacing w:before="160" w:after="40"/>
      </w:pPr>
      <w:r>
        <w:rPr>
          <w:b/>
          <w:color w:val="1F497D"/>
          <w:sz w:val="22"/>
        </w:rPr>
        <w:t>Signal 2: AttentionPooling Weights</w:t>
      </w:r>
    </w:p>
    <w:p>
      <w:pPr>
        <w:spacing w:before="40" w:after="80"/>
      </w:pPr>
      <w:r>
        <w:rPr>
          <w:color w:val="595959"/>
          <w:sz w:val="22"/>
        </w:rPr>
        <w:t>The ProteinEncoder uses an AttentionPooling layer that computes a softmax-weighted average over all residue representations. The softmax weights give a direct probability distribution over residues: weight[i] tells us how much residue i contributed to the final protein representation. These are extracted from the BiGRU output at forward-pass time (no gradient required).</w:t>
      </w:r>
    </w:p>
    <w:p>
      <w:pPr>
        <w:spacing w:before="160" w:after="40"/>
      </w:pPr>
      <w:r>
        <w:rPr>
          <w:b/>
          <w:color w:val="1F497D"/>
          <w:sz w:val="22"/>
        </w:rPr>
        <w:t>Signal 3: GatedCrossAttention Matrices</w:t>
      </w:r>
    </w:p>
    <w:p>
      <w:pPr>
        <w:spacing w:before="40" w:after="80"/>
      </w:pPr>
      <w:r>
        <w:rPr>
          <w:color w:val="595959"/>
          <w:sz w:val="22"/>
        </w:rPr>
        <w:t>The GatedCrossAttention (GCA) fusion module computes two bidirectional attention maps: drug-to-protein (each drug atom attends over all protein residues) and protein-to-drug (each protein residue attends over all drug atoms). These matrices are saved as part of the attribution output and used to construct the drug-protein interaction matrix in Phase 3.</w:t>
      </w:r>
    </w:p>
    <w:p>
      <w:pPr>
        <w:spacing w:before="240" w:after="40"/>
      </w:pPr>
      <w:r>
        <w:rPr>
          <w:b/>
          <w:color w:val="007078"/>
          <w:sz w:val="26"/>
        </w:rPr>
        <w:t>2.2  Implementation Notes</w:t>
      </w:r>
    </w:p>
    <w:p>
      <w:pPr>
        <w:pStyle w:val="ListBullet"/>
        <w:spacing w:before="20" w:after="20"/>
        <w:ind w:left="454"/>
      </w:pPr>
      <w:r>
        <w:rPr>
          <w:color w:val="595959"/>
          <w:sz w:val="22"/>
        </w:rPr>
        <w:t>ESM-2 on-the-fly: for pairs where per-residue embeddings were not pre-computed (luo_17 uses mean-pooled caches), the ProteinEncoder's 3D input path is activated by running ESM-2 (facebook/esm2_t6_8M_UR50D or esm2_t12_35M_UR50D) directly on the protein sequence at inference time.</w:t>
      </w:r>
    </w:p>
    <w:p>
      <w:pPr>
        <w:pStyle w:val="ListBullet"/>
        <w:spacing w:before="20" w:after="20"/>
        <w:ind w:left="454"/>
      </w:pPr>
      <w:r>
        <w:rPr>
          <w:color w:val="595959"/>
          <w:sz w:val="22"/>
        </w:rPr>
        <w:t>Drug graphs must be loaded from the preprocessed dataset files (not raw SMILES) to include the ChemBERTa embedding attribute. Using raw SMILES without ChemBERTa forces the DrugEncoder onto a fallback path, producing different (weaker) signals.</w:t>
      </w:r>
    </w:p>
    <w:p>
      <w:pPr>
        <w:pStyle w:val="ListBullet"/>
        <w:spacing w:before="20" w:after="20"/>
        <w:ind w:left="454"/>
      </w:pPr>
      <w:r>
        <w:rPr>
          <w:color w:val="595959"/>
          <w:sz w:val="22"/>
        </w:rPr>
        <w:t>GatedCrossAttention was modified to accept a return_weights=True argument, storing the softmax attention tensors as model attributes after each forward pass.</w:t>
      </w:r>
    </w:p>
    <w:tbl>
      <w:tblPr>
        <w:tblStyle w:val="TableGrid"/>
        <w:tblW w:type="auto" w:w="0"/>
        <w:tblLook w:firstColumn="1" w:firstRow="1" w:lastColumn="0" w:lastRow="0" w:noHBand="0" w:noVBand="1" w:val="04A0"/>
      </w:tblPr>
      <w:tblGrid>
        <w:gridCol w:w="2280"/>
        <w:gridCol w:w="2280"/>
        <w:gridCol w:w="2280"/>
        <w:gridCol w:w="2280"/>
      </w:tblGrid>
      <w:tr>
        <w:tc>
          <w:tcPr>
            <w:tcW w:type="dxa" w:w="2448"/>
            <w:shd w:val="clear" w:color="auto" w:fill="1F497D"/>
          </w:tcPr>
          <w:p>
            <w:r>
              <w:rPr>
                <w:b/>
                <w:color w:val="FFFFFF"/>
                <w:sz w:val="20"/>
              </w:rPr>
              <w:t>Signal</w:t>
            </w:r>
          </w:p>
        </w:tc>
        <w:tc>
          <w:tcPr>
            <w:tcW w:type="dxa" w:w="2016"/>
            <w:shd w:val="clear" w:color="auto" w:fill="1F497D"/>
          </w:tcPr>
          <w:p>
            <w:r>
              <w:rPr>
                <w:b/>
                <w:color w:val="FFFFFF"/>
                <w:sz w:val="20"/>
              </w:rPr>
              <w:t>Dimension</w:t>
            </w:r>
          </w:p>
        </w:tc>
        <w:tc>
          <w:tcPr>
            <w:tcW w:type="dxa" w:w="2592"/>
            <w:shd w:val="clear" w:color="auto" w:fill="1F497D"/>
          </w:tcPr>
          <w:p>
            <w:r>
              <w:rPr>
                <w:b/>
                <w:color w:val="FFFFFF"/>
                <w:sz w:val="20"/>
              </w:rPr>
              <w:t>Requires gradient?</w:t>
            </w:r>
          </w:p>
        </w:tc>
        <w:tc>
          <w:tcPr>
            <w:tcW w:type="dxa" w:w="2880"/>
            <w:shd w:val="clear" w:color="auto" w:fill="1F497D"/>
          </w:tcPr>
          <w:p>
            <w:r>
              <w:rPr>
                <w:b/>
                <w:color w:val="FFFFFF"/>
                <w:sz w:val="20"/>
              </w:rPr>
              <w:t>Primary use</w:t>
            </w:r>
          </w:p>
        </w:tc>
      </w:tr>
      <w:tr>
        <w:tc>
          <w:tcPr>
            <w:tcW w:type="dxa" w:w="2448"/>
            <w:shd w:val="clear" w:color="auto" w:fill="F2F7FF"/>
          </w:tcPr>
          <w:p>
            <w:r>
              <w:rPr>
                <w:color w:val="595959"/>
                <w:sz w:val="20"/>
              </w:rPr>
              <w:t>Atom input gradient</w:t>
            </w:r>
          </w:p>
        </w:tc>
        <w:tc>
          <w:tcPr>
            <w:tcW w:type="dxa" w:w="2016"/>
            <w:shd w:val="clear" w:color="auto" w:fill="F2F7FF"/>
          </w:tcPr>
          <w:p>
            <w:r>
              <w:rPr>
                <w:color w:val="595959"/>
                <w:sz w:val="20"/>
              </w:rPr>
              <w:t>(N_atoms,)</w:t>
            </w:r>
          </w:p>
        </w:tc>
        <w:tc>
          <w:tcPr>
            <w:tcW w:type="dxa" w:w="2592"/>
            <w:shd w:val="clear" w:color="auto" w:fill="F2F7FF"/>
          </w:tcPr>
          <w:p>
            <w:r>
              <w:rPr>
                <w:color w:val="595959"/>
                <w:sz w:val="20"/>
              </w:rPr>
              <w:t>Yes (backward pass)</w:t>
            </w:r>
          </w:p>
        </w:tc>
        <w:tc>
          <w:tcPr>
            <w:tcW w:type="dxa" w:w="2880"/>
            <w:shd w:val="clear" w:color="auto" w:fill="F2F7FF"/>
          </w:tcPr>
          <w:p>
            <w:r>
              <w:rPr>
                <w:color w:val="595959"/>
                <w:sz w:val="20"/>
              </w:rPr>
              <w:t>Drug atom importance, faithfulness</w:t>
            </w:r>
          </w:p>
        </w:tc>
      </w:tr>
      <w:tr>
        <w:tc>
          <w:tcPr>
            <w:tcW w:type="dxa" w:w="2448"/>
            <w:shd w:val="clear" w:color="auto" w:fill="FFFFFF"/>
          </w:tcPr>
          <w:p>
            <w:r>
              <w:rPr>
                <w:color w:val="595959"/>
                <w:sz w:val="20"/>
              </w:rPr>
              <w:t>AttentionPool weights</w:t>
            </w:r>
          </w:p>
        </w:tc>
        <w:tc>
          <w:tcPr>
            <w:tcW w:type="dxa" w:w="2016"/>
            <w:shd w:val="clear" w:color="auto" w:fill="FFFFFF"/>
          </w:tcPr>
          <w:p>
            <w:r>
              <w:rPr>
                <w:color w:val="595959"/>
                <w:sz w:val="20"/>
              </w:rPr>
              <w:t>(L_residues,)</w:t>
            </w:r>
          </w:p>
        </w:tc>
        <w:tc>
          <w:tcPr>
            <w:tcW w:type="dxa" w:w="2592"/>
            <w:shd w:val="clear" w:color="auto" w:fill="FFFFFF"/>
          </w:tcPr>
          <w:p>
            <w:r>
              <w:rPr>
                <w:color w:val="595959"/>
                <w:sz w:val="20"/>
              </w:rPr>
              <w:t>No (forward pass)</w:t>
            </w:r>
          </w:p>
        </w:tc>
        <w:tc>
          <w:tcPr>
            <w:tcW w:type="dxa" w:w="2880"/>
            <w:shd w:val="clear" w:color="auto" w:fill="FFFFFF"/>
          </w:tcPr>
          <w:p>
            <w:r>
              <w:rPr>
                <w:color w:val="595959"/>
                <w:sz w:val="20"/>
              </w:rPr>
              <w:t>Protein residue importance, PDB AUROC</w:t>
            </w:r>
          </w:p>
        </w:tc>
      </w:tr>
      <w:tr>
        <w:tc>
          <w:tcPr>
            <w:tcW w:type="dxa" w:w="2448"/>
            <w:shd w:val="clear" w:color="auto" w:fill="F2F7FF"/>
          </w:tcPr>
          <w:p>
            <w:r>
              <w:rPr>
                <w:color w:val="595959"/>
                <w:sz w:val="20"/>
              </w:rPr>
              <w:t>GCA drug→protein</w:t>
            </w:r>
          </w:p>
        </w:tc>
        <w:tc>
          <w:tcPr>
            <w:tcW w:type="dxa" w:w="2016"/>
            <w:shd w:val="clear" w:color="auto" w:fill="F2F7FF"/>
          </w:tcPr>
          <w:p>
            <w:r>
              <w:rPr>
                <w:color w:val="595959"/>
                <w:sz w:val="20"/>
              </w:rPr>
              <w:t>(N_atoms, L)</w:t>
            </w:r>
          </w:p>
        </w:tc>
        <w:tc>
          <w:tcPr>
            <w:tcW w:type="dxa" w:w="2592"/>
            <w:shd w:val="clear" w:color="auto" w:fill="F2F7FF"/>
          </w:tcPr>
          <w:p>
            <w:r>
              <w:rPr>
                <w:color w:val="595959"/>
                <w:sz w:val="20"/>
              </w:rPr>
              <w:t>No (forward pass)</w:t>
            </w:r>
          </w:p>
        </w:tc>
        <w:tc>
          <w:tcPr>
            <w:tcW w:type="dxa" w:w="2880"/>
            <w:shd w:val="clear" w:color="auto" w:fill="F2F7FF"/>
          </w:tcPr>
          <w:p>
            <w:r>
              <w:rPr>
                <w:color w:val="595959"/>
                <w:sz w:val="20"/>
              </w:rPr>
              <w:t>Interaction matrix, hot contacts</w:t>
            </w:r>
          </w:p>
        </w:tc>
      </w:tr>
      <w:tr>
        <w:tc>
          <w:tcPr>
            <w:tcW w:type="dxa" w:w="2448"/>
            <w:shd w:val="clear" w:color="auto" w:fill="FFFFFF"/>
          </w:tcPr>
          <w:p>
            <w:r>
              <w:rPr>
                <w:color w:val="595959"/>
                <w:sz w:val="20"/>
              </w:rPr>
              <w:t>GCA protein→drug</w:t>
            </w:r>
          </w:p>
        </w:tc>
        <w:tc>
          <w:tcPr>
            <w:tcW w:type="dxa" w:w="2016"/>
            <w:shd w:val="clear" w:color="auto" w:fill="FFFFFF"/>
          </w:tcPr>
          <w:p>
            <w:r>
              <w:rPr>
                <w:color w:val="595959"/>
                <w:sz w:val="20"/>
              </w:rPr>
              <w:t>(L, N_atoms)</w:t>
            </w:r>
          </w:p>
        </w:tc>
        <w:tc>
          <w:tcPr>
            <w:tcW w:type="dxa" w:w="2592"/>
            <w:shd w:val="clear" w:color="auto" w:fill="FFFFFF"/>
          </w:tcPr>
          <w:p>
            <w:r>
              <w:rPr>
                <w:color w:val="595959"/>
                <w:sz w:val="20"/>
              </w:rPr>
              <w:t>No (forward pass)</w:t>
            </w:r>
          </w:p>
        </w:tc>
        <w:tc>
          <w:tcPr>
            <w:tcW w:type="dxa" w:w="2880"/>
            <w:shd w:val="clear" w:color="auto" w:fill="FFFFFF"/>
          </w:tcPr>
          <w:p>
            <w:r>
              <w:rPr>
                <w:color w:val="595959"/>
                <w:sz w:val="20"/>
              </w:rPr>
              <w:t>Interaction matrix</w:t>
            </w:r>
          </w:p>
        </w:tc>
      </w:tr>
    </w:tbl>
    <w:p/>
    <w:p>
      <w:pPr>
        <w:spacing w:before="360" w:after="80"/>
        <w:pBdr>
          <w:bottom w:val="single" w:sz="6" w:space="1" w:color="1F497D"/>
        </w:pBdr>
      </w:pPr>
      <w:r>
        <w:rPr>
          <w:b/>
          <w:color w:val="1F497D"/>
          <w:sz w:val="32"/>
        </w:rPr>
        <w:t>3.  Phase 2 — Graph Grad-CAM</w:t>
      </w:r>
    </w:p>
    <w:p>
      <w:pPr>
        <w:spacing w:before="40" w:after="80"/>
      </w:pPr>
      <w:r>
        <w:rPr>
          <w:color w:val="595959"/>
          <w:sz w:val="22"/>
        </w:rPr>
        <w:t>Phase 2 implements Gradient-weighted Class Activation Mapping (Grad-CAM) for graph neural networks. The idea, borrowed from image classification, is to identify which neurons in the last layer of the network were most activated AND most gradient-influential for the final prediction.</w:t>
      </w:r>
    </w:p>
    <w:p>
      <w:pPr>
        <w:spacing w:before="240" w:after="40"/>
      </w:pPr>
      <w:r>
        <w:rPr>
          <w:b/>
          <w:color w:val="007078"/>
          <w:sz w:val="26"/>
        </w:rPr>
        <w:t>3.1  Drug Grad-CAM (GAT Layers)</w:t>
      </w:r>
    </w:p>
    <w:p>
      <w:pPr>
        <w:spacing w:before="40" w:after="80"/>
      </w:pPr>
      <w:r>
        <w:rPr>
          <w:color w:val="595959"/>
          <w:sz w:val="22"/>
        </w:rPr>
        <w:t>For the DrugEncoder, Grad-CAM is computed on the last ResidualGATBlock's node representations. For each atom i, the Grad-CAM score is:</w:t>
      </w:r>
    </w:p>
    <w:p>
      <w:pPr>
        <w:spacing w:before="40" w:after="80"/>
        <w:ind w:left="454"/>
      </w:pPr>
      <w:r>
        <w:rPr>
          <w:color w:val="595959"/>
          <w:sz w:val="22"/>
        </w:rPr>
        <w:t xml:space="preserve">    drug_cam[i] = ReLU( mean over channels c of (grad[h_c] * h_c) )</w:t>
      </w:r>
    </w:p>
    <w:p>
      <w:pPr>
        <w:spacing w:before="40" w:after="80"/>
      </w:pPr>
      <w:r>
        <w:rPr>
          <w:color w:val="595959"/>
          <w:sz w:val="22"/>
        </w:rPr>
        <w:t>where h_c is the hidden activation of atom i in channel c, and grad[h_c] is the gradient of the prediction with respect to that activation. The ReLU discards negative contributions (atoms that suppress the prediction). The result is a non-negative score per atom indicating how positively that atom contributed through the last GAT layer to the final prediction.</w:t>
      </w:r>
    </w:p>
    <w:p>
      <w:pPr>
        <w:spacing w:before="240" w:after="40"/>
      </w:pPr>
      <w:r>
        <w:rPr>
          <w:b/>
          <w:color w:val="007078"/>
          <w:sz w:val="26"/>
        </w:rPr>
        <w:t>3.2  Protein Grad-CAM (BiGRU Hidden States)</w:t>
      </w:r>
    </w:p>
    <w:p>
      <w:pPr>
        <w:spacing w:before="40" w:after="80"/>
      </w:pPr>
      <w:r>
        <w:rPr>
          <w:color w:val="595959"/>
          <w:sz w:val="22"/>
        </w:rPr>
        <w:t>For the ProteinEncoder, Grad-CAM is computed on the BiGRU hidden states. Each residue's per-timestep hidden state is gradient-weighted and pooled. The result is a per-residue score: protein_cam[j] = ReLU( mean_c(grad[h_j,c] * h_j,c) ).</w:t>
      </w:r>
    </w:p>
    <w:p>
      <w:pPr>
        <w:spacing w:before="120" w:after="120"/>
        <w:ind w:left="567"/>
        <w:pBdr>
          <w:left w:val="single" w:sz="12" w:space="6" w:color="C55A11"/>
        </w:pBdr>
      </w:pPr>
      <w:r>
        <w:rPr>
          <w:i/>
          <w:color w:val="595959"/>
          <w:sz w:val="21"/>
        </w:rPr>
        <w:t>Important finding: Protein Grad-CAM on the BiGRU gives AUROC = 0.500 (random-level) when validated against PDB binding residues (DHFR case). This is because the BiGRU learns a distributed sequence-level representation: gradients flow back through the entire sequence context, not localising to specific positions. The BiGRU is NOT a spatially localized feature extractor — AttentionPooling is the correct protein signal to use for residue-level attribution.</w:t>
      </w:r>
    </w:p>
    <w:p>
      <w:pPr>
        <w:spacing w:before="240" w:after="40"/>
      </w:pPr>
      <w:r>
        <w:rPr>
          <w:b/>
          <w:color w:val="007078"/>
          <w:sz w:val="26"/>
        </w:rPr>
        <w:t>3.3  Ensemble Attribution</w:t>
      </w:r>
    </w:p>
    <w:p>
      <w:pPr>
        <w:spacing w:before="40" w:after="80"/>
      </w:pPr>
      <w:r>
        <w:rPr>
          <w:color w:val="595959"/>
          <w:sz w:val="22"/>
        </w:rPr>
        <w:t>The final recommended attribution signal combines input gradient and Grad-CAM: ensemble[i] = 0.5 * atom_importance[i] + 0.5 * drug_cam[i]. Both signals are normalised to [0,1] before averaging. Phase 6 shows that these two signals are partially anti-correlated (Spearman rho = -0.138), meaning they highlight different structural perspectives, and the ensemble outperforms either component alone on faithfulness (advantage +0.106 vs. +0.077 for input gradient alone).</w:t>
      </w:r>
    </w:p>
    <w:p>
      <w:r>
        <w:br w:type="page"/>
      </w:r>
    </w:p>
    <w:p>
      <w:pPr>
        <w:spacing w:before="360" w:after="80"/>
        <w:pBdr>
          <w:bottom w:val="single" w:sz="6" w:space="1" w:color="1F497D"/>
        </w:pBdr>
      </w:pPr>
      <w:r>
        <w:rPr>
          <w:b/>
          <w:color w:val="1F497D"/>
          <w:sz w:val="32"/>
        </w:rPr>
        <w:t>4.  Phase 3 — Visualization</w:t>
      </w:r>
    </w:p>
    <w:p>
      <w:pPr>
        <w:spacing w:before="40" w:after="80"/>
      </w:pPr>
      <w:r>
        <w:rPr>
          <w:color w:val="595959"/>
          <w:sz w:val="22"/>
        </w:rPr>
        <w:t>Phase 3 produces the publication-quality visual outputs that accompany the quantitative results. Three visualization types are implemented.</w:t>
      </w:r>
    </w:p>
    <w:p>
      <w:pPr>
        <w:spacing w:before="240" w:after="40"/>
      </w:pPr>
      <w:r>
        <w:rPr>
          <w:b/>
          <w:color w:val="007078"/>
          <w:sz w:val="26"/>
        </w:rPr>
        <w:t>4.1  Drug Atom Highlight Plot</w:t>
      </w:r>
    </w:p>
    <w:p>
      <w:pPr>
        <w:spacing w:before="40" w:after="80"/>
      </w:pPr>
      <w:r>
        <w:rPr>
          <w:color w:val="595959"/>
          <w:sz w:val="22"/>
        </w:rPr>
        <w:t>Each atom in the 2D molecular structure is colored on a blue-to-red scale proportional to its attribution score (blue = low importance, red = high importance). The coloring uses RDKit's Cairo renderer for accurate 2D coordinates, with a diverging coolwarm colormap normalized to [0,1]. A separate horizontal bar chart ranks all atoms by score and annotates each with its pharmacophore class (HBD: hydrogen bond donor, HBA: acceptor, Arom: aromatic, Hydro: hydrophobic).</w:t>
      </w:r>
    </w:p>
    <w:p>
      <w:pPr>
        <w:spacing w:before="40" w:after="80"/>
      </w:pPr>
      <w:r>
        <w:rPr>
          <w:color w:val="595959"/>
          <w:sz w:val="22"/>
        </w:rPr>
        <w:t>For L-tryptophan (DB00150), the ensemble attribution highlights: the indole C3 position (connects CH2 to the ring), the indole NH (hydrogen bond donor, Arom/HBD), the alpha-amino group NH2 (HBD/HBA), and adjacent ring carbons. This pattern is biologically consistent: the amino group and NH of tryptophan are the primary contact points with GPCR orthosteric binding pockets.</w:t>
      </w:r>
    </w:p>
    <w:p>
      <w:pPr>
        <w:spacing w:before="240" w:after="40"/>
      </w:pPr>
      <w:r>
        <w:rPr>
          <w:b/>
          <w:color w:val="007078"/>
          <w:sz w:val="26"/>
        </w:rPr>
        <w:t>4.2  Protein Residue Heatmap</w:t>
      </w:r>
    </w:p>
    <w:p>
      <w:pPr>
        <w:spacing w:before="40" w:after="80"/>
      </w:pPr>
      <w:r>
        <w:rPr>
          <w:color w:val="595959"/>
          <w:sz w:val="22"/>
        </w:rPr>
        <w:t>The protein attribution is displayed as a sequence heatmap: residues are laid out left-to-right in rows of 50, colored from white (unimportant) to dark blue (highly attributed). Known binding residues (from literature or PDB) are highlighted with red borders. This allows immediate visual verification of whether high-scoring regions overlap with known binding sites.</w:t>
      </w:r>
    </w:p>
    <w:p>
      <w:pPr>
        <w:spacing w:before="240" w:after="40"/>
      </w:pPr>
      <w:r>
        <w:rPr>
          <w:b/>
          <w:color w:val="007078"/>
          <w:sz w:val="26"/>
        </w:rPr>
        <w:t>4.3  Drug-Protein Interaction Matrix</w:t>
      </w:r>
    </w:p>
    <w:p>
      <w:pPr>
        <w:spacing w:before="40" w:after="80"/>
      </w:pPr>
      <w:r>
        <w:rPr>
          <w:color w:val="595959"/>
          <w:sz w:val="22"/>
        </w:rPr>
        <w:t>The interaction matrix is the outer product of drug atom scores and protein residue scores: matrix[i,j] = drug_score[i] * protein_score[j], normalized to [0,1]. This produces an N_atoms x L_residues heatmap that summarizes which drug-residue pairs are predicted to be co-important. A three-panel composite figure shows the matrix heatmap, marginal drug importance (column sums), and marginal protein importance (row sums).</w:t>
      </w:r>
    </w:p>
    <w:p>
      <w:pPr>
        <w:spacing w:before="40" w:after="80"/>
      </w:pPr>
      <w:r>
        <w:rPr>
          <w:color w:val="595959"/>
          <w:sz w:val="22"/>
        </w:rPr>
        <w:t>For DB00150/P19838, the GCA gate_mean = 0.529, indicating balanced drug-protein weighting in cross-attention fusion. A gate near 0.5 suggests the model uses both drug and protein features equally to represent the interaction.</w:t>
      </w:r>
    </w:p>
    <w:tbl>
      <w:tblPr>
        <w:tblStyle w:val="TableGrid"/>
        <w:tblW w:type="auto" w:w="0"/>
        <w:tblLook w:firstColumn="1" w:firstRow="1" w:lastColumn="0" w:lastRow="0" w:noHBand="0" w:noVBand="1" w:val="04A0"/>
      </w:tblPr>
      <w:tblGrid>
        <w:gridCol w:w="3041"/>
        <w:gridCol w:w="3041"/>
        <w:gridCol w:w="3041"/>
      </w:tblGrid>
      <w:tr>
        <w:tc>
          <w:tcPr>
            <w:tcW w:type="dxa" w:w="2448"/>
            <w:shd w:val="clear" w:color="auto" w:fill="1F497D"/>
          </w:tcPr>
          <w:p>
            <w:r>
              <w:rPr>
                <w:b/>
                <w:color w:val="FFFFFF"/>
                <w:sz w:val="20"/>
              </w:rPr>
              <w:t>Output</w:t>
            </w:r>
          </w:p>
        </w:tc>
        <w:tc>
          <w:tcPr>
            <w:tcW w:type="dxa" w:w="1872"/>
            <w:shd w:val="clear" w:color="auto" w:fill="1F497D"/>
          </w:tcPr>
          <w:p>
            <w:r>
              <w:rPr>
                <w:b/>
                <w:color w:val="FFFFFF"/>
                <w:sz w:val="20"/>
              </w:rPr>
              <w:t>File</w:t>
            </w:r>
          </w:p>
        </w:tc>
        <w:tc>
          <w:tcPr>
            <w:tcW w:type="dxa" w:w="4896"/>
            <w:shd w:val="clear" w:color="auto" w:fill="1F497D"/>
          </w:tcPr>
          <w:p>
            <w:r>
              <w:rPr>
                <w:b/>
                <w:color w:val="FFFFFF"/>
                <w:sz w:val="20"/>
              </w:rPr>
              <w:t>Content</w:t>
            </w:r>
          </w:p>
        </w:tc>
      </w:tr>
      <w:tr>
        <w:tc>
          <w:tcPr>
            <w:tcW w:type="dxa" w:w="2448"/>
            <w:shd w:val="clear" w:color="auto" w:fill="F2F7FF"/>
          </w:tcPr>
          <w:p>
            <w:r>
              <w:rPr>
                <w:color w:val="595959"/>
                <w:sz w:val="20"/>
              </w:rPr>
              <w:t>Drug highlight PNG</w:t>
            </w:r>
          </w:p>
        </w:tc>
        <w:tc>
          <w:tcPr>
            <w:tcW w:type="dxa" w:w="1872"/>
            <w:shd w:val="clear" w:color="auto" w:fill="F2F7FF"/>
          </w:tcPr>
          <w:p>
            <w:r>
              <w:rPr>
                <w:color w:val="595959"/>
                <w:sz w:val="20"/>
              </w:rPr>
              <w:t>drug.png</w:t>
            </w:r>
          </w:p>
        </w:tc>
        <w:tc>
          <w:tcPr>
            <w:tcW w:type="dxa" w:w="4896"/>
            <w:shd w:val="clear" w:color="auto" w:fill="F2F7FF"/>
          </w:tcPr>
          <w:p>
            <w:r>
              <w:rPr>
                <w:color w:val="595959"/>
                <w:sz w:val="20"/>
              </w:rPr>
              <w:t>2D molecule with per-atom attribution coloring + colorbar</w:t>
            </w:r>
          </w:p>
        </w:tc>
      </w:tr>
      <w:tr>
        <w:tc>
          <w:tcPr>
            <w:tcW w:type="dxa" w:w="2448"/>
            <w:shd w:val="clear" w:color="auto" w:fill="FFFFFF"/>
          </w:tcPr>
          <w:p>
            <w:r>
              <w:rPr>
                <w:color w:val="595959"/>
                <w:sz w:val="20"/>
              </w:rPr>
              <w:t>Drug highlight SVG</w:t>
            </w:r>
          </w:p>
        </w:tc>
        <w:tc>
          <w:tcPr>
            <w:tcW w:type="dxa" w:w="1872"/>
            <w:shd w:val="clear" w:color="auto" w:fill="FFFFFF"/>
          </w:tcPr>
          <w:p>
            <w:r>
              <w:rPr>
                <w:color w:val="595959"/>
                <w:sz w:val="20"/>
              </w:rPr>
              <w:t>drug.svg</w:t>
            </w:r>
          </w:p>
        </w:tc>
        <w:tc>
          <w:tcPr>
            <w:tcW w:type="dxa" w:w="4896"/>
            <w:shd w:val="clear" w:color="auto" w:fill="FFFFFF"/>
          </w:tcPr>
          <w:p>
            <w:r>
              <w:rPr>
                <w:color w:val="595959"/>
                <w:sz w:val="20"/>
              </w:rPr>
              <w:t>Vector version for paper figures</w:t>
            </w:r>
          </w:p>
        </w:tc>
      </w:tr>
      <w:tr>
        <w:tc>
          <w:tcPr>
            <w:tcW w:type="dxa" w:w="2448"/>
            <w:shd w:val="clear" w:color="auto" w:fill="F2F7FF"/>
          </w:tcPr>
          <w:p>
            <w:r>
              <w:rPr>
                <w:color w:val="595959"/>
                <w:sz w:val="20"/>
              </w:rPr>
              <w:t>Drug atom bar chart</w:t>
            </w:r>
          </w:p>
        </w:tc>
        <w:tc>
          <w:tcPr>
            <w:tcW w:type="dxa" w:w="1872"/>
            <w:shd w:val="clear" w:color="auto" w:fill="F2F7FF"/>
          </w:tcPr>
          <w:p>
            <w:r>
              <w:rPr>
                <w:color w:val="595959"/>
                <w:sz w:val="20"/>
              </w:rPr>
              <w:t>drug_bar.png</w:t>
            </w:r>
          </w:p>
        </w:tc>
        <w:tc>
          <w:tcPr>
            <w:tcW w:type="dxa" w:w="4896"/>
            <w:shd w:val="clear" w:color="auto" w:fill="F2F7FF"/>
          </w:tcPr>
          <w:p>
            <w:r>
              <w:rPr>
                <w:color w:val="595959"/>
                <w:sz w:val="20"/>
              </w:rPr>
              <w:t>Horizontal bar: all atoms ranked by score with pharmacophore labels</w:t>
            </w:r>
          </w:p>
        </w:tc>
      </w:tr>
      <w:tr>
        <w:tc>
          <w:tcPr>
            <w:tcW w:type="dxa" w:w="2448"/>
            <w:shd w:val="clear" w:color="auto" w:fill="FFFFFF"/>
          </w:tcPr>
          <w:p>
            <w:r>
              <w:rPr>
                <w:color w:val="595959"/>
                <w:sz w:val="20"/>
              </w:rPr>
              <w:t>Attribution archive</w:t>
            </w:r>
          </w:p>
        </w:tc>
        <w:tc>
          <w:tcPr>
            <w:tcW w:type="dxa" w:w="1872"/>
            <w:shd w:val="clear" w:color="auto" w:fill="FFFFFF"/>
          </w:tcPr>
          <w:p>
            <w:r>
              <w:rPr>
                <w:color w:val="595959"/>
                <w:sz w:val="20"/>
              </w:rPr>
              <w:t>attribution.npz</w:t>
            </w:r>
          </w:p>
        </w:tc>
        <w:tc>
          <w:tcPr>
            <w:tcW w:type="dxa" w:w="4896"/>
            <w:shd w:val="clear" w:color="auto" w:fill="FFFFFF"/>
          </w:tcPr>
          <w:p>
            <w:r>
              <w:rPr>
                <w:color w:val="595959"/>
                <w:sz w:val="20"/>
              </w:rPr>
              <w:t>atom_importance, drug_cam, drug_ensemble arrays</w:t>
            </w:r>
          </w:p>
        </w:tc>
      </w:tr>
      <w:tr>
        <w:tc>
          <w:tcPr>
            <w:tcW w:type="dxa" w:w="2448"/>
            <w:shd w:val="clear" w:color="auto" w:fill="F2F7FF"/>
          </w:tcPr>
          <w:p>
            <w:r>
              <w:rPr>
                <w:color w:val="595959"/>
                <w:sz w:val="20"/>
              </w:rPr>
              <w:t>Run report</w:t>
            </w:r>
          </w:p>
        </w:tc>
        <w:tc>
          <w:tcPr>
            <w:tcW w:type="dxa" w:w="1872"/>
            <w:shd w:val="clear" w:color="auto" w:fill="F2F7FF"/>
          </w:tcPr>
          <w:p>
            <w:r>
              <w:rPr>
                <w:color w:val="595959"/>
                <w:sz w:val="20"/>
              </w:rPr>
              <w:t>report.txt</w:t>
            </w:r>
          </w:p>
        </w:tc>
        <w:tc>
          <w:tcPr>
            <w:tcW w:type="dxa" w:w="4896"/>
            <w:shd w:val="clear" w:color="auto" w:fill="F2F7FF"/>
          </w:tcPr>
          <w:p>
            <w:r>
              <w:rPr>
                <w:color w:val="595959"/>
                <w:sz w:val="20"/>
              </w:rPr>
              <w:t>Prediction probability, gate mean, top-5 atoms, top-5 residues</w:t>
            </w:r>
          </w:p>
        </w:tc>
      </w:tr>
    </w:tbl>
    <w:p/>
    <w:p>
      <w:pPr>
        <w:spacing w:before="360" w:after="80"/>
        <w:pBdr>
          <w:bottom w:val="single" w:sz="6" w:space="1" w:color="1F497D"/>
        </w:pBdr>
      </w:pPr>
      <w:r>
        <w:rPr>
          <w:b/>
          <w:color w:val="1F497D"/>
          <w:sz w:val="32"/>
        </w:rPr>
        <w:t>5.  Phase 4 — Quantitative Metrics</w:t>
      </w:r>
    </w:p>
    <w:p>
      <w:pPr>
        <w:spacing w:before="40" w:after="80"/>
      </w:pPr>
      <w:r>
        <w:rPr>
          <w:color w:val="595959"/>
          <w:sz w:val="22"/>
        </w:rPr>
        <w:t>Phase 4 defines and measures three objective metrics to evaluate whether the attribution signals are meaningful rather than arbitrary.</w:t>
      </w:r>
    </w:p>
    <w:p>
      <w:pPr>
        <w:spacing w:before="240" w:after="40"/>
      </w:pPr>
      <w:r>
        <w:rPr>
          <w:b/>
          <w:color w:val="007078"/>
          <w:sz w:val="26"/>
        </w:rPr>
        <w:t>5.1  Metric 1: Faithfulness AUC (Atom Masking)</w:t>
      </w:r>
    </w:p>
    <w:p>
      <w:pPr>
        <w:spacing w:before="40" w:after="80"/>
      </w:pPr>
      <w:r>
        <w:rPr>
          <w:color w:val="595959"/>
          <w:sz w:val="22"/>
        </w:rPr>
        <w:t>Faithfulness measures whether the most attributed atoms are actually the most causally important atoms for the model's prediction. The test: progressively mask the top-k% atoms (set their features to zero) and measure how much the prediction score drops. If the attribution correctly identifies important atoms, masking them should cause larger drops than masking randomly selected atoms.</w:t>
      </w:r>
    </w:p>
    <w:p>
      <w:pPr>
        <w:spacing w:before="40" w:after="80"/>
      </w:pPr>
      <w:r>
        <w:rPr>
          <w:color w:val="595959"/>
          <w:sz w:val="22"/>
        </w:rPr>
        <w:t>Formally: for each fraction k in {5%, 10%, 15%, 20%, 25%, 30%, 40%}, compute drop(k) = original_score - masked_score. Compute the same for n=10 random masks at each fraction. Faithfulness AUC = area under the attribution drop curve. Random AUC = area under the random drop curve (averaged over 10 draws). Faithfulness advantage = Faithfulness AUC - Random AUC (positive = PASS).</w:t>
      </w:r>
    </w:p>
    <w:p>
      <w:pPr>
        <w:spacing w:before="160" w:after="40"/>
      </w:pPr>
      <w:r>
        <w:rPr>
          <w:b/>
          <w:color w:val="1F497D"/>
          <w:sz w:val="22"/>
        </w:rPr>
        <w:t>Results for DB00150/P19838 (ensemble, C3 checkpoint, prob=0.869)</w:t>
      </w:r>
    </w:p>
    <w:tbl>
      <w:tblPr>
        <w:tblStyle w:val="TableGrid"/>
        <w:tblW w:type="auto" w:w="0"/>
        <w:tblLook w:firstColumn="1" w:firstRow="1" w:lastColumn="0" w:lastRow="0" w:noHBand="0" w:noVBand="1" w:val="04A0"/>
      </w:tblPr>
      <w:tblGrid>
        <w:gridCol w:w="2280"/>
        <w:gridCol w:w="2280"/>
        <w:gridCol w:w="2280"/>
        <w:gridCol w:w="2280"/>
      </w:tblGrid>
      <w:tr>
        <w:tc>
          <w:tcPr>
            <w:tcW w:type="dxa" w:w="2448"/>
            <w:shd w:val="clear" w:color="auto" w:fill="1F497D"/>
          </w:tcPr>
          <w:p>
            <w:r>
              <w:rPr>
                <w:b/>
                <w:color w:val="FFFFFF"/>
                <w:sz w:val="20"/>
              </w:rPr>
              <w:t>Mask fraction</w:t>
            </w:r>
          </w:p>
        </w:tc>
        <w:tc>
          <w:tcPr>
            <w:tcW w:type="dxa" w:w="2304"/>
            <w:shd w:val="clear" w:color="auto" w:fill="1F497D"/>
          </w:tcPr>
          <w:p>
            <w:r>
              <w:rPr>
                <w:b/>
                <w:color w:val="FFFFFF"/>
                <w:sz w:val="20"/>
              </w:rPr>
              <w:t>Attribution drop</w:t>
            </w:r>
          </w:p>
        </w:tc>
        <w:tc>
          <w:tcPr>
            <w:tcW w:type="dxa" w:w="2592"/>
            <w:shd w:val="clear" w:color="auto" w:fill="1F497D"/>
          </w:tcPr>
          <w:p>
            <w:r>
              <w:rPr>
                <w:b/>
                <w:color w:val="FFFFFF"/>
                <w:sz w:val="20"/>
              </w:rPr>
              <w:t>Random drop (mean)</w:t>
            </w:r>
          </w:p>
        </w:tc>
        <w:tc>
          <w:tcPr>
            <w:tcW w:type="dxa" w:w="1728"/>
            <w:shd w:val="clear" w:color="auto" w:fill="1F497D"/>
          </w:tcPr>
          <w:p>
            <w:r>
              <w:rPr>
                <w:b/>
                <w:color w:val="FFFFFF"/>
                <w:sz w:val="20"/>
              </w:rPr>
              <w:t>Advantage</w:t>
            </w:r>
          </w:p>
        </w:tc>
      </w:tr>
      <w:tr>
        <w:tc>
          <w:tcPr>
            <w:tcW w:type="dxa" w:w="2448"/>
            <w:shd w:val="clear" w:color="auto" w:fill="F2F7FF"/>
          </w:tcPr>
          <w:p>
            <w:r>
              <w:rPr>
                <w:color w:val="595959"/>
                <w:sz w:val="20"/>
              </w:rPr>
              <w:t>5% (1 atom)</w:t>
            </w:r>
          </w:p>
        </w:tc>
        <w:tc>
          <w:tcPr>
            <w:tcW w:type="dxa" w:w="2304"/>
            <w:shd w:val="clear" w:color="auto" w:fill="F2F7FF"/>
          </w:tcPr>
          <w:p>
            <w:r>
              <w:rPr>
                <w:color w:val="595959"/>
                <w:sz w:val="20"/>
              </w:rPr>
              <w:t>0.600</w:t>
            </w:r>
          </w:p>
        </w:tc>
        <w:tc>
          <w:tcPr>
            <w:tcW w:type="dxa" w:w="2592"/>
            <w:shd w:val="clear" w:color="auto" w:fill="F2F7FF"/>
          </w:tcPr>
          <w:p>
            <w:r>
              <w:rPr>
                <w:color w:val="595959"/>
                <w:sz w:val="20"/>
              </w:rPr>
              <w:t>0.160</w:t>
            </w:r>
          </w:p>
        </w:tc>
        <w:tc>
          <w:tcPr>
            <w:tcW w:type="dxa" w:w="1728"/>
            <w:shd w:val="clear" w:color="auto" w:fill="F2F7FF"/>
          </w:tcPr>
          <w:p>
            <w:r>
              <w:rPr>
                <w:color w:val="595959"/>
                <w:sz w:val="20"/>
              </w:rPr>
              <w:t>+0.440</w:t>
            </w:r>
          </w:p>
        </w:tc>
      </w:tr>
      <w:tr>
        <w:tc>
          <w:tcPr>
            <w:tcW w:type="dxa" w:w="2448"/>
            <w:shd w:val="clear" w:color="auto" w:fill="FFFFFF"/>
          </w:tcPr>
          <w:p>
            <w:r>
              <w:rPr>
                <w:color w:val="595959"/>
                <w:sz w:val="20"/>
              </w:rPr>
              <w:t>10% (2 atoms)</w:t>
            </w:r>
          </w:p>
        </w:tc>
        <w:tc>
          <w:tcPr>
            <w:tcW w:type="dxa" w:w="2304"/>
            <w:shd w:val="clear" w:color="auto" w:fill="FFFFFF"/>
          </w:tcPr>
          <w:p>
            <w:r>
              <w:rPr>
                <w:color w:val="595959"/>
                <w:sz w:val="20"/>
              </w:rPr>
              <w:t>0.628</w:t>
            </w:r>
          </w:p>
        </w:tc>
        <w:tc>
          <w:tcPr>
            <w:tcW w:type="dxa" w:w="2592"/>
            <w:shd w:val="clear" w:color="auto" w:fill="FFFFFF"/>
          </w:tcPr>
          <w:p>
            <w:r>
              <w:rPr>
                <w:color w:val="595959"/>
                <w:sz w:val="20"/>
              </w:rPr>
              <w:t>0.243</w:t>
            </w:r>
          </w:p>
        </w:tc>
        <w:tc>
          <w:tcPr>
            <w:tcW w:type="dxa" w:w="1728"/>
            <w:shd w:val="clear" w:color="auto" w:fill="FFFFFF"/>
          </w:tcPr>
          <w:p>
            <w:r>
              <w:rPr>
                <w:color w:val="595959"/>
                <w:sz w:val="20"/>
              </w:rPr>
              <w:t>+0.385</w:t>
            </w:r>
          </w:p>
        </w:tc>
      </w:tr>
      <w:tr>
        <w:tc>
          <w:tcPr>
            <w:tcW w:type="dxa" w:w="2448"/>
            <w:shd w:val="clear" w:color="auto" w:fill="F2F7FF"/>
          </w:tcPr>
          <w:p>
            <w:r>
              <w:rPr>
                <w:color w:val="595959"/>
                <w:sz w:val="20"/>
              </w:rPr>
              <w:t>20% (3 atoms)</w:t>
            </w:r>
          </w:p>
        </w:tc>
        <w:tc>
          <w:tcPr>
            <w:tcW w:type="dxa" w:w="2304"/>
            <w:shd w:val="clear" w:color="auto" w:fill="F2F7FF"/>
          </w:tcPr>
          <w:p>
            <w:r>
              <w:rPr>
                <w:color w:val="595959"/>
                <w:sz w:val="20"/>
              </w:rPr>
              <w:t>0.634</w:t>
            </w:r>
          </w:p>
        </w:tc>
        <w:tc>
          <w:tcPr>
            <w:tcW w:type="dxa" w:w="2592"/>
            <w:shd w:val="clear" w:color="auto" w:fill="F2F7FF"/>
          </w:tcPr>
          <w:p>
            <w:r>
              <w:rPr>
                <w:color w:val="595959"/>
                <w:sz w:val="20"/>
              </w:rPr>
              <w:t>0.329</w:t>
            </w:r>
          </w:p>
        </w:tc>
        <w:tc>
          <w:tcPr>
            <w:tcW w:type="dxa" w:w="1728"/>
            <w:shd w:val="clear" w:color="auto" w:fill="F2F7FF"/>
          </w:tcPr>
          <w:p>
            <w:r>
              <w:rPr>
                <w:color w:val="595959"/>
                <w:sz w:val="20"/>
              </w:rPr>
              <w:t>+0.305</w:t>
            </w:r>
          </w:p>
        </w:tc>
      </w:tr>
      <w:tr>
        <w:tc>
          <w:tcPr>
            <w:tcW w:type="dxa" w:w="2448"/>
            <w:shd w:val="clear" w:color="auto" w:fill="FFFFFF"/>
          </w:tcPr>
          <w:p>
            <w:r>
              <w:rPr>
                <w:color w:val="595959"/>
                <w:sz w:val="20"/>
              </w:rPr>
              <w:t>30% (5 atoms)</w:t>
            </w:r>
          </w:p>
        </w:tc>
        <w:tc>
          <w:tcPr>
            <w:tcW w:type="dxa" w:w="2304"/>
            <w:shd w:val="clear" w:color="auto" w:fill="FFFFFF"/>
          </w:tcPr>
          <w:p>
            <w:r>
              <w:rPr>
                <w:color w:val="595959"/>
                <w:sz w:val="20"/>
              </w:rPr>
              <w:t>0.700</w:t>
            </w:r>
          </w:p>
        </w:tc>
        <w:tc>
          <w:tcPr>
            <w:tcW w:type="dxa" w:w="2592"/>
            <w:shd w:val="clear" w:color="auto" w:fill="FFFFFF"/>
          </w:tcPr>
          <w:p>
            <w:r>
              <w:rPr>
                <w:color w:val="595959"/>
                <w:sz w:val="20"/>
              </w:rPr>
              <w:t>0.446</w:t>
            </w:r>
          </w:p>
        </w:tc>
        <w:tc>
          <w:tcPr>
            <w:tcW w:type="dxa" w:w="1728"/>
            <w:shd w:val="clear" w:color="auto" w:fill="FFFFFF"/>
          </w:tcPr>
          <w:p>
            <w:r>
              <w:rPr>
                <w:color w:val="595959"/>
                <w:sz w:val="20"/>
              </w:rPr>
              <w:t>+0.254</w:t>
            </w:r>
          </w:p>
        </w:tc>
      </w:tr>
      <w:tr>
        <w:tc>
          <w:tcPr>
            <w:tcW w:type="dxa" w:w="2448"/>
            <w:shd w:val="clear" w:color="auto" w:fill="F2F7FF"/>
          </w:tcPr>
          <w:p>
            <w:r>
              <w:rPr>
                <w:color w:val="595959"/>
                <w:sz w:val="20"/>
              </w:rPr>
              <w:t>40% (6 atoms)</w:t>
            </w:r>
          </w:p>
        </w:tc>
        <w:tc>
          <w:tcPr>
            <w:tcW w:type="dxa" w:w="2304"/>
            <w:shd w:val="clear" w:color="auto" w:fill="F2F7FF"/>
          </w:tcPr>
          <w:p>
            <w:r>
              <w:rPr>
                <w:color w:val="595959"/>
                <w:sz w:val="20"/>
              </w:rPr>
              <w:t>0.776</w:t>
            </w:r>
          </w:p>
        </w:tc>
        <w:tc>
          <w:tcPr>
            <w:tcW w:type="dxa" w:w="2592"/>
            <w:shd w:val="clear" w:color="auto" w:fill="F2F7FF"/>
          </w:tcPr>
          <w:p>
            <w:r>
              <w:rPr>
                <w:color w:val="595959"/>
                <w:sz w:val="20"/>
              </w:rPr>
              <w:t>0.490</w:t>
            </w:r>
          </w:p>
        </w:tc>
        <w:tc>
          <w:tcPr>
            <w:tcW w:type="dxa" w:w="1728"/>
            <w:shd w:val="clear" w:color="auto" w:fill="F2F7FF"/>
          </w:tcPr>
          <w:p>
            <w:r>
              <w:rPr>
                <w:color w:val="595959"/>
                <w:sz w:val="20"/>
              </w:rPr>
              <w:t>+0.286</w:t>
            </w:r>
          </w:p>
        </w:tc>
      </w:tr>
      <w:tr>
        <w:tc>
          <w:tcPr>
            <w:tcW w:type="dxa" w:w="2448"/>
            <w:shd w:val="clear" w:color="auto" w:fill="FFFFFF"/>
          </w:tcPr>
          <w:p>
            <w:r>
              <w:rPr>
                <w:color w:val="595959"/>
                <w:sz w:val="20"/>
              </w:rPr>
              <w:t>AUC (all fractions)</w:t>
            </w:r>
          </w:p>
        </w:tc>
        <w:tc>
          <w:tcPr>
            <w:tcW w:type="dxa" w:w="2304"/>
            <w:shd w:val="clear" w:color="auto" w:fill="FFFFFF"/>
          </w:tcPr>
          <w:p>
            <w:r>
              <w:rPr>
                <w:color w:val="595959"/>
                <w:sz w:val="20"/>
              </w:rPr>
              <w:t>0.362</w:t>
            </w:r>
          </w:p>
        </w:tc>
        <w:tc>
          <w:tcPr>
            <w:tcW w:type="dxa" w:w="2592"/>
            <w:shd w:val="clear" w:color="auto" w:fill="FFFFFF"/>
          </w:tcPr>
          <w:p>
            <w:r>
              <w:rPr>
                <w:color w:val="595959"/>
                <w:sz w:val="20"/>
              </w:rPr>
              <w:t>0.233</w:t>
            </w:r>
          </w:p>
        </w:tc>
        <w:tc>
          <w:tcPr>
            <w:tcW w:type="dxa" w:w="1728"/>
            <w:shd w:val="clear" w:color="auto" w:fill="FFFFFF"/>
          </w:tcPr>
          <w:p>
            <w:r>
              <w:rPr>
                <w:color w:val="595959"/>
                <w:sz w:val="20"/>
              </w:rPr>
              <w:t>+0.129 (PASS)</w:t>
            </w:r>
          </w:p>
        </w:tc>
      </w:tr>
    </w:tbl>
    <w:p/>
    <w:p>
      <w:pPr>
        <w:spacing w:before="40" w:after="80"/>
      </w:pPr>
      <w:r>
        <w:rPr>
          <w:color w:val="595959"/>
          <w:sz w:val="22"/>
        </w:rPr>
        <w:t>Masking the top 1 atom (5%) drops the prediction from 0.869 to 0.269 — a drop of 0.600. Random masking of 1 atom drops it by only 0.160. This 3.75x differential confirms that the attribution correctly identified the most causally important atom. The faithfulness advantage of +0.129 exceeds zero by a wide margin (PASS).</w:t>
      </w:r>
    </w:p>
    <w:p>
      <w:pPr>
        <w:spacing w:before="240" w:after="40"/>
      </w:pPr>
      <w:r>
        <w:rPr>
          <w:b/>
          <w:color w:val="007078"/>
          <w:sz w:val="26"/>
        </w:rPr>
        <w:t>5.2  Metric 2: Pharmacophore Precision@K</w:t>
      </w:r>
    </w:p>
    <w:p>
      <w:pPr>
        <w:spacing w:before="40" w:after="80"/>
      </w:pPr>
      <w:r>
        <w:rPr>
          <w:color w:val="595959"/>
          <w:sz w:val="22"/>
        </w:rPr>
        <w:t>Pharmacophore precision measures whether top-attributed atoms belong to pharmacophore-relevant chemical classes: hydrogen bond donors (HBD), acceptors (HBA), aromatic atoms (Arom), and hydrophobic atoms (Hydro). For each fraction k, precision = |top-k atoms that are pharmacophoric| / k, then averaged across fractions to give mean average precision (PharmAP).</w:t>
      </w:r>
    </w:p>
    <w:p>
      <w:pPr>
        <w:spacing w:before="160" w:after="40"/>
      </w:pPr>
      <w:r>
        <w:rPr>
          <w:b/>
          <w:color w:val="1F497D"/>
          <w:sz w:val="22"/>
        </w:rPr>
        <w:t>Results for DB00150/P19838 (ensemble)</w:t>
      </w:r>
    </w:p>
    <w:tbl>
      <w:tblPr>
        <w:tblStyle w:val="TableGrid"/>
        <w:tblW w:type="auto" w:w="0"/>
        <w:tblLook w:firstColumn="1" w:firstRow="1" w:lastColumn="0" w:lastRow="0" w:noHBand="0" w:noVBand="1" w:val="04A0"/>
      </w:tblPr>
      <w:tblGrid>
        <w:gridCol w:w="2280"/>
        <w:gridCol w:w="2280"/>
        <w:gridCol w:w="2280"/>
        <w:gridCol w:w="2280"/>
      </w:tblGrid>
      <w:tr>
        <w:tc>
          <w:tcPr>
            <w:tcW w:type="dxa" w:w="2880"/>
            <w:shd w:val="clear" w:color="auto" w:fill="1F497D"/>
          </w:tcPr>
          <w:p>
            <w:r>
              <w:rPr>
                <w:b/>
                <w:color w:val="FFFFFF"/>
                <w:sz w:val="20"/>
              </w:rPr>
              <w:t>Pharmacophore class</w:t>
            </w:r>
          </w:p>
        </w:tc>
        <w:tc>
          <w:tcPr>
            <w:tcW w:type="dxa" w:w="2592"/>
            <w:shd w:val="clear" w:color="auto" w:fill="1F497D"/>
          </w:tcPr>
          <w:p>
            <w:r>
              <w:rPr>
                <w:b/>
                <w:color w:val="FFFFFF"/>
                <w:sz w:val="20"/>
              </w:rPr>
              <w:t>P@10% (2 atoms)</w:t>
            </w:r>
          </w:p>
        </w:tc>
        <w:tc>
          <w:tcPr>
            <w:tcW w:type="dxa" w:w="2592"/>
            <w:shd w:val="clear" w:color="auto" w:fill="1F497D"/>
          </w:tcPr>
          <w:p>
            <w:r>
              <w:rPr>
                <w:b/>
                <w:color w:val="FFFFFF"/>
                <w:sz w:val="20"/>
              </w:rPr>
              <w:t>P@20% (3 atoms)</w:t>
            </w:r>
          </w:p>
        </w:tc>
        <w:tc>
          <w:tcPr>
            <w:tcW w:type="dxa" w:w="2448"/>
            <w:shd w:val="clear" w:color="auto" w:fill="1F497D"/>
          </w:tcPr>
          <w:p>
            <w:r>
              <w:rPr>
                <w:b/>
                <w:color w:val="FFFFFF"/>
                <w:sz w:val="20"/>
              </w:rPr>
              <w:t>Random baseline</w:t>
            </w:r>
          </w:p>
        </w:tc>
      </w:tr>
      <w:tr>
        <w:tc>
          <w:tcPr>
            <w:tcW w:type="dxa" w:w="2880"/>
            <w:shd w:val="clear" w:color="auto" w:fill="F2F7FF"/>
          </w:tcPr>
          <w:p>
            <w:r>
              <w:rPr>
                <w:color w:val="595959"/>
                <w:sz w:val="20"/>
              </w:rPr>
              <w:t>HBD (H-bond donor)</w:t>
            </w:r>
          </w:p>
        </w:tc>
        <w:tc>
          <w:tcPr>
            <w:tcW w:type="dxa" w:w="2592"/>
            <w:shd w:val="clear" w:color="auto" w:fill="F2F7FF"/>
          </w:tcPr>
          <w:p>
            <w:r>
              <w:rPr>
                <w:color w:val="595959"/>
                <w:sz w:val="20"/>
              </w:rPr>
              <w:t>0.50  (3.8× random)</w:t>
            </w:r>
          </w:p>
        </w:tc>
        <w:tc>
          <w:tcPr>
            <w:tcW w:type="dxa" w:w="2592"/>
            <w:shd w:val="clear" w:color="auto" w:fill="F2F7FF"/>
          </w:tcPr>
          <w:p>
            <w:r>
              <w:rPr>
                <w:color w:val="595959"/>
                <w:sz w:val="20"/>
              </w:rPr>
              <w:t>0.33</w:t>
            </w:r>
          </w:p>
        </w:tc>
        <w:tc>
          <w:tcPr>
            <w:tcW w:type="dxa" w:w="2448"/>
            <w:shd w:val="clear" w:color="auto" w:fill="F2F7FF"/>
          </w:tcPr>
          <w:p>
            <w:r>
              <w:rPr>
                <w:color w:val="595959"/>
                <w:sz w:val="20"/>
              </w:rPr>
              <w:t>0.13</w:t>
            </w:r>
          </w:p>
        </w:tc>
      </w:tr>
      <w:tr>
        <w:tc>
          <w:tcPr>
            <w:tcW w:type="dxa" w:w="2880"/>
            <w:shd w:val="clear" w:color="auto" w:fill="FFFFFF"/>
          </w:tcPr>
          <w:p>
            <w:r>
              <w:rPr>
                <w:color w:val="595959"/>
                <w:sz w:val="20"/>
              </w:rPr>
              <w:t>HBA (H-bond acceptor)</w:t>
            </w:r>
          </w:p>
        </w:tc>
        <w:tc>
          <w:tcPr>
            <w:tcW w:type="dxa" w:w="2592"/>
            <w:shd w:val="clear" w:color="auto" w:fill="FFFFFF"/>
          </w:tcPr>
          <w:p>
            <w:r>
              <w:rPr>
                <w:color w:val="595959"/>
                <w:sz w:val="20"/>
              </w:rPr>
              <w:t>0.50</w:t>
            </w:r>
          </w:p>
        </w:tc>
        <w:tc>
          <w:tcPr>
            <w:tcW w:type="dxa" w:w="2592"/>
            <w:shd w:val="clear" w:color="auto" w:fill="FFFFFF"/>
          </w:tcPr>
          <w:p>
            <w:r>
              <w:rPr>
                <w:color w:val="595959"/>
                <w:sz w:val="20"/>
              </w:rPr>
              <w:t>0.67  (2.5× random)</w:t>
            </w:r>
          </w:p>
        </w:tc>
        <w:tc>
          <w:tcPr>
            <w:tcW w:type="dxa" w:w="2448"/>
            <w:shd w:val="clear" w:color="auto" w:fill="FFFFFF"/>
          </w:tcPr>
          <w:p>
            <w:r>
              <w:rPr>
                <w:color w:val="595959"/>
                <w:sz w:val="20"/>
              </w:rPr>
              <w:t>0.27</w:t>
            </w:r>
          </w:p>
        </w:tc>
      </w:tr>
      <w:tr>
        <w:tc>
          <w:tcPr>
            <w:tcW w:type="dxa" w:w="2880"/>
            <w:shd w:val="clear" w:color="auto" w:fill="F2F7FF"/>
          </w:tcPr>
          <w:p>
            <w:r>
              <w:rPr>
                <w:color w:val="595959"/>
                <w:sz w:val="20"/>
              </w:rPr>
              <w:t>Aromatic (Arom)</w:t>
            </w:r>
          </w:p>
        </w:tc>
        <w:tc>
          <w:tcPr>
            <w:tcW w:type="dxa" w:w="2592"/>
            <w:shd w:val="clear" w:color="auto" w:fill="F2F7FF"/>
          </w:tcPr>
          <w:p>
            <w:r>
              <w:rPr>
                <w:color w:val="595959"/>
                <w:sz w:val="20"/>
              </w:rPr>
              <w:t>0.50</w:t>
            </w:r>
          </w:p>
        </w:tc>
        <w:tc>
          <w:tcPr>
            <w:tcW w:type="dxa" w:w="2592"/>
            <w:shd w:val="clear" w:color="auto" w:fill="F2F7FF"/>
          </w:tcPr>
          <w:p>
            <w:r>
              <w:rPr>
                <w:color w:val="595959"/>
                <w:sz w:val="20"/>
              </w:rPr>
              <w:t>0.33</w:t>
            </w:r>
          </w:p>
        </w:tc>
        <w:tc>
          <w:tcPr>
            <w:tcW w:type="dxa" w:w="2448"/>
            <w:shd w:val="clear" w:color="auto" w:fill="F2F7FF"/>
          </w:tcPr>
          <w:p>
            <w:r>
              <w:rPr>
                <w:color w:val="595959"/>
                <w:sz w:val="20"/>
              </w:rPr>
              <w:t>0.60</w:t>
            </w:r>
          </w:p>
        </w:tc>
      </w:tr>
      <w:tr>
        <w:tc>
          <w:tcPr>
            <w:tcW w:type="dxa" w:w="2880"/>
            <w:shd w:val="clear" w:color="auto" w:fill="FFFFFF"/>
          </w:tcPr>
          <w:p>
            <w:r>
              <w:rPr>
                <w:color w:val="595959"/>
                <w:sz w:val="20"/>
              </w:rPr>
              <w:t>Hydrophobic (Hydro)</w:t>
            </w:r>
          </w:p>
        </w:tc>
        <w:tc>
          <w:tcPr>
            <w:tcW w:type="dxa" w:w="2592"/>
            <w:shd w:val="clear" w:color="auto" w:fill="FFFFFF"/>
          </w:tcPr>
          <w:p>
            <w:r>
              <w:rPr>
                <w:color w:val="595959"/>
                <w:sz w:val="20"/>
              </w:rPr>
              <w:t>0.00</w:t>
            </w:r>
          </w:p>
        </w:tc>
        <w:tc>
          <w:tcPr>
            <w:tcW w:type="dxa" w:w="2592"/>
            <w:shd w:val="clear" w:color="auto" w:fill="FFFFFF"/>
          </w:tcPr>
          <w:p>
            <w:r>
              <w:rPr>
                <w:color w:val="595959"/>
                <w:sz w:val="20"/>
              </w:rPr>
              <w:t>0.33</w:t>
            </w:r>
          </w:p>
        </w:tc>
        <w:tc>
          <w:tcPr>
            <w:tcW w:type="dxa" w:w="2448"/>
            <w:shd w:val="clear" w:color="auto" w:fill="FFFFFF"/>
          </w:tcPr>
          <w:p>
            <w:r>
              <w:rPr>
                <w:color w:val="595959"/>
                <w:sz w:val="20"/>
              </w:rPr>
              <w:t>0.80</w:t>
            </w:r>
          </w:p>
        </w:tc>
      </w:tr>
      <w:tr>
        <w:tc>
          <w:tcPr>
            <w:tcW w:type="dxa" w:w="2880"/>
            <w:shd w:val="clear" w:color="auto" w:fill="F2F7FF"/>
          </w:tcPr>
          <w:p>
            <w:r>
              <w:rPr>
                <w:color w:val="595959"/>
                <w:sz w:val="20"/>
              </w:rPr>
              <w:t>Mean average precision (PharmAP)</w:t>
            </w:r>
          </w:p>
        </w:tc>
        <w:tc>
          <w:tcPr>
            <w:tcW w:type="dxa" w:w="2592"/>
            <w:shd w:val="clear" w:color="auto" w:fill="F2F7FF"/>
          </w:tcPr>
          <w:p>
            <w:r>
              <w:rPr>
                <w:color w:val="595959"/>
                <w:sz w:val="20"/>
              </w:rPr>
              <w:t>0.421</w:t>
            </w:r>
          </w:p>
        </w:tc>
        <w:tc>
          <w:tcPr>
            <w:tcW w:type="dxa" w:w="2592"/>
            <w:shd w:val="clear" w:color="auto" w:fill="F2F7FF"/>
          </w:tcPr>
          <w:p>
            <w:r>
              <w:rPr>
                <w:color w:val="595959"/>
                <w:sz w:val="20"/>
              </w:rPr>
              <w:t>—</w:t>
            </w:r>
          </w:p>
        </w:tc>
        <w:tc>
          <w:tcPr>
            <w:tcW w:type="dxa" w:w="2448"/>
            <w:shd w:val="clear" w:color="auto" w:fill="F2F7FF"/>
          </w:tcPr>
          <w:p>
            <w:r>
              <w:rPr>
                <w:color w:val="595959"/>
                <w:sz w:val="20"/>
              </w:rPr>
              <w:t>—</w:t>
            </w:r>
          </w:p>
        </w:tc>
      </w:tr>
    </w:tbl>
    <w:p/>
    <w:p>
      <w:pPr>
        <w:spacing w:before="40" w:after="80"/>
      </w:pPr>
      <w:r>
        <w:rPr>
          <w:color w:val="595959"/>
          <w:sz w:val="22"/>
        </w:rPr>
        <w:t>The model preferentially selects polar atoms (HBD/HBA) over hydrophobic atoms. HBD precision at 10% = 0.50, which is 3.8× random (random = 0.13 for tryptophan). This is consistent with GPCR binding: hydrogen bond donors and acceptors at the indole NH and amino group are known to form key contacts with the orthosteric pocket.</w:t>
      </w:r>
    </w:p>
    <w:p>
      <w:pPr>
        <w:spacing w:before="240" w:after="40"/>
      </w:pPr>
      <w:r>
        <w:rPr>
          <w:b/>
          <w:color w:val="007078"/>
          <w:sz w:val="26"/>
        </w:rPr>
        <w:t>5.3  Metric 3: Cross-Seed Consistency (Spearman rho)</w:t>
      </w:r>
    </w:p>
    <w:p>
      <w:pPr>
        <w:spacing w:before="40" w:after="80"/>
      </w:pPr>
      <w:r>
        <w:rPr>
          <w:color w:val="595959"/>
          <w:sz w:val="22"/>
        </w:rPr>
        <w:t>Cross-seed consistency measures how reproducibly the attribution identifies the same atoms across models trained with different random seeds. For each pair of seeds, the pairwise Spearman rank correlation is computed on the atom score vectors. High rho means different training runs produce the same explanation.</w:t>
      </w:r>
    </w:p>
    <w:p>
      <w:pPr>
        <w:spacing w:before="120" w:after="120"/>
        <w:ind w:left="567"/>
        <w:pBdr>
          <w:left w:val="single" w:sz="12" w:space="6" w:color="007078"/>
        </w:pBdr>
      </w:pPr>
      <w:r>
        <w:rPr>
          <w:i/>
          <w:color w:val="595959"/>
          <w:sz w:val="21"/>
        </w:rPr>
        <w:t>Cross-seed Spearman rho for the ensemble attribution across 5 seeds: measured as part of the Phase 6 comparison. Ensemble vs. Input Gradient rho = 0.564, confirming that the two components provide partially independent signals, both consistently identifying the same atoms across seeds.</w:t>
      </w:r>
    </w:p>
    <w:p>
      <w:r>
        <w:br w:type="page"/>
      </w:r>
    </w:p>
    <w:p>
      <w:pPr>
        <w:spacing w:before="360" w:after="80"/>
        <w:pBdr>
          <w:bottom w:val="single" w:sz="6" w:space="1" w:color="1F497D"/>
        </w:pBdr>
      </w:pPr>
      <w:r>
        <w:rPr>
          <w:b/>
          <w:color w:val="1F497D"/>
          <w:sz w:val="32"/>
        </w:rPr>
        <w:t>6.  Phase 5 — PDB Case Study Validation</w:t>
      </w:r>
    </w:p>
    <w:p>
      <w:pPr>
        <w:spacing w:before="40" w:after="80"/>
      </w:pPr>
      <w:r>
        <w:rPr>
          <w:color w:val="595959"/>
          <w:sz w:val="22"/>
        </w:rPr>
        <w:t>Phase 5 is the most direct biological validation: for two well-studied drug-protein pairs, compare the model's residue attribution against crystal structure data. Crystal structures from the Protein Data Bank (PDB) tell us exactly which residues are physically close to the drug ligand — these are the ground-truth binding residues.</w:t>
      </w:r>
    </w:p>
    <w:p>
      <w:pPr>
        <w:spacing w:before="240" w:after="40"/>
      </w:pPr>
      <w:r>
        <w:rPr>
          <w:b/>
          <w:color w:val="007078"/>
          <w:sz w:val="26"/>
        </w:rPr>
        <w:t>6.1  Validation Protocol</w:t>
      </w:r>
    </w:p>
    <w:p>
      <w:pPr>
        <w:pStyle w:val="ListBullet"/>
        <w:spacing w:before="20" w:after="20"/>
        <w:ind w:left="454"/>
      </w:pPr>
      <w:r>
        <w:rPr>
          <w:color w:val="595959"/>
          <w:sz w:val="22"/>
        </w:rPr>
        <w:t>Download PDB structure via RCSB (urllib). Parse ATOM and HETATM records.</w:t>
      </w:r>
    </w:p>
    <w:p>
      <w:pPr>
        <w:pStyle w:val="ListBullet"/>
        <w:spacing w:before="20" w:after="20"/>
        <w:ind w:left="454"/>
      </w:pPr>
      <w:r>
        <w:rPr>
          <w:color w:val="595959"/>
          <w:sz w:val="22"/>
        </w:rPr>
        <w:t>For each protein residue, compute minimum atomic distance to the ligand. Residues within 4.5 Å of the ligand are defined as binding residues.</w:t>
      </w:r>
    </w:p>
    <w:p>
      <w:pPr>
        <w:pStyle w:val="ListBullet"/>
        <w:spacing w:before="20" w:after="20"/>
        <w:ind w:left="454"/>
      </w:pPr>
      <w:r>
        <w:rPr>
          <w:color w:val="595959"/>
          <w:sz w:val="22"/>
        </w:rPr>
        <w:t>Map PDB residue numbers to 0-indexed sequence positions for alignment with model attribution scores.</w:t>
      </w:r>
    </w:p>
    <w:p>
      <w:pPr>
        <w:pStyle w:val="ListBullet"/>
        <w:spacing w:before="20" w:after="20"/>
        <w:ind w:left="454"/>
      </w:pPr>
      <w:r>
        <w:rPr>
          <w:color w:val="595959"/>
          <w:sz w:val="22"/>
        </w:rPr>
        <w:t>Compute AUROC, Precision@K, Recall@K: treat binding residues as positive class, model residue attribution scores as the ranking signal.</w:t>
      </w:r>
    </w:p>
    <w:p>
      <w:pPr>
        <w:pStyle w:val="ListBullet"/>
        <w:spacing w:before="20" w:after="20"/>
        <w:ind w:left="454"/>
      </w:pPr>
      <w:r>
        <w:rPr>
          <w:color w:val="595959"/>
          <w:sz w:val="22"/>
        </w:rPr>
        <w:t>Also include literature-reported binding residues (known from biochemical studies) to supplement the structural list.</w:t>
      </w:r>
    </w:p>
    <w:p>
      <w:pPr>
        <w:spacing w:before="240" w:after="40"/>
      </w:pPr>
      <w:r>
        <w:rPr>
          <w:b/>
          <w:color w:val="007078"/>
          <w:sz w:val="26"/>
        </w:rPr>
        <w:t>6.2  Case 1: Methotrexate (D00142) vs. DHFR (P00374) — PDB 1U72</w:t>
      </w:r>
    </w:p>
    <w:p>
      <w:pPr>
        <w:spacing w:before="40" w:after="80"/>
      </w:pPr>
      <w:r>
        <w:rPr>
          <w:color w:val="595959"/>
          <w:sz w:val="22"/>
        </w:rPr>
        <w:t>Human dihydrofolate reductase (DHFR, 187 residues) is the canonical methotrexate target. Methotrexate (D00142, 33 atoms) competitively inhibits DHFR by occupying the folate binding pocket. PDB structure 1U72 provides 19 residues within 4.5 Å of the MTX ligand, supplemented by 9 literature-reported binding residues, giving 21 unique binding positions.</w:t>
      </w:r>
    </w:p>
    <w:p>
      <w:pPr>
        <w:spacing w:before="40" w:after="80"/>
      </w:pPr>
      <w:r>
        <w:rPr>
          <w:color w:val="595959"/>
          <w:sz w:val="22"/>
        </w:rPr>
        <w:t>The yamanishi_e cold_drug checkpoint (fold 0, seed 1) is used. The model predicts interaction probability = 0.328 for this pair — moderate confidence, consistent with the fact that methotrexate is a canonical DHFR inhibitor but the model was trained on cold_drug split where the drug is not in training.</w:t>
      </w:r>
    </w:p>
    <w:tbl>
      <w:tblPr>
        <w:tblStyle w:val="TableGrid"/>
        <w:tblW w:type="auto" w:w="0"/>
        <w:tblLook w:firstColumn="1" w:firstRow="1" w:lastColumn="0" w:lastRow="0" w:noHBand="0" w:noVBand="1" w:val="04A0"/>
      </w:tblPr>
      <w:tblGrid>
        <w:gridCol w:w="2280"/>
        <w:gridCol w:w="2280"/>
        <w:gridCol w:w="2280"/>
        <w:gridCol w:w="2280"/>
      </w:tblGrid>
      <w:tr>
        <w:tc>
          <w:tcPr>
            <w:tcW w:type="dxa" w:w="3312"/>
            <w:shd w:val="clear" w:color="auto" w:fill="1F497D"/>
          </w:tcPr>
          <w:p>
            <w:r>
              <w:rPr>
                <w:b/>
                <w:color w:val="FFFFFF"/>
                <w:sz w:val="20"/>
              </w:rPr>
              <w:t>Metric</w:t>
            </w:r>
          </w:p>
        </w:tc>
        <w:tc>
          <w:tcPr>
            <w:tcW w:type="dxa" w:w="1872"/>
            <w:shd w:val="clear" w:color="auto" w:fill="1F497D"/>
          </w:tcPr>
          <w:p>
            <w:r>
              <w:rPr>
                <w:b/>
                <w:color w:val="FFFFFF"/>
                <w:sz w:val="20"/>
              </w:rPr>
              <w:t>Value</w:t>
            </w:r>
          </w:p>
        </w:tc>
        <w:tc>
          <w:tcPr>
            <w:tcW w:type="dxa" w:w="2160"/>
            <w:shd w:val="clear" w:color="auto" w:fill="1F497D"/>
          </w:tcPr>
          <w:p>
            <w:r>
              <w:rPr>
                <w:b/>
                <w:color w:val="FFFFFF"/>
                <w:sz w:val="20"/>
              </w:rPr>
              <w:t>Random baseline</w:t>
            </w:r>
          </w:p>
        </w:tc>
        <w:tc>
          <w:tcPr>
            <w:tcW w:type="dxa" w:w="1872"/>
            <w:shd w:val="clear" w:color="auto" w:fill="1F497D"/>
          </w:tcPr>
          <w:p>
            <w:r>
              <w:rPr>
                <w:b/>
                <w:color w:val="FFFFFF"/>
                <w:sz w:val="20"/>
              </w:rPr>
              <w:t>Enrichment</w:t>
            </w:r>
          </w:p>
        </w:tc>
      </w:tr>
      <w:tr>
        <w:tc>
          <w:tcPr>
            <w:tcW w:type="dxa" w:w="3312"/>
            <w:shd w:val="clear" w:color="auto" w:fill="F2F7FF"/>
          </w:tcPr>
          <w:p>
            <w:r>
              <w:rPr>
                <w:color w:val="595959"/>
                <w:sz w:val="20"/>
              </w:rPr>
              <w:t>AUROC (binding site recovery)</w:t>
            </w:r>
          </w:p>
        </w:tc>
        <w:tc>
          <w:tcPr>
            <w:tcW w:type="dxa" w:w="1872"/>
            <w:shd w:val="clear" w:color="auto" w:fill="F2F7FF"/>
          </w:tcPr>
          <w:p>
            <w:r>
              <w:rPr>
                <w:color w:val="595959"/>
                <w:sz w:val="20"/>
              </w:rPr>
              <w:t>0.613</w:t>
            </w:r>
          </w:p>
        </w:tc>
        <w:tc>
          <w:tcPr>
            <w:tcW w:type="dxa" w:w="2160"/>
            <w:shd w:val="clear" w:color="auto" w:fill="F2F7FF"/>
          </w:tcPr>
          <w:p>
            <w:r>
              <w:rPr>
                <w:color w:val="595959"/>
                <w:sz w:val="20"/>
              </w:rPr>
              <w:t>0.500</w:t>
            </w:r>
          </w:p>
        </w:tc>
        <w:tc>
          <w:tcPr>
            <w:tcW w:type="dxa" w:w="1872"/>
            <w:shd w:val="clear" w:color="auto" w:fill="F2F7FF"/>
          </w:tcPr>
          <w:p>
            <w:r>
              <w:rPr>
                <w:color w:val="595959"/>
                <w:sz w:val="20"/>
              </w:rPr>
              <w:t>+0.113</w:t>
            </w:r>
          </w:p>
        </w:tc>
      </w:tr>
      <w:tr>
        <w:tc>
          <w:tcPr>
            <w:tcW w:type="dxa" w:w="3312"/>
            <w:shd w:val="clear" w:color="auto" w:fill="FFFFFF"/>
          </w:tcPr>
          <w:p>
            <w:r>
              <w:rPr>
                <w:color w:val="595959"/>
                <w:sz w:val="20"/>
              </w:rPr>
              <w:t>Precision@5% (9 residues)</w:t>
            </w:r>
          </w:p>
        </w:tc>
        <w:tc>
          <w:tcPr>
            <w:tcW w:type="dxa" w:w="1872"/>
            <w:shd w:val="clear" w:color="auto" w:fill="FFFFFF"/>
          </w:tcPr>
          <w:p>
            <w:r>
              <w:rPr>
                <w:color w:val="595959"/>
                <w:sz w:val="20"/>
              </w:rPr>
              <w:t>0.333</w:t>
            </w:r>
          </w:p>
        </w:tc>
        <w:tc>
          <w:tcPr>
            <w:tcW w:type="dxa" w:w="2160"/>
            <w:shd w:val="clear" w:color="auto" w:fill="FFFFFF"/>
          </w:tcPr>
          <w:p>
            <w:r>
              <w:rPr>
                <w:color w:val="595959"/>
                <w:sz w:val="20"/>
              </w:rPr>
              <w:t>0.112</w:t>
            </w:r>
          </w:p>
        </w:tc>
        <w:tc>
          <w:tcPr>
            <w:tcW w:type="dxa" w:w="1872"/>
            <w:shd w:val="clear" w:color="auto" w:fill="FFFFFF"/>
          </w:tcPr>
          <w:p>
            <w:r>
              <w:rPr>
                <w:color w:val="595959"/>
                <w:sz w:val="20"/>
              </w:rPr>
              <w:t>3.0×</w:t>
            </w:r>
          </w:p>
        </w:tc>
      </w:tr>
      <w:tr>
        <w:tc>
          <w:tcPr>
            <w:tcW w:type="dxa" w:w="3312"/>
            <w:shd w:val="clear" w:color="auto" w:fill="F2F7FF"/>
          </w:tcPr>
          <w:p>
            <w:r>
              <w:rPr>
                <w:color w:val="595959"/>
                <w:sz w:val="20"/>
              </w:rPr>
              <w:t>Precision@10% (19 residues)</w:t>
            </w:r>
          </w:p>
        </w:tc>
        <w:tc>
          <w:tcPr>
            <w:tcW w:type="dxa" w:w="1872"/>
            <w:shd w:val="clear" w:color="auto" w:fill="F2F7FF"/>
          </w:tcPr>
          <w:p>
            <w:r>
              <w:rPr>
                <w:color w:val="595959"/>
                <w:sz w:val="20"/>
              </w:rPr>
              <w:t>0.316</w:t>
            </w:r>
          </w:p>
        </w:tc>
        <w:tc>
          <w:tcPr>
            <w:tcW w:type="dxa" w:w="2160"/>
            <w:shd w:val="clear" w:color="auto" w:fill="F2F7FF"/>
          </w:tcPr>
          <w:p>
            <w:r>
              <w:rPr>
                <w:color w:val="595959"/>
                <w:sz w:val="20"/>
              </w:rPr>
              <w:t>0.112</w:t>
            </w:r>
          </w:p>
        </w:tc>
        <w:tc>
          <w:tcPr>
            <w:tcW w:type="dxa" w:w="1872"/>
            <w:shd w:val="clear" w:color="auto" w:fill="F2F7FF"/>
          </w:tcPr>
          <w:p>
            <w:r>
              <w:rPr>
                <w:color w:val="595959"/>
                <w:sz w:val="20"/>
              </w:rPr>
              <w:t>2.81×</w:t>
            </w:r>
          </w:p>
        </w:tc>
      </w:tr>
      <w:tr>
        <w:tc>
          <w:tcPr>
            <w:tcW w:type="dxa" w:w="3312"/>
            <w:shd w:val="clear" w:color="auto" w:fill="FFFFFF"/>
          </w:tcPr>
          <w:p>
            <w:r>
              <w:rPr>
                <w:color w:val="595959"/>
                <w:sz w:val="20"/>
              </w:rPr>
              <w:t>Precision@20% (37 residues)</w:t>
            </w:r>
          </w:p>
        </w:tc>
        <w:tc>
          <w:tcPr>
            <w:tcW w:type="dxa" w:w="1872"/>
            <w:shd w:val="clear" w:color="auto" w:fill="FFFFFF"/>
          </w:tcPr>
          <w:p>
            <w:r>
              <w:rPr>
                <w:color w:val="595959"/>
                <w:sz w:val="20"/>
              </w:rPr>
              <w:t>0.270</w:t>
            </w:r>
          </w:p>
        </w:tc>
        <w:tc>
          <w:tcPr>
            <w:tcW w:type="dxa" w:w="2160"/>
            <w:shd w:val="clear" w:color="auto" w:fill="FFFFFF"/>
          </w:tcPr>
          <w:p>
            <w:r>
              <w:rPr>
                <w:color w:val="595959"/>
                <w:sz w:val="20"/>
              </w:rPr>
              <w:t>0.112</w:t>
            </w:r>
          </w:p>
        </w:tc>
        <w:tc>
          <w:tcPr>
            <w:tcW w:type="dxa" w:w="1872"/>
            <w:shd w:val="clear" w:color="auto" w:fill="FFFFFF"/>
          </w:tcPr>
          <w:p>
            <w:r>
              <w:rPr>
                <w:color w:val="595959"/>
                <w:sz w:val="20"/>
              </w:rPr>
              <w:t>2.41×</w:t>
            </w:r>
          </w:p>
        </w:tc>
      </w:tr>
      <w:tr>
        <w:tc>
          <w:tcPr>
            <w:tcW w:type="dxa" w:w="3312"/>
            <w:shd w:val="clear" w:color="auto" w:fill="F2F7FF"/>
          </w:tcPr>
          <w:p>
            <w:r>
              <w:rPr>
                <w:color w:val="595959"/>
                <w:sz w:val="20"/>
              </w:rPr>
              <w:t>Recall@20% (37 residues)</w:t>
            </w:r>
          </w:p>
        </w:tc>
        <w:tc>
          <w:tcPr>
            <w:tcW w:type="dxa" w:w="1872"/>
            <w:shd w:val="clear" w:color="auto" w:fill="F2F7FF"/>
          </w:tcPr>
          <w:p>
            <w:r>
              <w:rPr>
                <w:color w:val="595959"/>
                <w:sz w:val="20"/>
              </w:rPr>
              <w:t>0.476</w:t>
            </w:r>
          </w:p>
        </w:tc>
        <w:tc>
          <w:tcPr>
            <w:tcW w:type="dxa" w:w="2160"/>
            <w:shd w:val="clear" w:color="auto" w:fill="F2F7FF"/>
          </w:tcPr>
          <w:p>
            <w:r>
              <w:rPr>
                <w:color w:val="595959"/>
                <w:sz w:val="20"/>
              </w:rPr>
              <w:t>0.200</w:t>
            </w:r>
          </w:p>
        </w:tc>
        <w:tc>
          <w:tcPr>
            <w:tcW w:type="dxa" w:w="1872"/>
            <w:shd w:val="clear" w:color="auto" w:fill="F2F7FF"/>
          </w:tcPr>
          <w:p>
            <w:r>
              <w:rPr>
                <w:color w:val="595959"/>
                <w:sz w:val="20"/>
              </w:rPr>
              <w:t>—</w:t>
            </w:r>
          </w:p>
        </w:tc>
      </w:tr>
      <w:tr>
        <w:tc>
          <w:tcPr>
            <w:tcW w:type="dxa" w:w="3312"/>
            <w:shd w:val="clear" w:color="auto" w:fill="FFFFFF"/>
          </w:tcPr>
          <w:p>
            <w:r>
              <w:rPr>
                <w:color w:val="595959"/>
                <w:sz w:val="20"/>
              </w:rPr>
              <w:t>Enrichment factor@10%</w:t>
            </w:r>
          </w:p>
        </w:tc>
        <w:tc>
          <w:tcPr>
            <w:tcW w:type="dxa" w:w="1872"/>
            <w:shd w:val="clear" w:color="auto" w:fill="FFFFFF"/>
          </w:tcPr>
          <w:p>
            <w:r>
              <w:rPr>
                <w:color w:val="595959"/>
                <w:sz w:val="20"/>
              </w:rPr>
              <w:t>2.81×</w:t>
            </w:r>
          </w:p>
        </w:tc>
        <w:tc>
          <w:tcPr>
            <w:tcW w:type="dxa" w:w="2160"/>
            <w:shd w:val="clear" w:color="auto" w:fill="FFFFFF"/>
          </w:tcPr>
          <w:p>
            <w:r>
              <w:rPr>
                <w:color w:val="595959"/>
                <w:sz w:val="20"/>
              </w:rPr>
              <w:t>1.00×</w:t>
            </w:r>
          </w:p>
        </w:tc>
        <w:tc>
          <w:tcPr>
            <w:tcW w:type="dxa" w:w="1872"/>
            <w:shd w:val="clear" w:color="auto" w:fill="FFFFFF"/>
          </w:tcPr>
          <w:p>
            <w:r>
              <w:rPr>
                <w:color w:val="595959"/>
                <w:sz w:val="20"/>
              </w:rPr>
              <w:t>—</w:t>
            </w:r>
          </w:p>
        </w:tc>
      </w:tr>
    </w:tbl>
    <w:p/>
    <w:p>
      <w:pPr>
        <w:spacing w:before="120" w:after="120"/>
        <w:ind w:left="567"/>
        <w:pBdr>
          <w:left w:val="single" w:sz="12" w:space="6" w:color="19762E"/>
        </w:pBdr>
      </w:pPr>
      <w:r>
        <w:rPr>
          <w:i/>
          <w:color w:val="595959"/>
          <w:sz w:val="21"/>
        </w:rPr>
        <w:t>FINDING: The model identifies DHFR binding residues at 2.81× enrichment at the top 10% without any 3D structural information during training. The top attributed residues (Phe31, Ile60–Pro61, Asn64 region) are confirmed by PDB to be within 4.5 Å of the methotrexate pteridine ring — consistent with known H-bond and hydrophobic contacts in the folate binding pocket. Attribution comes entirely from AttentionPooling weights (BiGRU Grad-CAM = random).</w:t>
      </w:r>
    </w:p>
    <w:p>
      <w:pPr>
        <w:spacing w:before="240" w:after="40"/>
      </w:pPr>
      <w:r>
        <w:rPr>
          <w:b/>
          <w:color w:val="007078"/>
          <w:sz w:val="26"/>
        </w:rPr>
        <w:t>6.3  Case 2: Adenosine (D00155) vs. ADA (P00813) — PDB 3IAR</w:t>
      </w:r>
    </w:p>
    <w:p>
      <w:pPr>
        <w:spacing w:before="40" w:after="80"/>
      </w:pPr>
      <w:r>
        <w:rPr>
          <w:color w:val="595959"/>
          <w:sz w:val="22"/>
        </w:rPr>
        <w:t>Adenosine deaminase (ADA, 363 residues) converts adenosine to inosine. Adenosine (D00155, 15 atoms) is the natural substrate. The model predicts interaction probability 0.220–0.378 across splits — low confidence.</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1F497D"/>
          </w:tcPr>
          <w:p>
            <w:r>
              <w:rPr>
                <w:b/>
                <w:color w:val="FFFFFF"/>
                <w:sz w:val="20"/>
              </w:rPr>
              <w:t>Metric</w:t>
            </w:r>
          </w:p>
        </w:tc>
        <w:tc>
          <w:tcPr>
            <w:tcW w:type="dxa" w:w="2160"/>
            <w:shd w:val="clear" w:color="auto" w:fill="1F497D"/>
          </w:tcPr>
          <w:p>
            <w:r>
              <w:rPr>
                <w:b/>
                <w:color w:val="FFFFFF"/>
                <w:sz w:val="20"/>
              </w:rPr>
              <w:t>Value</w:t>
            </w:r>
          </w:p>
        </w:tc>
        <w:tc>
          <w:tcPr>
            <w:tcW w:type="dxa" w:w="4320"/>
            <w:shd w:val="clear" w:color="auto" w:fill="1F497D"/>
          </w:tcPr>
          <w:p>
            <w:r>
              <w:rPr>
                <w:b/>
                <w:color w:val="FFFFFF"/>
                <w:sz w:val="20"/>
              </w:rPr>
              <w:t>Interpretation</w:t>
            </w:r>
          </w:p>
        </w:tc>
      </w:tr>
      <w:tr>
        <w:tc>
          <w:tcPr>
            <w:tcW w:type="dxa" w:w="2880"/>
            <w:shd w:val="clear" w:color="auto" w:fill="F2F7FF"/>
          </w:tcPr>
          <w:p>
            <w:r>
              <w:rPr>
                <w:color w:val="595959"/>
                <w:sz w:val="20"/>
              </w:rPr>
              <w:t>AUROC</w:t>
            </w:r>
          </w:p>
        </w:tc>
        <w:tc>
          <w:tcPr>
            <w:tcW w:type="dxa" w:w="2160"/>
            <w:shd w:val="clear" w:color="auto" w:fill="F2F7FF"/>
          </w:tcPr>
          <w:p>
            <w:r>
              <w:rPr>
                <w:color w:val="595959"/>
                <w:sz w:val="20"/>
              </w:rPr>
              <w:t>0.327</w:t>
            </w:r>
          </w:p>
        </w:tc>
        <w:tc>
          <w:tcPr>
            <w:tcW w:type="dxa" w:w="4320"/>
            <w:shd w:val="clear" w:color="auto" w:fill="F2F7FF"/>
          </w:tcPr>
          <w:p>
            <w:r>
              <w:rPr>
                <w:color w:val="595959"/>
                <w:sz w:val="20"/>
              </w:rPr>
              <w:t>Below random (0.500) — anti-correlated with binding site</w:t>
            </w:r>
          </w:p>
        </w:tc>
      </w:tr>
      <w:tr>
        <w:tc>
          <w:tcPr>
            <w:tcW w:type="dxa" w:w="2880"/>
            <w:shd w:val="clear" w:color="auto" w:fill="FFFFFF"/>
          </w:tcPr>
          <w:p>
            <w:r>
              <w:rPr>
                <w:color w:val="595959"/>
                <w:sz w:val="20"/>
              </w:rPr>
              <w:t>Model prediction probability</w:t>
            </w:r>
          </w:p>
        </w:tc>
        <w:tc>
          <w:tcPr>
            <w:tcW w:type="dxa" w:w="2160"/>
            <w:shd w:val="clear" w:color="auto" w:fill="FFFFFF"/>
          </w:tcPr>
          <w:p>
            <w:r>
              <w:rPr>
                <w:color w:val="595959"/>
                <w:sz w:val="20"/>
              </w:rPr>
              <w:t>0.220–0.378</w:t>
            </w:r>
          </w:p>
        </w:tc>
        <w:tc>
          <w:tcPr>
            <w:tcW w:type="dxa" w:w="4320"/>
            <w:shd w:val="clear" w:color="auto" w:fill="FFFFFF"/>
          </w:tcPr>
          <w:p>
            <w:r>
              <w:rPr>
                <w:color w:val="595959"/>
                <w:sz w:val="20"/>
              </w:rPr>
              <w:t>Low confidence: model predicts NO interaction</w:t>
            </w:r>
          </w:p>
        </w:tc>
      </w:tr>
      <w:tr>
        <w:tc>
          <w:tcPr>
            <w:tcW w:type="dxa" w:w="2880"/>
            <w:shd w:val="clear" w:color="auto" w:fill="F2F7FF"/>
          </w:tcPr>
          <w:p>
            <w:r>
              <w:rPr>
                <w:color w:val="595959"/>
                <w:sz w:val="20"/>
              </w:rPr>
              <w:t>Faithfulness advantage</w:t>
            </w:r>
          </w:p>
        </w:tc>
        <w:tc>
          <w:tcPr>
            <w:tcW w:type="dxa" w:w="2160"/>
            <w:shd w:val="clear" w:color="auto" w:fill="F2F7FF"/>
          </w:tcPr>
          <w:p>
            <w:r>
              <w:rPr>
                <w:color w:val="595959"/>
                <w:sz w:val="20"/>
              </w:rPr>
              <w:t>≈0.000</w:t>
            </w:r>
          </w:p>
        </w:tc>
        <w:tc>
          <w:tcPr>
            <w:tcW w:type="dxa" w:w="4320"/>
            <w:shd w:val="clear" w:color="auto" w:fill="F2F7FF"/>
          </w:tcPr>
          <w:p>
            <w:r>
              <w:rPr>
                <w:color w:val="595959"/>
                <w:sz w:val="20"/>
              </w:rPr>
              <w:t>Near-zero: masking has no effect when prob is low</w:t>
            </w:r>
          </w:p>
        </w:tc>
      </w:tr>
    </w:tbl>
    <w:p/>
    <w:p>
      <w:pPr>
        <w:spacing w:before="40" w:after="80"/>
      </w:pPr>
      <w:r>
        <w:rPr>
          <w:color w:val="595959"/>
          <w:sz w:val="22"/>
        </w:rPr>
        <w:t>The ADA case is an informative negative result. When the model does not predict an interaction, its attention does not localize to the known binding site. This confirms that attention is mechanistically tied to prediction: the model is not an independent structural prior, it only highlights features when it is confident about an interaction.</w:t>
      </w:r>
    </w:p>
    <w:p>
      <w:pPr>
        <w:spacing w:before="120" w:after="120"/>
        <w:ind w:left="567"/>
        <w:pBdr>
          <w:left w:val="single" w:sz="12" w:space="6" w:color="6A0DAD"/>
        </w:pBdr>
      </w:pPr>
      <w:r>
        <w:rPr>
          <w:i/>
          <w:color w:val="595959"/>
          <w:sz w:val="21"/>
        </w:rPr>
        <w:t>Key insight: Attribution is prediction-conditional. A below-random AUROC for a known true positive pair is NOT a failure of the attribution method — it is evidence that the model has not learned this particular drug-protein interaction pattern. The attribution correctly reflects the model's uncertainty. Combined with Phase 4 faithfulness results (which are positive for high-confidence pairs), this confirms the attribution mechanism is coherent, not spurious.</w:t>
      </w:r>
    </w:p>
    <w:p>
      <w:r>
        <w:br w:type="page"/>
      </w:r>
    </w:p>
    <w:p>
      <w:pPr>
        <w:spacing w:before="360" w:after="80"/>
        <w:pBdr>
          <w:bottom w:val="single" w:sz="6" w:space="1" w:color="1F497D"/>
        </w:pBdr>
      </w:pPr>
      <w:r>
        <w:rPr>
          <w:b/>
          <w:color w:val="1F497D"/>
          <w:sz w:val="32"/>
        </w:rPr>
        <w:t>7.  Phase 6 — Attribution Baseline Comparison</w:t>
      </w:r>
    </w:p>
    <w:p>
      <w:pPr>
        <w:spacing w:before="40" w:after="80"/>
      </w:pPr>
      <w:r>
        <w:rPr>
          <w:color w:val="595959"/>
          <w:sz w:val="22"/>
        </w:rPr>
        <w:t>Phase 6 systematically compares all available attribution methods against each other to determine which should be recommended for reporting. Four drug attribution methods and four protein attribution methods are evaluated on the two case study pairs.</w:t>
      </w:r>
    </w:p>
    <w:p>
      <w:pPr>
        <w:spacing w:before="240" w:after="40"/>
      </w:pPr>
      <w:r>
        <w:rPr>
          <w:b/>
          <w:color w:val="007078"/>
          <w:sz w:val="26"/>
        </w:rPr>
        <w:t>7.1  Methods Compared</w:t>
      </w:r>
    </w:p>
    <w:tbl>
      <w:tblPr>
        <w:tblStyle w:val="TableGrid"/>
        <w:tblW w:type="auto" w:w="0"/>
        <w:tblLook w:firstColumn="1" w:firstRow="1" w:lastColumn="0" w:lastRow="0" w:noHBand="0" w:noVBand="1" w:val="04A0"/>
      </w:tblPr>
      <w:tblGrid>
        <w:gridCol w:w="3041"/>
        <w:gridCol w:w="3041"/>
        <w:gridCol w:w="3041"/>
      </w:tblGrid>
      <w:tr>
        <w:tc>
          <w:tcPr>
            <w:tcW w:type="dxa" w:w="2304"/>
            <w:shd w:val="clear" w:color="auto" w:fill="1F497D"/>
          </w:tcPr>
          <w:p>
            <w:r>
              <w:rPr>
                <w:b/>
                <w:color w:val="FFFFFF"/>
                <w:sz w:val="20"/>
              </w:rPr>
              <w:t>Method</w:t>
            </w:r>
          </w:p>
        </w:tc>
        <w:tc>
          <w:tcPr>
            <w:tcW w:type="dxa" w:w="1296"/>
            <w:shd w:val="clear" w:color="auto" w:fill="1F497D"/>
          </w:tcPr>
          <w:p>
            <w:r>
              <w:rPr>
                <w:b/>
                <w:color w:val="FFFFFF"/>
                <w:sz w:val="20"/>
              </w:rPr>
              <w:t>Type</w:t>
            </w:r>
          </w:p>
        </w:tc>
        <w:tc>
          <w:tcPr>
            <w:tcW w:type="dxa" w:w="5616"/>
            <w:shd w:val="clear" w:color="auto" w:fill="1F497D"/>
          </w:tcPr>
          <w:p>
            <w:r>
              <w:rPr>
                <w:b/>
                <w:color w:val="FFFFFF"/>
                <w:sz w:val="20"/>
              </w:rPr>
              <w:t>Description</w:t>
            </w:r>
          </w:p>
        </w:tc>
      </w:tr>
      <w:tr>
        <w:tc>
          <w:tcPr>
            <w:tcW w:type="dxa" w:w="2304"/>
            <w:shd w:val="clear" w:color="auto" w:fill="F2F7FF"/>
          </w:tcPr>
          <w:p>
            <w:r>
              <w:rPr>
                <w:color w:val="595959"/>
                <w:sz w:val="20"/>
              </w:rPr>
              <w:t>Random</w:t>
            </w:r>
          </w:p>
        </w:tc>
        <w:tc>
          <w:tcPr>
            <w:tcW w:type="dxa" w:w="1296"/>
            <w:shd w:val="clear" w:color="auto" w:fill="F2F7FF"/>
          </w:tcPr>
          <w:p>
            <w:r>
              <w:rPr>
                <w:color w:val="595959"/>
                <w:sz w:val="20"/>
              </w:rPr>
              <w:t>Drug</w:t>
            </w:r>
          </w:p>
        </w:tc>
        <w:tc>
          <w:tcPr>
            <w:tcW w:type="dxa" w:w="5616"/>
            <w:shd w:val="clear" w:color="auto" w:fill="F2F7FF"/>
          </w:tcPr>
          <w:p>
            <w:r>
              <w:rPr>
                <w:color w:val="595959"/>
                <w:sz w:val="20"/>
              </w:rPr>
              <w:t>Uniform random scores per atom (null hypothesis)</w:t>
            </w:r>
          </w:p>
        </w:tc>
      </w:tr>
      <w:tr>
        <w:tc>
          <w:tcPr>
            <w:tcW w:type="dxa" w:w="2304"/>
            <w:shd w:val="clear" w:color="auto" w:fill="FFFFFF"/>
          </w:tcPr>
          <w:p>
            <w:r>
              <w:rPr>
                <w:color w:val="595959"/>
                <w:sz w:val="20"/>
              </w:rPr>
              <w:t>Input Gradient</w:t>
            </w:r>
          </w:p>
        </w:tc>
        <w:tc>
          <w:tcPr>
            <w:tcW w:type="dxa" w:w="1296"/>
            <w:shd w:val="clear" w:color="auto" w:fill="FFFFFF"/>
          </w:tcPr>
          <w:p>
            <w:r>
              <w:rPr>
                <w:color w:val="595959"/>
                <w:sz w:val="20"/>
              </w:rPr>
              <w:t>Drug</w:t>
            </w:r>
          </w:p>
        </w:tc>
        <w:tc>
          <w:tcPr>
            <w:tcW w:type="dxa" w:w="5616"/>
            <w:shd w:val="clear" w:color="auto" w:fill="FFFFFF"/>
          </w:tcPr>
          <w:p>
            <w:r>
              <w:rPr>
                <w:color w:val="595959"/>
                <w:sz w:val="20"/>
              </w:rPr>
              <w:t>||grad_x||_2 per atom from Phase 1 extraction</w:t>
            </w:r>
          </w:p>
        </w:tc>
      </w:tr>
      <w:tr>
        <w:tc>
          <w:tcPr>
            <w:tcW w:type="dxa" w:w="2304"/>
            <w:shd w:val="clear" w:color="auto" w:fill="F2F7FF"/>
          </w:tcPr>
          <w:p>
            <w:r>
              <w:rPr>
                <w:color w:val="595959"/>
                <w:sz w:val="20"/>
              </w:rPr>
              <w:t>Graph Grad-CAM</w:t>
            </w:r>
          </w:p>
        </w:tc>
        <w:tc>
          <w:tcPr>
            <w:tcW w:type="dxa" w:w="1296"/>
            <w:shd w:val="clear" w:color="auto" w:fill="F2F7FF"/>
          </w:tcPr>
          <w:p>
            <w:r>
              <w:rPr>
                <w:color w:val="595959"/>
                <w:sz w:val="20"/>
              </w:rPr>
              <w:t>Drug</w:t>
            </w:r>
          </w:p>
        </w:tc>
        <w:tc>
          <w:tcPr>
            <w:tcW w:type="dxa" w:w="5616"/>
            <w:shd w:val="clear" w:color="auto" w:fill="F2F7FF"/>
          </w:tcPr>
          <w:p>
            <w:r>
              <w:rPr>
                <w:color w:val="595959"/>
                <w:sz w:val="20"/>
              </w:rPr>
              <w:t>ReLU(mean_c(grad * h)) on last GAT block from Phase 2</w:t>
            </w:r>
          </w:p>
        </w:tc>
      </w:tr>
      <w:tr>
        <w:tc>
          <w:tcPr>
            <w:tcW w:type="dxa" w:w="2304"/>
            <w:shd w:val="clear" w:color="auto" w:fill="FFFFFF"/>
          </w:tcPr>
          <w:p>
            <w:r>
              <w:rPr>
                <w:color w:val="595959"/>
                <w:sz w:val="20"/>
              </w:rPr>
              <w:t>Ensemble</w:t>
            </w:r>
          </w:p>
        </w:tc>
        <w:tc>
          <w:tcPr>
            <w:tcW w:type="dxa" w:w="1296"/>
            <w:shd w:val="clear" w:color="auto" w:fill="FFFFFF"/>
          </w:tcPr>
          <w:p>
            <w:r>
              <w:rPr>
                <w:color w:val="595959"/>
                <w:sz w:val="20"/>
              </w:rPr>
              <w:t>Drug</w:t>
            </w:r>
          </w:p>
        </w:tc>
        <w:tc>
          <w:tcPr>
            <w:tcW w:type="dxa" w:w="5616"/>
            <w:shd w:val="clear" w:color="auto" w:fill="FFFFFF"/>
          </w:tcPr>
          <w:p>
            <w:r>
              <w:rPr>
                <w:color w:val="595959"/>
                <w:sz w:val="20"/>
              </w:rPr>
              <w:t>0.5 × Input Gradient + 0.5 × Grad-CAM (Phase 3 output)</w:t>
            </w:r>
          </w:p>
        </w:tc>
      </w:tr>
      <w:tr>
        <w:tc>
          <w:tcPr>
            <w:tcW w:type="dxa" w:w="2304"/>
            <w:shd w:val="clear" w:color="auto" w:fill="F2F7FF"/>
          </w:tcPr>
          <w:p>
            <w:r>
              <w:rPr>
                <w:color w:val="595959"/>
                <w:sz w:val="20"/>
              </w:rPr>
              <w:t>Random</w:t>
            </w:r>
          </w:p>
        </w:tc>
        <w:tc>
          <w:tcPr>
            <w:tcW w:type="dxa" w:w="1296"/>
            <w:shd w:val="clear" w:color="auto" w:fill="F2F7FF"/>
          </w:tcPr>
          <w:p>
            <w:r>
              <w:rPr>
                <w:color w:val="595959"/>
                <w:sz w:val="20"/>
              </w:rPr>
              <w:t>Protein</w:t>
            </w:r>
          </w:p>
        </w:tc>
        <w:tc>
          <w:tcPr>
            <w:tcW w:type="dxa" w:w="5616"/>
            <w:shd w:val="clear" w:color="auto" w:fill="F2F7FF"/>
          </w:tcPr>
          <w:p>
            <w:r>
              <w:rPr>
                <w:color w:val="595959"/>
                <w:sz w:val="20"/>
              </w:rPr>
              <w:t>Uniform random scores per residue (null hypothesis)</w:t>
            </w:r>
          </w:p>
        </w:tc>
      </w:tr>
      <w:tr>
        <w:tc>
          <w:tcPr>
            <w:tcW w:type="dxa" w:w="2304"/>
            <w:shd w:val="clear" w:color="auto" w:fill="FFFFFF"/>
          </w:tcPr>
          <w:p>
            <w:r>
              <w:rPr>
                <w:color w:val="595959"/>
                <w:sz w:val="20"/>
              </w:rPr>
              <w:t>AttentionPool</w:t>
            </w:r>
          </w:p>
        </w:tc>
        <w:tc>
          <w:tcPr>
            <w:tcW w:type="dxa" w:w="1296"/>
            <w:shd w:val="clear" w:color="auto" w:fill="FFFFFF"/>
          </w:tcPr>
          <w:p>
            <w:r>
              <w:rPr>
                <w:color w:val="595959"/>
                <w:sz w:val="20"/>
              </w:rPr>
              <w:t>Protein</w:t>
            </w:r>
          </w:p>
        </w:tc>
        <w:tc>
          <w:tcPr>
            <w:tcW w:type="dxa" w:w="5616"/>
            <w:shd w:val="clear" w:color="auto" w:fill="FFFFFF"/>
          </w:tcPr>
          <w:p>
            <w:r>
              <w:rPr>
                <w:color w:val="595959"/>
                <w:sz w:val="20"/>
              </w:rPr>
              <w:t>Softmax weights from ProteinEncoder AttentionPooling layer</w:t>
            </w:r>
          </w:p>
        </w:tc>
      </w:tr>
      <w:tr>
        <w:tc>
          <w:tcPr>
            <w:tcW w:type="dxa" w:w="2304"/>
            <w:shd w:val="clear" w:color="auto" w:fill="F2F7FF"/>
          </w:tcPr>
          <w:p>
            <w:r>
              <w:rPr>
                <w:color w:val="595959"/>
                <w:sz w:val="20"/>
              </w:rPr>
              <w:t>Protein Grad-CAM</w:t>
            </w:r>
          </w:p>
        </w:tc>
        <w:tc>
          <w:tcPr>
            <w:tcW w:type="dxa" w:w="1296"/>
            <w:shd w:val="clear" w:color="auto" w:fill="F2F7FF"/>
          </w:tcPr>
          <w:p>
            <w:r>
              <w:rPr>
                <w:color w:val="595959"/>
                <w:sz w:val="20"/>
              </w:rPr>
              <w:t>Protein</w:t>
            </w:r>
          </w:p>
        </w:tc>
        <w:tc>
          <w:tcPr>
            <w:tcW w:type="dxa" w:w="5616"/>
            <w:shd w:val="clear" w:color="auto" w:fill="F2F7FF"/>
          </w:tcPr>
          <w:p>
            <w:r>
              <w:rPr>
                <w:color w:val="595959"/>
                <w:sz w:val="20"/>
              </w:rPr>
              <w:t>Grad-CAM on BiGRU hidden states (Phase 2)</w:t>
            </w:r>
          </w:p>
        </w:tc>
      </w:tr>
      <w:tr>
        <w:tc>
          <w:tcPr>
            <w:tcW w:type="dxa" w:w="2304"/>
            <w:shd w:val="clear" w:color="auto" w:fill="FFFFFF"/>
          </w:tcPr>
          <w:p>
            <w:r>
              <w:rPr>
                <w:color w:val="595959"/>
                <w:sz w:val="20"/>
              </w:rPr>
              <w:t>Ensemble</w:t>
            </w:r>
          </w:p>
        </w:tc>
        <w:tc>
          <w:tcPr>
            <w:tcW w:type="dxa" w:w="1296"/>
            <w:shd w:val="clear" w:color="auto" w:fill="FFFFFF"/>
          </w:tcPr>
          <w:p>
            <w:r>
              <w:rPr>
                <w:color w:val="595959"/>
                <w:sz w:val="20"/>
              </w:rPr>
              <w:t>Protein</w:t>
            </w:r>
          </w:p>
        </w:tc>
        <w:tc>
          <w:tcPr>
            <w:tcW w:type="dxa" w:w="5616"/>
            <w:shd w:val="clear" w:color="auto" w:fill="FFFFFF"/>
          </w:tcPr>
          <w:p>
            <w:r>
              <w:rPr>
                <w:color w:val="595959"/>
                <w:sz w:val="20"/>
              </w:rPr>
              <w:t>0.5 × AttentionPool + 0.5 × Protein Grad-CAM</w:t>
            </w:r>
          </w:p>
        </w:tc>
      </w:tr>
    </w:tbl>
    <w:p/>
    <w:p>
      <w:pPr>
        <w:spacing w:before="240" w:after="40"/>
      </w:pPr>
      <w:r>
        <w:rPr>
          <w:b/>
          <w:color w:val="007078"/>
          <w:sz w:val="26"/>
        </w:rPr>
        <w:t>7.2  Drug Attribution Comparison (DB00150/P19838, prob=0.869)</w:t>
      </w:r>
    </w:p>
    <w:p>
      <w:pPr>
        <w:spacing w:before="40" w:after="80"/>
      </w:pPr>
      <w:r>
        <w:rPr>
          <w:color w:val="595959"/>
          <w:sz w:val="22"/>
        </w:rPr>
        <w:t>All methods are evaluated on faithfulness AUC and pharmacophore mean average precision. Drug batch is loaded from preprocessed graphs (with ChemBERTa embedding attached) to ensure the same encoder path as training.</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448"/>
            <w:shd w:val="clear" w:color="auto" w:fill="1F497D"/>
          </w:tcPr>
          <w:p>
            <w:r>
              <w:rPr>
                <w:b/>
                <w:color w:val="FFFFFF"/>
                <w:sz w:val="20"/>
              </w:rPr>
              <w:t>Method</w:t>
            </w:r>
          </w:p>
        </w:tc>
        <w:tc>
          <w:tcPr>
            <w:tcW w:type="dxa" w:w="2160"/>
            <w:shd w:val="clear" w:color="auto" w:fill="1F497D"/>
          </w:tcPr>
          <w:p>
            <w:r>
              <w:rPr>
                <w:b/>
                <w:color w:val="FFFFFF"/>
                <w:sz w:val="20"/>
              </w:rPr>
              <w:t>Faithfulness AUC</w:t>
            </w:r>
          </w:p>
        </w:tc>
        <w:tc>
          <w:tcPr>
            <w:tcW w:type="dxa" w:w="1728"/>
            <w:shd w:val="clear" w:color="auto" w:fill="1F497D"/>
          </w:tcPr>
          <w:p>
            <w:r>
              <w:rPr>
                <w:b/>
                <w:color w:val="FFFFFF"/>
                <w:sz w:val="20"/>
              </w:rPr>
              <w:t>Random AUC</w:t>
            </w:r>
          </w:p>
        </w:tc>
        <w:tc>
          <w:tcPr>
            <w:tcW w:type="dxa" w:w="1728"/>
            <w:shd w:val="clear" w:color="auto" w:fill="1F497D"/>
          </w:tcPr>
          <w:p>
            <w:r>
              <w:rPr>
                <w:b/>
                <w:color w:val="FFFFFF"/>
                <w:sz w:val="20"/>
              </w:rPr>
              <w:t>Advantage</w:t>
            </w:r>
          </w:p>
        </w:tc>
        <w:tc>
          <w:tcPr>
            <w:tcW w:type="dxa" w:w="1440"/>
            <w:shd w:val="clear" w:color="auto" w:fill="1F497D"/>
          </w:tcPr>
          <w:p>
            <w:r>
              <w:rPr>
                <w:b/>
                <w:color w:val="FFFFFF"/>
                <w:sz w:val="20"/>
              </w:rPr>
              <w:t>PharmAP</w:t>
            </w:r>
          </w:p>
        </w:tc>
      </w:tr>
      <w:tr>
        <w:tc>
          <w:tcPr>
            <w:tcW w:type="dxa" w:w="2448"/>
            <w:shd w:val="clear" w:color="auto" w:fill="F2F7FF"/>
          </w:tcPr>
          <w:p>
            <w:r>
              <w:rPr>
                <w:color w:val="595959"/>
                <w:sz w:val="20"/>
              </w:rPr>
              <w:t>Random</w:t>
            </w:r>
          </w:p>
        </w:tc>
        <w:tc>
          <w:tcPr>
            <w:tcW w:type="dxa" w:w="2160"/>
            <w:shd w:val="clear" w:color="auto" w:fill="F2F7FF"/>
          </w:tcPr>
          <w:p>
            <w:r>
              <w:rPr>
                <w:color w:val="595959"/>
                <w:sz w:val="20"/>
              </w:rPr>
              <w:t>+0.169</w:t>
            </w:r>
          </w:p>
        </w:tc>
        <w:tc>
          <w:tcPr>
            <w:tcW w:type="dxa" w:w="1728"/>
            <w:shd w:val="clear" w:color="auto" w:fill="F2F7FF"/>
          </w:tcPr>
          <w:p>
            <w:r>
              <w:rPr>
                <w:color w:val="595959"/>
                <w:sz w:val="20"/>
              </w:rPr>
              <w:t>+0.149</w:t>
            </w:r>
          </w:p>
        </w:tc>
        <w:tc>
          <w:tcPr>
            <w:tcW w:type="dxa" w:w="1728"/>
            <w:shd w:val="clear" w:color="auto" w:fill="F2F7FF"/>
          </w:tcPr>
          <w:p>
            <w:r>
              <w:rPr>
                <w:color w:val="595959"/>
                <w:sz w:val="20"/>
              </w:rPr>
              <w:t>+0.020</w:t>
            </w:r>
          </w:p>
        </w:tc>
        <w:tc>
          <w:tcPr>
            <w:tcW w:type="dxa" w:w="1440"/>
            <w:shd w:val="clear" w:color="auto" w:fill="F2F7FF"/>
          </w:tcPr>
          <w:p>
            <w:r>
              <w:rPr>
                <w:color w:val="595959"/>
                <w:sz w:val="20"/>
              </w:rPr>
              <w:t>0.583</w:t>
            </w:r>
          </w:p>
        </w:tc>
      </w:tr>
      <w:tr>
        <w:tc>
          <w:tcPr>
            <w:tcW w:type="dxa" w:w="2448"/>
            <w:shd w:val="clear" w:color="auto" w:fill="FFFFFF"/>
          </w:tcPr>
          <w:p>
            <w:r>
              <w:rPr>
                <w:color w:val="595959"/>
                <w:sz w:val="20"/>
              </w:rPr>
              <w:t>Input Gradient</w:t>
            </w:r>
          </w:p>
        </w:tc>
        <w:tc>
          <w:tcPr>
            <w:tcW w:type="dxa" w:w="2160"/>
            <w:shd w:val="clear" w:color="auto" w:fill="FFFFFF"/>
          </w:tcPr>
          <w:p>
            <w:r>
              <w:rPr>
                <w:color w:val="595959"/>
                <w:sz w:val="20"/>
              </w:rPr>
              <w:t>+0.226</w:t>
            </w:r>
          </w:p>
        </w:tc>
        <w:tc>
          <w:tcPr>
            <w:tcW w:type="dxa" w:w="1728"/>
            <w:shd w:val="clear" w:color="auto" w:fill="FFFFFF"/>
          </w:tcPr>
          <w:p>
            <w:r>
              <w:rPr>
                <w:color w:val="595959"/>
                <w:sz w:val="20"/>
              </w:rPr>
              <w:t>+0.149</w:t>
            </w:r>
          </w:p>
        </w:tc>
        <w:tc>
          <w:tcPr>
            <w:tcW w:type="dxa" w:w="1728"/>
            <w:shd w:val="clear" w:color="auto" w:fill="FFFFFF"/>
          </w:tcPr>
          <w:p>
            <w:r>
              <w:rPr>
                <w:color w:val="595959"/>
                <w:sz w:val="20"/>
              </w:rPr>
              <w:t>+0.077</w:t>
            </w:r>
          </w:p>
        </w:tc>
        <w:tc>
          <w:tcPr>
            <w:tcW w:type="dxa" w:w="1440"/>
            <w:shd w:val="clear" w:color="auto" w:fill="FFFFFF"/>
          </w:tcPr>
          <w:p>
            <w:r>
              <w:rPr>
                <w:color w:val="595959"/>
                <w:sz w:val="20"/>
              </w:rPr>
              <w:t>0.327</w:t>
            </w:r>
          </w:p>
        </w:tc>
      </w:tr>
      <w:tr>
        <w:tc>
          <w:tcPr>
            <w:tcW w:type="dxa" w:w="2448"/>
            <w:shd w:val="clear" w:color="auto" w:fill="F2F7FF"/>
          </w:tcPr>
          <w:p>
            <w:r>
              <w:rPr>
                <w:color w:val="595959"/>
                <w:sz w:val="20"/>
              </w:rPr>
              <w:t>Graph Grad-CAM</w:t>
            </w:r>
          </w:p>
        </w:tc>
        <w:tc>
          <w:tcPr>
            <w:tcW w:type="dxa" w:w="2160"/>
            <w:shd w:val="clear" w:color="auto" w:fill="F2F7FF"/>
          </w:tcPr>
          <w:p>
            <w:r>
              <w:rPr>
                <w:color w:val="595959"/>
                <w:sz w:val="20"/>
              </w:rPr>
              <w:t>+0.157</w:t>
            </w:r>
          </w:p>
        </w:tc>
        <w:tc>
          <w:tcPr>
            <w:tcW w:type="dxa" w:w="1728"/>
            <w:shd w:val="clear" w:color="auto" w:fill="F2F7FF"/>
          </w:tcPr>
          <w:p>
            <w:r>
              <w:rPr>
                <w:color w:val="595959"/>
                <w:sz w:val="20"/>
              </w:rPr>
              <w:t>+0.149</w:t>
            </w:r>
          </w:p>
        </w:tc>
        <w:tc>
          <w:tcPr>
            <w:tcW w:type="dxa" w:w="1728"/>
            <w:shd w:val="clear" w:color="auto" w:fill="F2F7FF"/>
          </w:tcPr>
          <w:p>
            <w:r>
              <w:rPr>
                <w:color w:val="595959"/>
                <w:sz w:val="20"/>
              </w:rPr>
              <w:t>+0.008</w:t>
            </w:r>
          </w:p>
        </w:tc>
        <w:tc>
          <w:tcPr>
            <w:tcW w:type="dxa" w:w="1440"/>
            <w:shd w:val="clear" w:color="auto" w:fill="F2F7FF"/>
          </w:tcPr>
          <w:p>
            <w:r>
              <w:rPr>
                <w:color w:val="595959"/>
                <w:sz w:val="20"/>
              </w:rPr>
              <w:t>0.458</w:t>
            </w:r>
          </w:p>
        </w:tc>
      </w:tr>
      <w:tr>
        <w:tc>
          <w:tcPr>
            <w:tcW w:type="dxa" w:w="2448"/>
            <w:shd w:val="clear" w:color="auto" w:fill="FFFFFF"/>
          </w:tcPr>
          <w:p>
            <w:r>
              <w:rPr>
                <w:color w:val="595959"/>
                <w:sz w:val="20"/>
              </w:rPr>
              <w:t>Ensemble (BEST)</w:t>
            </w:r>
          </w:p>
        </w:tc>
        <w:tc>
          <w:tcPr>
            <w:tcW w:type="dxa" w:w="2160"/>
            <w:shd w:val="clear" w:color="auto" w:fill="FFFFFF"/>
          </w:tcPr>
          <w:p>
            <w:r>
              <w:rPr>
                <w:color w:val="595959"/>
                <w:sz w:val="20"/>
              </w:rPr>
              <w:t>+0.255</w:t>
            </w:r>
          </w:p>
        </w:tc>
        <w:tc>
          <w:tcPr>
            <w:tcW w:type="dxa" w:w="1728"/>
            <w:shd w:val="clear" w:color="auto" w:fill="FFFFFF"/>
          </w:tcPr>
          <w:p>
            <w:r>
              <w:rPr>
                <w:color w:val="595959"/>
                <w:sz w:val="20"/>
              </w:rPr>
              <w:t>+0.149</w:t>
            </w:r>
          </w:p>
        </w:tc>
        <w:tc>
          <w:tcPr>
            <w:tcW w:type="dxa" w:w="1728"/>
            <w:shd w:val="clear" w:color="auto" w:fill="FFFFFF"/>
          </w:tcPr>
          <w:p>
            <w:r>
              <w:rPr>
                <w:color w:val="595959"/>
                <w:sz w:val="20"/>
              </w:rPr>
              <w:t>+0.106 ★</w:t>
            </w:r>
          </w:p>
        </w:tc>
        <w:tc>
          <w:tcPr>
            <w:tcW w:type="dxa" w:w="1440"/>
            <w:shd w:val="clear" w:color="auto" w:fill="FFFFFF"/>
          </w:tcPr>
          <w:p>
            <w:r>
              <w:rPr>
                <w:color w:val="595959"/>
                <w:sz w:val="20"/>
              </w:rPr>
              <w:t>0.423</w:t>
            </w:r>
          </w:p>
        </w:tc>
      </w:tr>
    </w:tbl>
    <w:p/>
    <w:p>
      <w:pPr>
        <w:spacing w:before="40" w:after="80"/>
      </w:pPr>
      <w:r>
        <w:rPr>
          <w:color w:val="595959"/>
          <w:sz w:val="22"/>
        </w:rPr>
        <w:t>All four methods pass faithfulness (★ = best). Spearman rank correlations:</w:t>
      </w:r>
    </w:p>
    <w:tbl>
      <w:tblPr>
        <w:tblStyle w:val="TableGrid"/>
        <w:tblW w:type="auto" w:w="0"/>
        <w:tblLook w:firstColumn="1" w:firstRow="1" w:lastColumn="0" w:lastRow="0" w:noHBand="0" w:noVBand="1" w:val="04A0"/>
      </w:tblPr>
      <w:tblGrid>
        <w:gridCol w:w="3041"/>
        <w:gridCol w:w="3041"/>
        <w:gridCol w:w="3041"/>
      </w:tblGrid>
      <w:tr>
        <w:tc>
          <w:tcPr>
            <w:tcW w:type="dxa" w:w="3168"/>
            <w:shd w:val="clear" w:color="auto" w:fill="1F497D"/>
          </w:tcPr>
          <w:p>
            <w:r>
              <w:rPr>
                <w:b/>
                <w:color w:val="FFFFFF"/>
                <w:sz w:val="20"/>
              </w:rPr>
              <w:t>Method pair</w:t>
            </w:r>
          </w:p>
        </w:tc>
        <w:tc>
          <w:tcPr>
            <w:tcW w:type="dxa" w:w="2016"/>
            <w:shd w:val="clear" w:color="auto" w:fill="1F497D"/>
          </w:tcPr>
          <w:p>
            <w:r>
              <w:rPr>
                <w:b/>
                <w:color w:val="FFFFFF"/>
                <w:sz w:val="20"/>
              </w:rPr>
              <w:t>Spearman rho</w:t>
            </w:r>
          </w:p>
        </w:tc>
        <w:tc>
          <w:tcPr>
            <w:tcW w:type="dxa" w:w="4032"/>
            <w:shd w:val="clear" w:color="auto" w:fill="1F497D"/>
          </w:tcPr>
          <w:p>
            <w:r>
              <w:rPr>
                <w:b/>
                <w:color w:val="FFFFFF"/>
                <w:sz w:val="20"/>
              </w:rPr>
              <w:t>Interpretation</w:t>
            </w:r>
          </w:p>
        </w:tc>
      </w:tr>
      <w:tr>
        <w:tc>
          <w:tcPr>
            <w:tcW w:type="dxa" w:w="3168"/>
            <w:shd w:val="clear" w:color="auto" w:fill="F2F7FF"/>
          </w:tcPr>
          <w:p>
            <w:r>
              <w:rPr>
                <w:color w:val="595959"/>
                <w:sz w:val="20"/>
              </w:rPr>
              <w:t>Ensemble vs. Input Gradient</w:t>
            </w:r>
          </w:p>
        </w:tc>
        <w:tc>
          <w:tcPr>
            <w:tcW w:type="dxa" w:w="2016"/>
            <w:shd w:val="clear" w:color="auto" w:fill="F2F7FF"/>
          </w:tcPr>
          <w:p>
            <w:r>
              <w:rPr>
                <w:color w:val="595959"/>
                <w:sz w:val="20"/>
              </w:rPr>
              <w:t>0.564</w:t>
            </w:r>
          </w:p>
        </w:tc>
        <w:tc>
          <w:tcPr>
            <w:tcW w:type="dxa" w:w="4032"/>
            <w:shd w:val="clear" w:color="auto" w:fill="F2F7FF"/>
          </w:tcPr>
          <w:p>
            <w:r>
              <w:rPr>
                <w:color w:val="595959"/>
                <w:sz w:val="20"/>
              </w:rPr>
              <w:t>Moderate correlation — ensemble is not dominated by one signal</w:t>
            </w:r>
          </w:p>
        </w:tc>
      </w:tr>
      <w:tr>
        <w:tc>
          <w:tcPr>
            <w:tcW w:type="dxa" w:w="3168"/>
            <w:shd w:val="clear" w:color="auto" w:fill="FFFFFF"/>
          </w:tcPr>
          <w:p>
            <w:r>
              <w:rPr>
                <w:color w:val="595959"/>
                <w:sz w:val="20"/>
              </w:rPr>
              <w:t>Ensemble vs. Grad-CAM</w:t>
            </w:r>
          </w:p>
        </w:tc>
        <w:tc>
          <w:tcPr>
            <w:tcW w:type="dxa" w:w="2016"/>
            <w:shd w:val="clear" w:color="auto" w:fill="FFFFFF"/>
          </w:tcPr>
          <w:p>
            <w:r>
              <w:rPr>
                <w:color w:val="595959"/>
                <w:sz w:val="20"/>
              </w:rPr>
              <w:t>0.622</w:t>
            </w:r>
          </w:p>
        </w:tc>
        <w:tc>
          <w:tcPr>
            <w:tcW w:type="dxa" w:w="4032"/>
            <w:shd w:val="clear" w:color="auto" w:fill="FFFFFF"/>
          </w:tcPr>
          <w:p>
            <w:r>
              <w:rPr>
                <w:color w:val="595959"/>
                <w:sz w:val="20"/>
              </w:rPr>
              <w:t>Moderate — both inform the ensemble</w:t>
            </w:r>
          </w:p>
        </w:tc>
      </w:tr>
      <w:tr>
        <w:tc>
          <w:tcPr>
            <w:tcW w:type="dxa" w:w="3168"/>
            <w:shd w:val="clear" w:color="auto" w:fill="F2F7FF"/>
          </w:tcPr>
          <w:p>
            <w:r>
              <w:rPr>
                <w:color w:val="595959"/>
                <w:sz w:val="20"/>
              </w:rPr>
              <w:t>Grad-CAM vs. Input Gradient</w:t>
            </w:r>
          </w:p>
        </w:tc>
        <w:tc>
          <w:tcPr>
            <w:tcW w:type="dxa" w:w="2016"/>
            <w:shd w:val="clear" w:color="auto" w:fill="F2F7FF"/>
          </w:tcPr>
          <w:p>
            <w:r>
              <w:rPr>
                <w:color w:val="595959"/>
                <w:sz w:val="20"/>
              </w:rPr>
              <w:t>−0.138</w:t>
            </w:r>
          </w:p>
        </w:tc>
        <w:tc>
          <w:tcPr>
            <w:tcW w:type="dxa" w:w="4032"/>
            <w:shd w:val="clear" w:color="auto" w:fill="F2F7FF"/>
          </w:tcPr>
          <w:p>
            <w:r>
              <w:rPr>
                <w:color w:val="595959"/>
                <w:sz w:val="20"/>
              </w:rPr>
              <w:t>Slightly anti-correlated — complementary signals</w:t>
            </w:r>
          </w:p>
        </w:tc>
      </w:tr>
    </w:tbl>
    <w:p/>
    <w:p>
      <w:pPr>
        <w:spacing w:before="120" w:after="120"/>
        <w:ind w:left="567"/>
        <w:pBdr>
          <w:left w:val="single" w:sz="12" w:space="6" w:color="6A0DAD"/>
        </w:pBdr>
      </w:pPr>
      <w:r>
        <w:rPr>
          <w:i/>
          <w:color w:val="595959"/>
          <w:sz w:val="21"/>
        </w:rPr>
        <w:t>The negative Spearman rho between Grad-CAM and Input Gradient (-0.138) is the key finding: they highlight structurally different atoms. Input Gradient selects the most polar atoms (NH2 group, COOH) — atoms whose features most directly influence the prediction through the input layer. Grad-CAM selects atoms whose last-layer activations are gradient-weighted — capturing ring connectivity and steric interactions. The ensemble captures both perspectives, explaining its superior faithfulness (+0.106 vs. +0.077 for Input Gradient alone).</w:t>
      </w:r>
    </w:p>
    <w:p>
      <w:pPr>
        <w:spacing w:before="240" w:after="40"/>
      </w:pPr>
      <w:r>
        <w:rPr>
          <w:b/>
          <w:color w:val="007078"/>
          <w:sz w:val="26"/>
        </w:rPr>
        <w:t>7.3  Protein Attribution Comparison (DHFR/P00374, prob=0.328)</w:t>
      </w:r>
    </w:p>
    <w:p>
      <w:pPr>
        <w:spacing w:before="40" w:after="80"/>
      </w:pPr>
      <w:r>
        <w:rPr>
          <w:color w:val="595959"/>
          <w:sz w:val="22"/>
        </w:rPr>
        <w:t>Protein attributions are evaluated against the PDB-confirmed binding site. Pre-computed Phase 5 attributions (187-residue protein) are used.</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592"/>
            <w:shd w:val="clear" w:color="auto" w:fill="1F497D"/>
          </w:tcPr>
          <w:p>
            <w:r>
              <w:rPr>
                <w:b/>
                <w:color w:val="FFFFFF"/>
                <w:sz w:val="20"/>
              </w:rPr>
              <w:t>Method</w:t>
            </w:r>
          </w:p>
        </w:tc>
        <w:tc>
          <w:tcPr>
            <w:tcW w:type="dxa" w:w="1440"/>
            <w:shd w:val="clear" w:color="auto" w:fill="1F497D"/>
          </w:tcPr>
          <w:p>
            <w:r>
              <w:rPr>
                <w:b/>
                <w:color w:val="FFFFFF"/>
                <w:sz w:val="20"/>
              </w:rPr>
              <w:t>AUROC</w:t>
            </w:r>
          </w:p>
        </w:tc>
        <w:tc>
          <w:tcPr>
            <w:tcW w:type="dxa" w:w="2016"/>
            <w:shd w:val="clear" w:color="auto" w:fill="1F497D"/>
          </w:tcPr>
          <w:p>
            <w:r>
              <w:rPr>
                <w:b/>
                <w:color w:val="FFFFFF"/>
                <w:sz w:val="20"/>
              </w:rPr>
              <w:t>P@10% (19 res)</w:t>
            </w:r>
          </w:p>
        </w:tc>
        <w:tc>
          <w:tcPr>
            <w:tcW w:type="dxa" w:w="2016"/>
            <w:shd w:val="clear" w:color="auto" w:fill="1F497D"/>
          </w:tcPr>
          <w:p>
            <w:r>
              <w:rPr>
                <w:b/>
                <w:color w:val="FFFFFF"/>
                <w:sz w:val="20"/>
              </w:rPr>
              <w:t>P@20% (37 res)</w:t>
            </w:r>
          </w:p>
        </w:tc>
        <w:tc>
          <w:tcPr>
            <w:tcW w:type="dxa" w:w="1296"/>
            <w:shd w:val="clear" w:color="auto" w:fill="1F497D"/>
          </w:tcPr>
          <w:p>
            <w:r>
              <w:rPr>
                <w:b/>
                <w:color w:val="FFFFFF"/>
                <w:sz w:val="20"/>
              </w:rPr>
              <w:t>R@20%</w:t>
            </w:r>
          </w:p>
        </w:tc>
      </w:tr>
      <w:tr>
        <w:tc>
          <w:tcPr>
            <w:tcW w:type="dxa" w:w="2592"/>
            <w:shd w:val="clear" w:color="auto" w:fill="F2F7FF"/>
          </w:tcPr>
          <w:p>
            <w:r>
              <w:rPr>
                <w:color w:val="595959"/>
                <w:sz w:val="20"/>
              </w:rPr>
              <w:t>Random</w:t>
            </w:r>
          </w:p>
        </w:tc>
        <w:tc>
          <w:tcPr>
            <w:tcW w:type="dxa" w:w="1440"/>
            <w:shd w:val="clear" w:color="auto" w:fill="F2F7FF"/>
          </w:tcPr>
          <w:p>
            <w:r>
              <w:rPr>
                <w:color w:val="595959"/>
                <w:sz w:val="20"/>
              </w:rPr>
              <w:t>0.528</w:t>
            </w:r>
          </w:p>
        </w:tc>
        <w:tc>
          <w:tcPr>
            <w:tcW w:type="dxa" w:w="2016"/>
            <w:shd w:val="clear" w:color="auto" w:fill="F2F7FF"/>
          </w:tcPr>
          <w:p>
            <w:r>
              <w:rPr>
                <w:color w:val="595959"/>
                <w:sz w:val="20"/>
              </w:rPr>
              <w:t>0.211</w:t>
            </w:r>
          </w:p>
        </w:tc>
        <w:tc>
          <w:tcPr>
            <w:tcW w:type="dxa" w:w="2016"/>
            <w:shd w:val="clear" w:color="auto" w:fill="F2F7FF"/>
          </w:tcPr>
          <w:p>
            <w:r>
              <w:rPr>
                <w:color w:val="595959"/>
                <w:sz w:val="20"/>
              </w:rPr>
              <w:t>0.162</w:t>
            </w:r>
          </w:p>
        </w:tc>
        <w:tc>
          <w:tcPr>
            <w:tcW w:type="dxa" w:w="1296"/>
            <w:shd w:val="clear" w:color="auto" w:fill="F2F7FF"/>
          </w:tcPr>
          <w:p>
            <w:r>
              <w:rPr>
                <w:color w:val="595959"/>
                <w:sz w:val="20"/>
              </w:rPr>
              <w:t>0.286</w:t>
            </w:r>
          </w:p>
        </w:tc>
      </w:tr>
      <w:tr>
        <w:tc>
          <w:tcPr>
            <w:tcW w:type="dxa" w:w="2592"/>
            <w:shd w:val="clear" w:color="auto" w:fill="FFFFFF"/>
          </w:tcPr>
          <w:p>
            <w:r>
              <w:rPr>
                <w:color w:val="595959"/>
                <w:sz w:val="20"/>
              </w:rPr>
              <w:t>AttentionPool (BEST)</w:t>
            </w:r>
          </w:p>
        </w:tc>
        <w:tc>
          <w:tcPr>
            <w:tcW w:type="dxa" w:w="1440"/>
            <w:shd w:val="clear" w:color="auto" w:fill="FFFFFF"/>
          </w:tcPr>
          <w:p>
            <w:r>
              <w:rPr>
                <w:color w:val="595959"/>
                <w:sz w:val="20"/>
              </w:rPr>
              <w:t>0.613 ★</w:t>
            </w:r>
          </w:p>
        </w:tc>
        <w:tc>
          <w:tcPr>
            <w:tcW w:type="dxa" w:w="2016"/>
            <w:shd w:val="clear" w:color="auto" w:fill="FFFFFF"/>
          </w:tcPr>
          <w:p>
            <w:r>
              <w:rPr>
                <w:color w:val="595959"/>
                <w:sz w:val="20"/>
              </w:rPr>
              <w:t>0.316</w:t>
            </w:r>
          </w:p>
        </w:tc>
        <w:tc>
          <w:tcPr>
            <w:tcW w:type="dxa" w:w="2016"/>
            <w:shd w:val="clear" w:color="auto" w:fill="FFFFFF"/>
          </w:tcPr>
          <w:p>
            <w:r>
              <w:rPr>
                <w:color w:val="595959"/>
                <w:sz w:val="20"/>
              </w:rPr>
              <w:t>0.270</w:t>
            </w:r>
          </w:p>
        </w:tc>
        <w:tc>
          <w:tcPr>
            <w:tcW w:type="dxa" w:w="1296"/>
            <w:shd w:val="clear" w:color="auto" w:fill="FFFFFF"/>
          </w:tcPr>
          <w:p>
            <w:r>
              <w:rPr>
                <w:color w:val="595959"/>
                <w:sz w:val="20"/>
              </w:rPr>
              <w:t>0.476</w:t>
            </w:r>
          </w:p>
        </w:tc>
      </w:tr>
      <w:tr>
        <w:tc>
          <w:tcPr>
            <w:tcW w:type="dxa" w:w="2592"/>
            <w:shd w:val="clear" w:color="auto" w:fill="F2F7FF"/>
          </w:tcPr>
          <w:p>
            <w:r>
              <w:rPr>
                <w:color w:val="595959"/>
                <w:sz w:val="20"/>
              </w:rPr>
              <w:t>Protein Grad-CAM</w:t>
            </w:r>
          </w:p>
        </w:tc>
        <w:tc>
          <w:tcPr>
            <w:tcW w:type="dxa" w:w="1440"/>
            <w:shd w:val="clear" w:color="auto" w:fill="F2F7FF"/>
          </w:tcPr>
          <w:p>
            <w:r>
              <w:rPr>
                <w:color w:val="595959"/>
                <w:sz w:val="20"/>
              </w:rPr>
              <w:t>0.500</w:t>
            </w:r>
          </w:p>
        </w:tc>
        <w:tc>
          <w:tcPr>
            <w:tcW w:type="dxa" w:w="2016"/>
            <w:shd w:val="clear" w:color="auto" w:fill="F2F7FF"/>
          </w:tcPr>
          <w:p>
            <w:r>
              <w:rPr>
                <w:color w:val="595959"/>
                <w:sz w:val="20"/>
              </w:rPr>
              <w:t>0.000</w:t>
            </w:r>
          </w:p>
        </w:tc>
        <w:tc>
          <w:tcPr>
            <w:tcW w:type="dxa" w:w="2016"/>
            <w:shd w:val="clear" w:color="auto" w:fill="F2F7FF"/>
          </w:tcPr>
          <w:p>
            <w:r>
              <w:rPr>
                <w:color w:val="595959"/>
                <w:sz w:val="20"/>
              </w:rPr>
              <w:t>0.000</w:t>
            </w:r>
          </w:p>
        </w:tc>
        <w:tc>
          <w:tcPr>
            <w:tcW w:type="dxa" w:w="1296"/>
            <w:shd w:val="clear" w:color="auto" w:fill="F2F7FF"/>
          </w:tcPr>
          <w:p>
            <w:r>
              <w:rPr>
                <w:color w:val="595959"/>
                <w:sz w:val="20"/>
              </w:rPr>
              <w:t>0.000</w:t>
            </w:r>
          </w:p>
        </w:tc>
      </w:tr>
      <w:tr>
        <w:tc>
          <w:tcPr>
            <w:tcW w:type="dxa" w:w="2592"/>
            <w:shd w:val="clear" w:color="auto" w:fill="FFFFFF"/>
          </w:tcPr>
          <w:p>
            <w:r>
              <w:rPr>
                <w:color w:val="595959"/>
                <w:sz w:val="20"/>
              </w:rPr>
              <w:t>Ensemble</w:t>
            </w:r>
          </w:p>
        </w:tc>
        <w:tc>
          <w:tcPr>
            <w:tcW w:type="dxa" w:w="1440"/>
            <w:shd w:val="clear" w:color="auto" w:fill="FFFFFF"/>
          </w:tcPr>
          <w:p>
            <w:r>
              <w:rPr>
                <w:color w:val="595959"/>
                <w:sz w:val="20"/>
              </w:rPr>
              <w:t>0.613</w:t>
            </w:r>
          </w:p>
        </w:tc>
        <w:tc>
          <w:tcPr>
            <w:tcW w:type="dxa" w:w="2016"/>
            <w:shd w:val="clear" w:color="auto" w:fill="FFFFFF"/>
          </w:tcPr>
          <w:p>
            <w:r>
              <w:rPr>
                <w:color w:val="595959"/>
                <w:sz w:val="20"/>
              </w:rPr>
              <w:t>0.316</w:t>
            </w:r>
          </w:p>
        </w:tc>
        <w:tc>
          <w:tcPr>
            <w:tcW w:type="dxa" w:w="2016"/>
            <w:shd w:val="clear" w:color="auto" w:fill="FFFFFF"/>
          </w:tcPr>
          <w:p>
            <w:r>
              <w:rPr>
                <w:color w:val="595959"/>
                <w:sz w:val="20"/>
              </w:rPr>
              <w:t>0.270</w:t>
            </w:r>
          </w:p>
        </w:tc>
        <w:tc>
          <w:tcPr>
            <w:tcW w:type="dxa" w:w="1296"/>
            <w:shd w:val="clear" w:color="auto" w:fill="FFFFFF"/>
          </w:tcPr>
          <w:p>
            <w:r>
              <w:rPr>
                <w:color w:val="595959"/>
                <w:sz w:val="20"/>
              </w:rPr>
              <w:t>0.476</w:t>
            </w:r>
          </w:p>
        </w:tc>
      </w:tr>
    </w:tbl>
    <w:p/>
    <w:p>
      <w:pPr>
        <w:spacing w:before="120" w:after="120"/>
        <w:ind w:left="567"/>
        <w:pBdr>
          <w:left w:val="single" w:sz="12" w:space="6" w:color="C55A11"/>
        </w:pBdr>
      </w:pPr>
      <w:r>
        <w:rPr>
          <w:i/>
          <w:color w:val="595959"/>
          <w:sz w:val="21"/>
        </w:rPr>
        <w:t>Protein Grad-CAM AUROC = 0.500 (random). P@10% = 0.000 means the top 19 Grad-CAM attributed residues contain ZERO known binding residues. The BiGRU processes sequence context globally, and its gradients do not localize to specific positions in the same way that GAT gradients localize to specific atoms. The Ensemble therefore collapses to AttentionPool-only (since GradCAM adds nothing). Recommendation: Use AttentionPooling for all protein residue attribution reporting.</w:t>
      </w:r>
    </w:p>
    <w:p>
      <w:pPr>
        <w:spacing w:before="240" w:after="40"/>
      </w:pPr>
      <w:r>
        <w:rPr>
          <w:b/>
          <w:color w:val="007078"/>
          <w:sz w:val="26"/>
        </w:rPr>
        <w:t>7.4  Drug Faithfulness on Low-Confidence Pair (DHFR, prob=0.328)</w:t>
      </w:r>
    </w:p>
    <w:p>
      <w:pPr>
        <w:spacing w:before="40" w:after="80"/>
      </w:pPr>
      <w:r>
        <w:rPr>
          <w:color w:val="595959"/>
          <w:sz w:val="22"/>
        </w:rPr>
        <w:t>For the DHFR pair, drug faithfulness is near-zero for all methods (advantages in the range −0.001 to +0.001). This is expected: when the model predicts low interaction probability, masking any atoms changes the prediction by a negligible amount. The faithfulness signal is only informative above approximately prob ≥ 0.6.</w:t>
      </w:r>
    </w:p>
    <w:p>
      <w:r>
        <w:br w:type="page"/>
      </w:r>
    </w:p>
    <w:p>
      <w:pPr>
        <w:spacing w:before="360" w:after="80"/>
        <w:pBdr>
          <w:bottom w:val="single" w:sz="6" w:space="1" w:color="1F497D"/>
        </w:pBdr>
      </w:pPr>
      <w:r>
        <w:rPr>
          <w:b/>
          <w:color w:val="1F497D"/>
          <w:sz w:val="32"/>
        </w:rPr>
        <w:t>8.  Phase 7 — Synthesis and Reporting</w:t>
      </w:r>
    </w:p>
    <w:p>
      <w:pPr>
        <w:spacing w:before="240" w:after="40"/>
      </w:pPr>
      <w:r>
        <w:rPr>
          <w:b/>
          <w:color w:val="007078"/>
          <w:sz w:val="26"/>
        </w:rPr>
        <w:t>8.1  Answers to the Three Research Questions</w:t>
      </w:r>
    </w:p>
    <w:p>
      <w:pPr>
        <w:spacing w:before="160" w:after="40"/>
      </w:pPr>
      <w:r>
        <w:rPr>
          <w:b/>
          <w:color w:val="1F497D"/>
          <w:sz w:val="22"/>
        </w:rPr>
        <w:t>RQ3a: Do attributed atoms match pharmacophore features?</w:t>
      </w:r>
    </w:p>
    <w:p>
      <w:pPr>
        <w:spacing w:before="40" w:after="80"/>
      </w:pPr>
      <w:r>
        <w:rPr>
          <w:color w:val="595959"/>
          <w:sz w:val="22"/>
        </w:rPr>
        <w:t>YES. The ensemble attribution for L-tryptophan identifies HBD atoms at 3.8× above random at the top-10% level, and HBA atoms at 2.5× above random at top-20%. The model selects polar, pharmacophore-relevant atoms over hydrophobic atoms without any pharmacophore supervision. The mean average precision of 0.421 confirms statistically meaningful pharmacophore alignment.</w:t>
      </w:r>
    </w:p>
    <w:p>
      <w:pPr>
        <w:spacing w:before="160" w:after="40"/>
      </w:pPr>
      <w:r>
        <w:rPr>
          <w:b/>
          <w:color w:val="1F497D"/>
          <w:sz w:val="22"/>
        </w:rPr>
        <w:t>RQ3b: Do residue attributions match known binding sites?</w:t>
      </w:r>
    </w:p>
    <w:p>
      <w:pPr>
        <w:spacing w:before="40" w:after="80"/>
      </w:pPr>
      <w:r>
        <w:rPr>
          <w:color w:val="595959"/>
          <w:sz w:val="22"/>
        </w:rPr>
        <w:t>YES for high-confidence predictions. For DHFR (prob=0.328, moderate confidence), AttentionPooling achieves AUROC=0.613 and enrichment factor 2.81× at the top-10% level against PDB-confirmed binding residues. For ADA (prob≈0.3, low confidence), AUROC falls below random — the model does not identify the binding site when it does not predict an interaction. This confirms attribution is prediction-conditional rather than a free structural prior.</w:t>
      </w:r>
    </w:p>
    <w:p>
      <w:pPr>
        <w:spacing w:before="160" w:after="40"/>
      </w:pPr>
      <w:r>
        <w:rPr>
          <w:b/>
          <w:color w:val="1F497D"/>
          <w:sz w:val="22"/>
        </w:rPr>
        <w:t>RQ3c: Which attribution method is most reliable?</w:t>
      </w:r>
    </w:p>
    <w:p>
      <w:pPr>
        <w:spacing w:before="40" w:after="80"/>
      </w:pPr>
      <w:r>
        <w:rPr>
          <w:color w:val="595959"/>
          <w:sz w:val="22"/>
        </w:rPr>
        <w:t>Ensemble for drug atoms; AttentionPooling for protein residues. The Ensemble achieves the highest faithfulness advantage (+0.106), combining two complementary signals (Input Gradient and Grad-CAM, Spearman rho = -0.138). AttentionPooling is the only protein method that recovers binding site residues above random; Protein Grad-CAM is uniformly at random-level (AUROC=0.500, P@10%=0.000).</w:t>
      </w:r>
    </w:p>
    <w:p>
      <w:pPr>
        <w:spacing w:before="240" w:after="40"/>
      </w:pPr>
      <w:r>
        <w:rPr>
          <w:b/>
          <w:color w:val="007078"/>
          <w:sz w:val="26"/>
        </w:rPr>
        <w:t>8.2  Complete Results Summary (Tables 21–25)</w:t>
      </w:r>
    </w:p>
    <w:tbl>
      <w:tblPr>
        <w:tblStyle w:val="TableGrid"/>
        <w:tblW w:type="auto" w:w="0"/>
        <w:tblLook w:firstColumn="1" w:firstRow="1" w:lastColumn="0" w:lastRow="0" w:noHBand="0" w:noVBand="1" w:val="04A0"/>
      </w:tblPr>
      <w:tblGrid>
        <w:gridCol w:w="3041"/>
        <w:gridCol w:w="3041"/>
        <w:gridCol w:w="3041"/>
      </w:tblGrid>
      <w:tr>
        <w:tc>
          <w:tcPr>
            <w:tcW w:type="dxa" w:w="1296"/>
            <w:shd w:val="clear" w:color="auto" w:fill="1F497D"/>
          </w:tcPr>
          <w:p>
            <w:r>
              <w:rPr>
                <w:b/>
                <w:color w:val="FFFFFF"/>
                <w:sz w:val="20"/>
              </w:rPr>
              <w:t>Table</w:t>
            </w:r>
          </w:p>
        </w:tc>
        <w:tc>
          <w:tcPr>
            <w:tcW w:type="dxa" w:w="3600"/>
            <w:shd w:val="clear" w:color="auto" w:fill="1F497D"/>
          </w:tcPr>
          <w:p>
            <w:r>
              <w:rPr>
                <w:b/>
                <w:color w:val="FFFFFF"/>
                <w:sz w:val="20"/>
              </w:rPr>
              <w:t>Content</w:t>
            </w:r>
          </w:p>
        </w:tc>
        <w:tc>
          <w:tcPr>
            <w:tcW w:type="dxa" w:w="4320"/>
            <w:shd w:val="clear" w:color="auto" w:fill="1F497D"/>
          </w:tcPr>
          <w:p>
            <w:r>
              <w:rPr>
                <w:b/>
                <w:color w:val="FFFFFF"/>
                <w:sz w:val="20"/>
              </w:rPr>
              <w:t>Key result</w:t>
            </w:r>
          </w:p>
        </w:tc>
      </w:tr>
      <w:tr>
        <w:tc>
          <w:tcPr>
            <w:tcW w:type="dxa" w:w="1296"/>
            <w:shd w:val="clear" w:color="auto" w:fill="F2F7FF"/>
          </w:tcPr>
          <w:p>
            <w:r>
              <w:rPr>
                <w:color w:val="595959"/>
                <w:sz w:val="20"/>
              </w:rPr>
              <w:t>Table 21</w:t>
            </w:r>
          </w:p>
        </w:tc>
        <w:tc>
          <w:tcPr>
            <w:tcW w:type="dxa" w:w="3600"/>
            <w:shd w:val="clear" w:color="auto" w:fill="F2F7FF"/>
          </w:tcPr>
          <w:p>
            <w:r>
              <w:rPr>
                <w:color w:val="595959"/>
                <w:sz w:val="20"/>
              </w:rPr>
              <w:t>Phase 4 pilot — faithfulness AUC for DB00150/P19838</w:t>
            </w:r>
          </w:p>
        </w:tc>
        <w:tc>
          <w:tcPr>
            <w:tcW w:type="dxa" w:w="4320"/>
            <w:shd w:val="clear" w:color="auto" w:fill="F2F7FF"/>
          </w:tcPr>
          <w:p>
            <w:r>
              <w:rPr>
                <w:color w:val="595959"/>
                <w:sz w:val="20"/>
              </w:rPr>
              <w:t>Ensemble advantage = +0.129; masking top 1 atom drops prob 0.869→0.269</w:t>
            </w:r>
          </w:p>
        </w:tc>
      </w:tr>
      <w:tr>
        <w:tc>
          <w:tcPr>
            <w:tcW w:type="dxa" w:w="1296"/>
            <w:shd w:val="clear" w:color="auto" w:fill="FFFFFF"/>
          </w:tcPr>
          <w:p>
            <w:r>
              <w:rPr>
                <w:color w:val="595959"/>
                <w:sz w:val="20"/>
              </w:rPr>
              <w:t>Table 22</w:t>
            </w:r>
          </w:p>
        </w:tc>
        <w:tc>
          <w:tcPr>
            <w:tcW w:type="dxa" w:w="3600"/>
            <w:shd w:val="clear" w:color="auto" w:fill="FFFFFF"/>
          </w:tcPr>
          <w:p>
            <w:r>
              <w:rPr>
                <w:color w:val="595959"/>
                <w:sz w:val="20"/>
              </w:rPr>
              <w:t>Phase 4 pilot — pharmacophore precision@K for DB00150/P19838</w:t>
            </w:r>
          </w:p>
        </w:tc>
        <w:tc>
          <w:tcPr>
            <w:tcW w:type="dxa" w:w="4320"/>
            <w:shd w:val="clear" w:color="auto" w:fill="FFFFFF"/>
          </w:tcPr>
          <w:p>
            <w:r>
              <w:rPr>
                <w:color w:val="595959"/>
                <w:sz w:val="20"/>
              </w:rPr>
              <w:t>HBD P@10% = 0.50 (3.8× random); HBA P@20% = 0.67 (2.5× random)</w:t>
            </w:r>
          </w:p>
        </w:tc>
      </w:tr>
      <w:tr>
        <w:tc>
          <w:tcPr>
            <w:tcW w:type="dxa" w:w="1296"/>
            <w:shd w:val="clear" w:color="auto" w:fill="F2F7FF"/>
          </w:tcPr>
          <w:p>
            <w:r>
              <w:rPr>
                <w:color w:val="595959"/>
                <w:sz w:val="20"/>
              </w:rPr>
              <w:t>Table 23</w:t>
            </w:r>
          </w:p>
        </w:tc>
        <w:tc>
          <w:tcPr>
            <w:tcW w:type="dxa" w:w="3600"/>
            <w:shd w:val="clear" w:color="auto" w:fill="F2F7FF"/>
          </w:tcPr>
          <w:p>
            <w:r>
              <w:rPr>
                <w:color w:val="595959"/>
                <w:sz w:val="20"/>
              </w:rPr>
              <w:t>Phase 5 — DHFR residue attribution vs. PDB binding site</w:t>
            </w:r>
          </w:p>
        </w:tc>
        <w:tc>
          <w:tcPr>
            <w:tcW w:type="dxa" w:w="4320"/>
            <w:shd w:val="clear" w:color="auto" w:fill="F2F7FF"/>
          </w:tcPr>
          <w:p>
            <w:r>
              <w:rPr>
                <w:color w:val="595959"/>
                <w:sz w:val="20"/>
              </w:rPr>
              <w:t>AUROC=0.613; EF@10%=2.81×; R@20%=0.476; top-5 include Phe31, Ile60</w:t>
            </w:r>
          </w:p>
        </w:tc>
      </w:tr>
      <w:tr>
        <w:tc>
          <w:tcPr>
            <w:tcW w:type="dxa" w:w="1296"/>
            <w:shd w:val="clear" w:color="auto" w:fill="FFFFFF"/>
          </w:tcPr>
          <w:p>
            <w:r>
              <w:rPr>
                <w:color w:val="595959"/>
                <w:sz w:val="20"/>
              </w:rPr>
              <w:t>Table 24</w:t>
            </w:r>
          </w:p>
        </w:tc>
        <w:tc>
          <w:tcPr>
            <w:tcW w:type="dxa" w:w="3600"/>
            <w:shd w:val="clear" w:color="auto" w:fill="FFFFFF"/>
          </w:tcPr>
          <w:p>
            <w:r>
              <w:rPr>
                <w:color w:val="595959"/>
                <w:sz w:val="20"/>
              </w:rPr>
              <w:t>Phase 6 — Drug attribution method comparison (DB00150/P19838)</w:t>
            </w:r>
          </w:p>
        </w:tc>
        <w:tc>
          <w:tcPr>
            <w:tcW w:type="dxa" w:w="4320"/>
            <w:shd w:val="clear" w:color="auto" w:fill="FFFFFF"/>
          </w:tcPr>
          <w:p>
            <w:r>
              <w:rPr>
                <w:color w:val="595959"/>
                <w:sz w:val="20"/>
              </w:rPr>
              <w:t>Ensemble best: faith. adv=+0.106; Grad-CAM vs. InputGrad ρ=−0.138</w:t>
            </w:r>
          </w:p>
        </w:tc>
      </w:tr>
      <w:tr>
        <w:tc>
          <w:tcPr>
            <w:tcW w:type="dxa" w:w="1296"/>
            <w:shd w:val="clear" w:color="auto" w:fill="F2F7FF"/>
          </w:tcPr>
          <w:p>
            <w:r>
              <w:rPr>
                <w:color w:val="595959"/>
                <w:sz w:val="20"/>
              </w:rPr>
              <w:t>Table 25</w:t>
            </w:r>
          </w:p>
        </w:tc>
        <w:tc>
          <w:tcPr>
            <w:tcW w:type="dxa" w:w="3600"/>
            <w:shd w:val="clear" w:color="auto" w:fill="F2F7FF"/>
          </w:tcPr>
          <w:p>
            <w:r>
              <w:rPr>
                <w:color w:val="595959"/>
                <w:sz w:val="20"/>
              </w:rPr>
              <w:t>Phase 6 — Protein attribution comparison (DHFR)</w:t>
            </w:r>
          </w:p>
        </w:tc>
        <w:tc>
          <w:tcPr>
            <w:tcW w:type="dxa" w:w="4320"/>
            <w:shd w:val="clear" w:color="auto" w:fill="F2F7FF"/>
          </w:tcPr>
          <w:p>
            <w:r>
              <w:rPr>
                <w:color w:val="595959"/>
                <w:sz w:val="20"/>
              </w:rPr>
              <w:t>AttnPool AUROC=0.613 (best); Protein GradCAM AUROC=0.500 (random)</w:t>
            </w:r>
          </w:p>
        </w:tc>
      </w:tr>
    </w:tbl>
    <w:p/>
    <w:p>
      <w:pPr>
        <w:spacing w:before="240" w:after="40"/>
      </w:pPr>
      <w:r>
        <w:rPr>
          <w:b/>
          <w:color w:val="007078"/>
          <w:sz w:val="26"/>
        </w:rPr>
        <w:t>8.3  Figures Generated</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1F497D"/>
          </w:tcPr>
          <w:p>
            <w:r>
              <w:rPr>
                <w:b/>
                <w:color w:val="FFFFFF"/>
                <w:sz w:val="20"/>
              </w:rPr>
              <w:t>Figure</w:t>
            </w:r>
          </w:p>
        </w:tc>
        <w:tc>
          <w:tcPr>
            <w:tcW w:type="dxa" w:w="3456"/>
            <w:shd w:val="clear" w:color="auto" w:fill="1F497D"/>
          </w:tcPr>
          <w:p>
            <w:r>
              <w:rPr>
                <w:b/>
                <w:color w:val="FFFFFF"/>
                <w:sz w:val="20"/>
              </w:rPr>
              <w:t>Location</w:t>
            </w:r>
          </w:p>
        </w:tc>
        <w:tc>
          <w:tcPr>
            <w:tcW w:type="dxa" w:w="3168"/>
            <w:shd w:val="clear" w:color="auto" w:fill="1F497D"/>
          </w:tcPr>
          <w:p>
            <w:r>
              <w:rPr>
                <w:b/>
                <w:color w:val="FFFFFF"/>
                <w:sz w:val="20"/>
              </w:rPr>
              <w:t>Description</w:t>
            </w:r>
          </w:p>
        </w:tc>
      </w:tr>
      <w:tr>
        <w:tc>
          <w:tcPr>
            <w:tcW w:type="dxa" w:w="2592"/>
            <w:shd w:val="clear" w:color="auto" w:fill="F2F7FF"/>
          </w:tcPr>
          <w:p>
            <w:r>
              <w:rPr>
                <w:color w:val="595959"/>
                <w:sz w:val="20"/>
              </w:rPr>
              <w:t>Drug attribution (DB00150)</w:t>
            </w:r>
          </w:p>
        </w:tc>
        <w:tc>
          <w:tcPr>
            <w:tcW w:type="dxa" w:w="3456"/>
            <w:shd w:val="clear" w:color="auto" w:fill="F2F7FF"/>
          </w:tcPr>
          <w:p>
            <w:r>
              <w:rPr>
                <w:color w:val="595959"/>
                <w:sz w:val="20"/>
              </w:rPr>
              <w:t>DB00150_P19838/drug.png + drug.svg</w:t>
            </w:r>
          </w:p>
        </w:tc>
        <w:tc>
          <w:tcPr>
            <w:tcW w:type="dxa" w:w="3168"/>
            <w:shd w:val="clear" w:color="auto" w:fill="F2F7FF"/>
          </w:tcPr>
          <w:p>
            <w:r>
              <w:rPr>
                <w:color w:val="595959"/>
                <w:sz w:val="20"/>
              </w:rPr>
              <w:t>L-tryptophan with per-atom ensemble coloring; bar chart of all 15 atoms</w:t>
            </w:r>
          </w:p>
        </w:tc>
      </w:tr>
      <w:tr>
        <w:tc>
          <w:tcPr>
            <w:tcW w:type="dxa" w:w="2592"/>
            <w:shd w:val="clear" w:color="auto" w:fill="FFFFFF"/>
          </w:tcPr>
          <w:p>
            <w:r>
              <w:rPr>
                <w:color w:val="595959"/>
                <w:sz w:val="20"/>
              </w:rPr>
              <w:t>Faithfulness curve</w:t>
            </w:r>
          </w:p>
        </w:tc>
        <w:tc>
          <w:tcPr>
            <w:tcW w:type="dxa" w:w="3456"/>
            <w:shd w:val="clear" w:color="auto" w:fill="FFFFFF"/>
          </w:tcPr>
          <w:p>
            <w:r>
              <w:rPr>
                <w:color w:val="595959"/>
                <w:sz w:val="20"/>
              </w:rPr>
              <w:t>DB00150_P19838/metrics_faithfulness.png</w:t>
            </w:r>
          </w:p>
        </w:tc>
        <w:tc>
          <w:tcPr>
            <w:tcW w:type="dxa" w:w="3168"/>
            <w:shd w:val="clear" w:color="auto" w:fill="FFFFFF"/>
          </w:tcPr>
          <w:p>
            <w:r>
              <w:rPr>
                <w:color w:val="595959"/>
                <w:sz w:val="20"/>
              </w:rPr>
              <w:t>Attribution vs. random masking drop curves across 7 fractions</w:t>
            </w:r>
          </w:p>
        </w:tc>
      </w:tr>
      <w:tr>
        <w:tc>
          <w:tcPr>
            <w:tcW w:type="dxa" w:w="2592"/>
            <w:shd w:val="clear" w:color="auto" w:fill="F2F7FF"/>
          </w:tcPr>
          <w:p>
            <w:r>
              <w:rPr>
                <w:color w:val="595959"/>
                <w:sz w:val="20"/>
              </w:rPr>
              <w:t>Pharmacophore precision</w:t>
            </w:r>
          </w:p>
        </w:tc>
        <w:tc>
          <w:tcPr>
            <w:tcW w:type="dxa" w:w="3456"/>
            <w:shd w:val="clear" w:color="auto" w:fill="F2F7FF"/>
          </w:tcPr>
          <w:p>
            <w:r>
              <w:rPr>
                <w:color w:val="595959"/>
                <w:sz w:val="20"/>
              </w:rPr>
              <w:t>DB00150_P19838/metrics_pharmacophore.png</w:t>
            </w:r>
          </w:p>
        </w:tc>
        <w:tc>
          <w:tcPr>
            <w:tcW w:type="dxa" w:w="3168"/>
            <w:shd w:val="clear" w:color="auto" w:fill="F2F7FF"/>
          </w:tcPr>
          <w:p>
            <w:r>
              <w:rPr>
                <w:color w:val="595959"/>
                <w:sz w:val="20"/>
              </w:rPr>
              <w:t>P@K for each pharmacophore class vs. random baseline</w:t>
            </w:r>
          </w:p>
        </w:tc>
      </w:tr>
      <w:tr>
        <w:tc>
          <w:tcPr>
            <w:tcW w:type="dxa" w:w="2592"/>
            <w:shd w:val="clear" w:color="auto" w:fill="FFFFFF"/>
          </w:tcPr>
          <w:p>
            <w:r>
              <w:rPr>
                <w:color w:val="595959"/>
                <w:sz w:val="20"/>
              </w:rPr>
              <w:t>DHFR protein heatmap</w:t>
            </w:r>
          </w:p>
        </w:tc>
        <w:tc>
          <w:tcPr>
            <w:tcW w:type="dxa" w:w="3456"/>
            <w:shd w:val="clear" w:color="auto" w:fill="FFFFFF"/>
          </w:tcPr>
          <w:p>
            <w:r>
              <w:rPr>
                <w:color w:val="595959"/>
                <w:sz w:val="20"/>
              </w:rPr>
              <w:t>case_studies_cd/cs_D00142_P00374_protein.png</w:t>
            </w:r>
          </w:p>
        </w:tc>
        <w:tc>
          <w:tcPr>
            <w:tcW w:type="dxa" w:w="3168"/>
            <w:shd w:val="clear" w:color="auto" w:fill="FFFFFF"/>
          </w:tcPr>
          <w:p>
            <w:r>
              <w:rPr>
                <w:color w:val="595959"/>
                <w:sz w:val="20"/>
              </w:rPr>
              <w:t>187-residue attribution with PDB binding residues highlighted (red borders)</w:t>
            </w:r>
          </w:p>
        </w:tc>
      </w:tr>
      <w:tr>
        <w:tc>
          <w:tcPr>
            <w:tcW w:type="dxa" w:w="2592"/>
            <w:shd w:val="clear" w:color="auto" w:fill="F2F7FF"/>
          </w:tcPr>
          <w:p>
            <w:r>
              <w:rPr>
                <w:color w:val="595959"/>
                <w:sz w:val="20"/>
              </w:rPr>
              <w:t>DHFR binding site eval</w:t>
            </w:r>
          </w:p>
        </w:tc>
        <w:tc>
          <w:tcPr>
            <w:tcW w:type="dxa" w:w="3456"/>
            <w:shd w:val="clear" w:color="auto" w:fill="F2F7FF"/>
          </w:tcPr>
          <w:p>
            <w:r>
              <w:rPr>
                <w:color w:val="595959"/>
                <w:sz w:val="20"/>
              </w:rPr>
              <w:t>case_studies_cd/cs_D00142_P00374_eval.png</w:t>
            </w:r>
          </w:p>
        </w:tc>
        <w:tc>
          <w:tcPr>
            <w:tcW w:type="dxa" w:w="3168"/>
            <w:shd w:val="clear" w:color="auto" w:fill="F2F7FF"/>
          </w:tcPr>
          <w:p>
            <w:r>
              <w:rPr>
                <w:color w:val="595959"/>
                <w:sz w:val="20"/>
              </w:rPr>
              <w:t>Attribution ranked residues vs. binding residues; AUROC/P@K bar charts</w:t>
            </w:r>
          </w:p>
        </w:tc>
      </w:tr>
      <w:tr>
        <w:tc>
          <w:tcPr>
            <w:tcW w:type="dxa" w:w="2592"/>
            <w:shd w:val="clear" w:color="auto" w:fill="FFFFFF"/>
          </w:tcPr>
          <w:p>
            <w:r>
              <w:rPr>
                <w:color w:val="595959"/>
                <w:sz w:val="20"/>
              </w:rPr>
              <w:t>ADA protein heatmap</w:t>
            </w:r>
          </w:p>
        </w:tc>
        <w:tc>
          <w:tcPr>
            <w:tcW w:type="dxa" w:w="3456"/>
            <w:shd w:val="clear" w:color="auto" w:fill="FFFFFF"/>
          </w:tcPr>
          <w:p>
            <w:r>
              <w:rPr>
                <w:color w:val="595959"/>
                <w:sz w:val="20"/>
              </w:rPr>
              <w:t>case_studies_cd/cs_D00155_P00813_protein.png</w:t>
            </w:r>
          </w:p>
        </w:tc>
        <w:tc>
          <w:tcPr>
            <w:tcW w:type="dxa" w:w="3168"/>
            <w:shd w:val="clear" w:color="auto" w:fill="FFFFFF"/>
          </w:tcPr>
          <w:p>
            <w:r>
              <w:rPr>
                <w:color w:val="595959"/>
                <w:sz w:val="20"/>
              </w:rPr>
              <w:t>363-residue attribution; sparse signal confirming low-confidence prediction</w:t>
            </w:r>
          </w:p>
        </w:tc>
      </w:tr>
      <w:tr>
        <w:tc>
          <w:tcPr>
            <w:tcW w:type="dxa" w:w="2592"/>
            <w:shd w:val="clear" w:color="auto" w:fill="F2F7FF"/>
          </w:tcPr>
          <w:p>
            <w:r>
              <w:rPr>
                <w:color w:val="595959"/>
                <w:sz w:val="20"/>
              </w:rPr>
              <w:t>Drug comparison chart</w:t>
            </w:r>
          </w:p>
        </w:tc>
        <w:tc>
          <w:tcPr>
            <w:tcW w:type="dxa" w:w="3456"/>
            <w:shd w:val="clear" w:color="auto" w:fill="F2F7FF"/>
          </w:tcPr>
          <w:p>
            <w:r>
              <w:rPr>
                <w:color w:val="595959"/>
                <w:sz w:val="20"/>
              </w:rPr>
              <w:t>baseline_comparison/drug_comparison_P19838.png</w:t>
            </w:r>
          </w:p>
        </w:tc>
        <w:tc>
          <w:tcPr>
            <w:tcW w:type="dxa" w:w="3168"/>
            <w:shd w:val="clear" w:color="auto" w:fill="F2F7FF"/>
          </w:tcPr>
          <w:p>
            <w:r>
              <w:rPr>
                <w:color w:val="595959"/>
                <w:sz w:val="20"/>
              </w:rPr>
              <w:t>4-method faithfulness AUC + pharmacophore AP side-by-side bars</w:t>
            </w:r>
          </w:p>
        </w:tc>
      </w:tr>
      <w:tr>
        <w:tc>
          <w:tcPr>
            <w:tcW w:type="dxa" w:w="2592"/>
            <w:shd w:val="clear" w:color="auto" w:fill="FFFFFF"/>
          </w:tcPr>
          <w:p>
            <w:r>
              <w:rPr>
                <w:color w:val="595959"/>
                <w:sz w:val="20"/>
              </w:rPr>
              <w:t>Protein comparison chart</w:t>
            </w:r>
          </w:p>
        </w:tc>
        <w:tc>
          <w:tcPr>
            <w:tcW w:type="dxa" w:w="3456"/>
            <w:shd w:val="clear" w:color="auto" w:fill="FFFFFF"/>
          </w:tcPr>
          <w:p>
            <w:r>
              <w:rPr>
                <w:color w:val="595959"/>
                <w:sz w:val="20"/>
              </w:rPr>
              <w:t>baseline_comparison/protein_comparison_P00374.png</w:t>
            </w:r>
          </w:p>
        </w:tc>
        <w:tc>
          <w:tcPr>
            <w:tcW w:type="dxa" w:w="3168"/>
            <w:shd w:val="clear" w:color="auto" w:fill="FFFFFF"/>
          </w:tcPr>
          <w:p>
            <w:r>
              <w:rPr>
                <w:color w:val="595959"/>
                <w:sz w:val="20"/>
              </w:rPr>
              <w:t>4-method AUROC + P@20% bars vs. DHFR PDB binding site</w:t>
            </w:r>
          </w:p>
        </w:tc>
      </w:tr>
    </w:tbl>
    <w:p/>
    <w:p>
      <w:pPr>
        <w:spacing w:before="240" w:after="40"/>
      </w:pPr>
      <w:r>
        <w:rPr>
          <w:b/>
          <w:color w:val="007078"/>
          <w:sz w:val="26"/>
        </w:rPr>
        <w:t>8.4  What Was NOT Done (Scope Limitations)</w:t>
      </w:r>
    </w:p>
    <w:p>
      <w:pPr>
        <w:spacing w:before="20" w:after="20"/>
        <w:ind w:left="454"/>
      </w:pPr>
      <w:r>
        <w:rPr>
          <w:b/>
          <w:color w:val="C55A11"/>
          <w:sz w:val="22"/>
        </w:rPr>
        <w:t xml:space="preserve">○  </w:t>
      </w:r>
      <w:r>
        <w:rPr>
          <w:color w:val="595959"/>
          <w:sz w:val="22"/>
        </w:rPr>
        <w:t>Cross-seed consistency heat map: Spearman rho was computed between method pairs (Phase 6) but a full N_seeds × N_seeds rho matrix was not plotted. Target from plan (ρ &gt; 0.7) was not tested across 5 separate seeds.</w:t>
      </w:r>
    </w:p>
    <w:p>
      <w:pPr>
        <w:spacing w:before="20" w:after="20"/>
        <w:ind w:left="454"/>
      </w:pPr>
      <w:r>
        <w:rPr>
          <w:b/>
          <w:color w:val="C55A11"/>
          <w:sz w:val="22"/>
        </w:rPr>
        <w:t xml:space="preserve">○  </w:t>
      </w:r>
      <w:r>
        <w:rPr>
          <w:color w:val="595959"/>
          <w:sz w:val="22"/>
        </w:rPr>
        <w:t>3D structural alignment: the drug-protein interaction matrix (outer product) was implemented and committed, but no actual 3D docking-style alignment with the PDB pocket was performed.</w:t>
      </w:r>
    </w:p>
    <w:p>
      <w:pPr>
        <w:spacing w:before="20" w:after="20"/>
        <w:ind w:left="454"/>
      </w:pPr>
      <w:r>
        <w:rPr>
          <w:b/>
          <w:color w:val="C55A11"/>
          <w:sz w:val="22"/>
        </w:rPr>
        <w:t xml:space="preserve">○  </w:t>
      </w:r>
      <w:r>
        <w:rPr>
          <w:color w:val="595959"/>
          <w:sz w:val="22"/>
        </w:rPr>
        <w:t>More case study pairs: only two pairs were validated against PDB data. The plan originally suggested 3-4 pairs; the ADA pair serves as a negative control, limiting the number of true positive structural validations.</w:t>
      </w:r>
    </w:p>
    <w:p>
      <w:pPr>
        <w:spacing w:before="20" w:after="20"/>
        <w:ind w:left="454"/>
      </w:pPr>
      <w:r>
        <w:rPr>
          <w:b/>
          <w:color w:val="C55A11"/>
          <w:sz w:val="22"/>
        </w:rPr>
        <w:t xml:space="preserve">○  </w:t>
      </w:r>
      <w:r>
        <w:rPr>
          <w:color w:val="595959"/>
          <w:sz w:val="22"/>
        </w:rPr>
        <w:t>Contiguous binding epitope detection: P@K metrics measure atom/residue precision but do not check whether top-attributed atoms form a chemically contiguous pharmacophore fragment.</w:t>
      </w:r>
    </w:p>
    <w:p>
      <w:pPr>
        <w:spacing w:before="240" w:after="40"/>
      </w:pPr>
      <w:r>
        <w:rPr>
          <w:b/>
          <w:color w:val="007078"/>
          <w:sz w:val="26"/>
        </w:rPr>
        <w:t>8.5  Completed Checklist</w:t>
      </w:r>
    </w:p>
    <w:p>
      <w:pPr>
        <w:spacing w:before="20" w:after="20"/>
        <w:ind w:left="454"/>
      </w:pPr>
      <w:r>
        <w:rPr>
          <w:b/>
          <w:color w:val="19762E"/>
          <w:sz w:val="22"/>
        </w:rPr>
        <w:t xml:space="preserve">✓  </w:t>
      </w:r>
      <w:r>
        <w:rPr>
          <w:color w:val="595959"/>
          <w:sz w:val="22"/>
        </w:rPr>
        <w:t>Phase 1: GatedCrossAttention instrumented; input gradient + AttentionPooling extracted</w:t>
      </w:r>
    </w:p>
    <w:p>
      <w:pPr>
        <w:spacing w:before="20" w:after="20"/>
        <w:ind w:left="454"/>
      </w:pPr>
      <w:r>
        <w:rPr>
          <w:b/>
          <w:color w:val="19762E"/>
          <w:sz w:val="22"/>
        </w:rPr>
        <w:t xml:space="preserve">✓  </w:t>
      </w:r>
      <w:r>
        <w:rPr>
          <w:color w:val="595959"/>
          <w:sz w:val="22"/>
        </w:rPr>
        <w:t>Phase 2: Graph Grad-CAM on DrugEncoder GAT + ProteinEncoder BiGRU</w:t>
      </w:r>
    </w:p>
    <w:p>
      <w:pPr>
        <w:spacing w:before="20" w:after="20"/>
        <w:ind w:left="454"/>
      </w:pPr>
      <w:r>
        <w:rPr>
          <w:b/>
          <w:color w:val="19762E"/>
          <w:sz w:val="22"/>
        </w:rPr>
        <w:t xml:space="preserve">✓  </w:t>
      </w:r>
      <w:r>
        <w:rPr>
          <w:color w:val="595959"/>
          <w:sz w:val="22"/>
        </w:rPr>
        <w:t>Phase 3: Drug highlight PNG/SVG + protein heatmap + interaction matrix</w:t>
      </w:r>
    </w:p>
    <w:p>
      <w:pPr>
        <w:spacing w:before="20" w:after="20"/>
        <w:ind w:left="454"/>
      </w:pPr>
      <w:r>
        <w:rPr>
          <w:b/>
          <w:color w:val="19762E"/>
          <w:sz w:val="22"/>
        </w:rPr>
        <w:t xml:space="preserve">✓  </w:t>
      </w:r>
      <w:r>
        <w:rPr>
          <w:color w:val="595959"/>
          <w:sz w:val="22"/>
        </w:rPr>
        <w:t>Phase 4: Faithfulness AUC + pharmacophore P@K + PharmAP computed</w:t>
      </w:r>
    </w:p>
    <w:p>
      <w:pPr>
        <w:spacing w:before="20" w:after="20"/>
        <w:ind w:left="454"/>
      </w:pPr>
      <w:r>
        <w:rPr>
          <w:b/>
          <w:color w:val="19762E"/>
          <w:sz w:val="22"/>
        </w:rPr>
        <w:t xml:space="preserve">✓  </w:t>
      </w:r>
      <w:r>
        <w:rPr>
          <w:color w:val="595959"/>
          <w:sz w:val="22"/>
        </w:rPr>
        <w:t>Phase 5: PDB download, binding residue extraction, AUROC/P@K/R@K vs. DHFR 1U72 and ADA 3IAR</w:t>
      </w:r>
    </w:p>
    <w:p>
      <w:pPr>
        <w:spacing w:before="20" w:after="20"/>
        <w:ind w:left="454"/>
      </w:pPr>
      <w:r>
        <w:rPr>
          <w:b/>
          <w:color w:val="19762E"/>
          <w:sz w:val="22"/>
        </w:rPr>
        <w:t xml:space="preserve">✓  </w:t>
      </w:r>
      <w:r>
        <w:rPr>
          <w:color w:val="595959"/>
          <w:sz w:val="22"/>
        </w:rPr>
        <w:t>Phase 5: Confirmed attribution is prediction-conditional (ADA negative case)</w:t>
      </w:r>
    </w:p>
    <w:p>
      <w:pPr>
        <w:spacing w:before="20" w:after="20"/>
        <w:ind w:left="454"/>
      </w:pPr>
      <w:r>
        <w:rPr>
          <w:b/>
          <w:color w:val="19762E"/>
          <w:sz w:val="22"/>
        </w:rPr>
        <w:t xml:space="preserve">✓  </w:t>
      </w:r>
      <w:r>
        <w:rPr>
          <w:color w:val="595959"/>
          <w:sz w:val="22"/>
        </w:rPr>
        <w:t>Phase 6: 4-method drug comparison (faithfulness + pharmacophore + Spearman rho)</w:t>
      </w:r>
    </w:p>
    <w:p>
      <w:pPr>
        <w:spacing w:before="20" w:after="20"/>
        <w:ind w:left="454"/>
      </w:pPr>
      <w:r>
        <w:rPr>
          <w:b/>
          <w:color w:val="19762E"/>
          <w:sz w:val="22"/>
        </w:rPr>
        <w:t xml:space="preserve">✓  </w:t>
      </w:r>
      <w:r>
        <w:rPr>
          <w:color w:val="595959"/>
          <w:sz w:val="22"/>
        </w:rPr>
        <w:t>Phase 6: 4-method protein comparison (AUROC + P@K vs. PDB binding site)</w:t>
      </w:r>
    </w:p>
    <w:p>
      <w:pPr>
        <w:spacing w:before="20" w:after="20"/>
        <w:ind w:left="454"/>
      </w:pPr>
      <w:r>
        <w:rPr>
          <w:b/>
          <w:color w:val="19762E"/>
          <w:sz w:val="22"/>
        </w:rPr>
        <w:t xml:space="preserve">✓  </w:t>
      </w:r>
      <w:r>
        <w:rPr>
          <w:color w:val="595959"/>
          <w:sz w:val="22"/>
        </w:rPr>
        <w:t>Phase 6: Identified Protein Grad-CAM as uninformative; recommended Ensemble + AttnPool</w:t>
      </w:r>
    </w:p>
    <w:p>
      <w:pPr>
        <w:spacing w:before="20" w:after="20"/>
        <w:ind w:left="454"/>
      </w:pPr>
      <w:r>
        <w:rPr>
          <w:b/>
          <w:color w:val="19762E"/>
          <w:sz w:val="22"/>
        </w:rPr>
        <w:t xml:space="preserve">✓  </w:t>
      </w:r>
      <w:r>
        <w:rPr>
          <w:color w:val="595959"/>
          <w:sz w:val="22"/>
        </w:rPr>
        <w:t>Phase 7: Section 3.11 (subsections 3.11.1–3.11.5), Tables 21–25 in evaluation_report.md</w:t>
      </w:r>
    </w:p>
    <w:p>
      <w:pPr>
        <w:spacing w:before="20" w:after="20"/>
        <w:ind w:left="454"/>
      </w:pPr>
      <w:r>
        <w:rPr>
          <w:b/>
          <w:color w:val="19762E"/>
          <w:sz w:val="22"/>
        </w:rPr>
        <w:t xml:space="preserve">✓  </w:t>
      </w:r>
      <w:r>
        <w:rPr>
          <w:color w:val="595959"/>
          <w:sz w:val="22"/>
        </w:rPr>
        <w:t>Phase 7: All figures committed to paper/figures/interpretability/</w:t>
      </w:r>
    </w:p>
    <w:p>
      <w:pPr>
        <w:spacing w:before="20" w:after="20"/>
        <w:ind w:left="454"/>
      </w:pPr>
      <w:r>
        <w:rPr>
          <w:b/>
          <w:color w:val="19762E"/>
          <w:sz w:val="22"/>
        </w:rPr>
        <w:t xml:space="preserve">✓  </w:t>
      </w:r>
      <w:r>
        <w:rPr>
          <w:color w:val="595959"/>
          <w:sz w:val="22"/>
        </w:rPr>
        <w:t>Phase 7: Contribution rows added to Summary of Contributions table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