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F497D"/>
          <w:sz w:val="44"/>
        </w:rPr>
        <w:t>Objective 2 — Analysis Plan</w:t>
      </w:r>
    </w:p>
    <w:p>
      <w:pPr>
        <w:jc w:val="center"/>
      </w:pPr>
      <w:r>
        <w:rPr>
          <w:color w:val="007078"/>
          <w:sz w:val="28"/>
        </w:rPr>
        <w:t>Robust Representation Learning, Pretraining Strategy,</w:t>
      </w:r>
    </w:p>
    <w:p>
      <w:pPr>
        <w:jc w:val="center"/>
      </w:pPr>
      <w:r>
        <w:rPr>
          <w:color w:val="007078"/>
          <w:sz w:val="28"/>
        </w:rPr>
        <w:t>and Imbalance-Aware Learning for Cold-Start Generalisation</w:t>
      </w:r>
    </w:p>
    <w:p/>
    <w:p>
      <w:pPr>
        <w:jc w:val="center"/>
      </w:pPr>
      <w:r>
        <w:rPr>
          <w:color w:val="595959"/>
          <w:sz w:val="22"/>
        </w:rPr>
        <w:t>H-GNN-RNN-DTI Research Project</w:t>
        <w:br/>
        <w:t>Universiti Sains Malaysia  |  School of Computer Sciences</w:t>
        <w:br/>
        <w:t>Supervisor: Assoc. Prof. Dr. Nurul Hashimah</w:t>
        <w:br/>
        <w:t>Prepared: July 2026</w:t>
      </w:r>
    </w:p>
    <w:p>
      <w:r>
        <w:br w:type="page"/>
      </w:r>
    </w:p>
    <w:p>
      <w:pPr>
        <w:spacing w:before="360" w:after="80"/>
        <w:pBdr>
          <w:bottom w:val="single" w:sz="6" w:space="1" w:color="1F497D"/>
        </w:pBdr>
      </w:pPr>
      <w:r>
        <w:rPr>
          <w:b/>
          <w:color w:val="1F497D"/>
          <w:sz w:val="32"/>
        </w:rPr>
        <w:t>Document Overview</w:t>
      </w:r>
    </w:p>
    <w:p>
      <w:pPr>
        <w:spacing w:before="40" w:after="80"/>
      </w:pPr>
      <w:r>
        <w:rPr>
          <w:color w:val="595959"/>
          <w:sz w:val="22"/>
        </w:rPr>
        <w:t>This document is the step-by-step analysis plan for Objective 2 of the H-GNN-RNN-DTI research project. It specifies what experiments to run, why each experiment is necessary, what results are expected, and how the evidence will be analysed. The plan builds directly on the completed Objective 1 experiments — which established the H-GNN-RNN-DTI baseline — and addresses the remaining research questions about cold-start generalisation, pretraining, and imbalance-aware learning.</w:t>
      </w:r>
    </w:p>
    <w:p>
      <w:pPr>
        <w:spacing w:before="40" w:after="80"/>
      </w:pPr>
      <w:r>
        <w:rPr>
          <w:color w:val="595959"/>
          <w:sz w:val="22"/>
        </w:rPr>
        <w:t>The document is structured in five experimental phases, each corresponding to one research sub-question of Objective 2. Each phase describes the exact experiments to run, the datasets and splits to use, the metrics to report, and the statistical tests to apply. Phases can be executed in order or partially in parallel once Phase 1 is complete.</w:t>
      </w:r>
    </w:p>
    <w:p>
      <w:pPr>
        <w:spacing w:before="120" w:after="120"/>
        <w:ind w:left="567"/>
        <w:pBdr>
          <w:left w:val="single" w:sz="12" w:space="6" w:color="007078"/>
        </w:pBdr>
      </w:pPr>
      <w:r>
        <w:rPr>
          <w:i/>
          <w:color w:val="595959"/>
          <w:sz w:val="21"/>
        </w:rPr>
        <w:t>How to read this document:  ✓ marks completed tasks (inherited from Objective 1).  ○ marks items that must still be run for Objective 2.</w:t>
      </w:r>
    </w:p>
    <w:p>
      <w:pPr>
        <w:spacing w:before="360" w:after="80"/>
        <w:pBdr>
          <w:bottom w:val="single" w:sz="6" w:space="1" w:color="1F497D"/>
        </w:pBdr>
      </w:pPr>
      <w:r>
        <w:rPr>
          <w:b/>
          <w:color w:val="1F497D"/>
          <w:sz w:val="32"/>
        </w:rPr>
        <w:t>1.  What is Objective 2?</w:t>
      </w:r>
    </w:p>
    <w:p>
      <w:pPr>
        <w:spacing w:before="40" w:after="80"/>
      </w:pPr>
      <w:r>
        <w:rPr>
          <w:color w:val="595959"/>
          <w:sz w:val="22"/>
        </w:rPr>
        <w:t>Objective 2 from the research proposal states:</w:t>
      </w:r>
    </w:p>
    <w:p>
      <w:pPr>
        <w:spacing w:before="120" w:after="120"/>
        <w:ind w:left="567"/>
        <w:pBdr>
          <w:left w:val="single" w:sz="12" w:space="6" w:color="007078"/>
        </w:pBdr>
      </w:pPr>
      <w:r>
        <w:rPr>
          <w:i/>
          <w:color w:val="595959"/>
          <w:sz w:val="21"/>
        </w:rPr>
        <w:t>"To develop a robust representation learning and pretraining strategy that integrates imbalance-aware learning and foundation-model-based embeddings, with the aim of significantly enhancing predictive performance on unseen drugs, unseen targets, and cross-dataset conditions, thereby mitigating the cold-start generalisation problem."</w:t>
      </w:r>
    </w:p>
    <w:p>
      <w:pPr>
        <w:spacing w:before="40" w:after="80"/>
      </w:pPr>
      <w:r>
        <w:rPr>
          <w:color w:val="595959"/>
          <w:sz w:val="22"/>
        </w:rPr>
        <w:t>In plain terms, Objective 2 asks three related questions:</w:t>
      </w:r>
    </w:p>
    <w:p>
      <w:pPr>
        <w:pStyle w:val="ListBullet"/>
        <w:spacing w:before="20" w:after="20"/>
        <w:ind w:left="454"/>
      </w:pPr>
      <w:r>
        <w:rPr>
          <w:b/>
          <w:color w:val="595959"/>
          <w:sz w:val="22"/>
        </w:rPr>
        <w:t xml:space="preserve">Q1.  </w:t>
      </w:r>
      <w:r>
        <w:rPr>
          <w:color w:val="595959"/>
          <w:sz w:val="22"/>
        </w:rPr>
        <w:t>Which foundation model embedding gives the best protein and drug representations? The current model uses ESM-2 (8M or 650M parameters) for proteins and ChemBERTa for drugs. Are there better choices — for example, ProtT5 for proteins or MoLFormer for drugs — and does the choice matter more on cold-start splits?</w:t>
      </w:r>
    </w:p>
    <w:p>
      <w:pPr>
        <w:pStyle w:val="ListBullet"/>
        <w:spacing w:before="20" w:after="20"/>
        <w:ind w:left="454"/>
      </w:pPr>
      <w:r>
        <w:rPr>
          <w:b/>
          <w:color w:val="595959"/>
          <w:sz w:val="22"/>
        </w:rPr>
        <w:t xml:space="preserve">Q2.  </w:t>
      </w:r>
      <w:r>
        <w:rPr>
          <w:color w:val="595959"/>
          <w:sz w:val="22"/>
        </w:rPr>
        <w:t>Which imbalance-aware training strategy produces the most reliable predictions when positive interactions are far outnumbered by negatives? The current model uses Focal Loss at a 1:1 sampling ratio. Do different loss functions or sampling ratios improve AUPRC on hard cold splits?</w:t>
      </w:r>
    </w:p>
    <w:p>
      <w:pPr>
        <w:pStyle w:val="ListBullet"/>
        <w:spacing w:before="20" w:after="20"/>
        <w:ind w:left="454"/>
      </w:pPr>
      <w:r>
        <w:rPr>
          <w:b/>
          <w:color w:val="595959"/>
          <w:sz w:val="22"/>
        </w:rPr>
        <w:t xml:space="preserve">Q3.  </w:t>
      </w:r>
      <w:r>
        <w:rPr>
          <w:color w:val="595959"/>
          <w:sz w:val="22"/>
        </w:rPr>
        <w:t>Can self-supervised pretraining on a large unlabelled dataset (BindingDB, ChEMBL, DrugBank) be used to initialise the drug and protein encoders so that fine-tuning on smaller target datasets (Davis, KIBA, Yamanishi_e, Luo_17) gives better cold-start performance and meaningful cross-dataset transfer?</w:t>
      </w:r>
    </w:p>
    <w:p>
      <w:pPr>
        <w:spacing w:before="40" w:after="80"/>
      </w:pPr>
      <w:r>
        <w:rPr>
          <w:color w:val="595959"/>
          <w:sz w:val="22"/>
        </w:rPr>
        <w:t>Objective 1 established that the H-GNN-RNN-DTI architecture outperforms simple concatenation on small datasets and has competitive performance on large ones. However, the cross-dataset transfer experiment (luo_17 → yamanishi_e) gave near-random performance (AUROC 0.508 ± 0.020), confirming that the model does not generalise to unseen molecular distributions without additional strategies. Objective 2 exists to provide those strategies.</w:t>
      </w:r>
    </w:p>
    <w:p>
      <w:pPr>
        <w:spacing w:before="120" w:after="120"/>
        <w:ind w:left="567"/>
        <w:pBdr>
          <w:left w:val="single" w:sz="12" w:space="6" w:color="007078"/>
        </w:pBdr>
      </w:pPr>
      <w:r>
        <w:rPr>
          <w:i/>
          <w:color w:val="595959"/>
          <w:sz w:val="21"/>
        </w:rPr>
        <w:t>Objective 2 does not change the model architecture. It changes how the model is initialised (pretraining), what embeddings it receives (foundation models), and how imbalanced training data is handled (loss function and sampling). The Gated Cross-Attention core remains fixed.</w:t>
      </w:r>
    </w:p>
    <w:p>
      <w:pPr>
        <w:spacing w:before="360" w:after="80"/>
        <w:pBdr>
          <w:bottom w:val="single" w:sz="6" w:space="1" w:color="1F497D"/>
        </w:pBdr>
      </w:pPr>
      <w:r>
        <w:rPr>
          <w:b/>
          <w:color w:val="1F497D"/>
          <w:sz w:val="32"/>
        </w:rPr>
        <w:t>2.  Starting Point — Objective 1 Baseline</w:t>
      </w:r>
    </w:p>
    <w:p>
      <w:pPr>
        <w:spacing w:before="40" w:after="80"/>
      </w:pPr>
      <w:r>
        <w:rPr>
          <w:color w:val="595959"/>
          <w:sz w:val="22"/>
        </w:rPr>
        <w:t>Before planning new experiments, it is important to record exactly what is already available. The following items from Objective 1 are complete and serve as the baseline for all Objective 2 comparisons.</w:t>
      </w:r>
    </w:p>
    <w:p>
      <w:pPr>
        <w:spacing w:before="240" w:after="40"/>
      </w:pPr>
      <w:r>
        <w:rPr>
          <w:b/>
          <w:color w:val="007078"/>
          <w:sz w:val="26"/>
        </w:rPr>
        <w:t>2.1  Completed Infrastructure</w:t>
      </w:r>
    </w:p>
    <w:p>
      <w:pPr>
        <w:spacing w:before="20" w:after="20"/>
        <w:ind w:left="454"/>
      </w:pPr>
      <w:r>
        <w:rPr>
          <w:b/>
          <w:color w:val="19762E"/>
          <w:sz w:val="22"/>
        </w:rPr>
        <w:t xml:space="preserve">✓  </w:t>
      </w:r>
      <w:r>
        <w:rPr>
          <w:color w:val="595959"/>
          <w:sz w:val="22"/>
        </w:rPr>
        <w:t>H-GNN-RNN-DTI model implemented: 3-layer H-GAT (8 heads) + 2-layer BiGRU + Gated Cross-Attention.</w:t>
      </w:r>
    </w:p>
    <w:p>
      <w:pPr>
        <w:spacing w:before="20" w:after="20"/>
        <w:ind w:left="454"/>
      </w:pPr>
      <w:r>
        <w:rPr>
          <w:b/>
          <w:color w:val="19762E"/>
          <w:sz w:val="22"/>
        </w:rPr>
        <w:t xml:space="preserve">✓  </w:t>
      </w:r>
      <w:r>
        <w:rPr>
          <w:color w:val="595959"/>
          <w:sz w:val="22"/>
        </w:rPr>
        <w:t>ConcatBaseline implemented: same encoders, cross-attention replaced by MLP on concatenation.</w:t>
      </w:r>
    </w:p>
    <w:p>
      <w:pPr>
        <w:spacing w:before="20" w:after="20"/>
        <w:ind w:left="454"/>
      </w:pPr>
      <w:r>
        <w:rPr>
          <w:b/>
          <w:color w:val="19762E"/>
          <w:sz w:val="22"/>
        </w:rPr>
        <w:t xml:space="preserve">✓  </w:t>
      </w:r>
      <w:r>
        <w:rPr>
          <w:color w:val="595959"/>
          <w:sz w:val="22"/>
        </w:rPr>
        <w:t>Training pipeline: Adam optimiser, cosine LR annealing, early stopping, gradient clipping.</w:t>
      </w:r>
    </w:p>
    <w:p>
      <w:pPr>
        <w:spacing w:before="20" w:after="20"/>
        <w:ind w:left="454"/>
      </w:pPr>
      <w:r>
        <w:rPr>
          <w:b/>
          <w:color w:val="19762E"/>
          <w:sz w:val="22"/>
        </w:rPr>
        <w:t xml:space="preserve">✓  </w:t>
      </w:r>
      <w:r>
        <w:rPr>
          <w:color w:val="595959"/>
          <w:sz w:val="22"/>
        </w:rPr>
        <w:t>Focal Loss (DTI) and MSE Loss (DTA) implemented and tested.</w:t>
      </w:r>
    </w:p>
    <w:p>
      <w:pPr>
        <w:spacing w:before="20" w:after="20"/>
        <w:ind w:left="454"/>
      </w:pPr>
      <w:r>
        <w:rPr>
          <w:b/>
          <w:color w:val="19762E"/>
          <w:sz w:val="22"/>
        </w:rPr>
        <w:t xml:space="preserve">✓  </w:t>
      </w:r>
      <w:r>
        <w:rPr>
          <w:color w:val="595959"/>
          <w:sz w:val="22"/>
        </w:rPr>
        <w:t>Four split types prepared for all datasets: random, cold_drug, cold_target, cold_pair.</w:t>
      </w:r>
    </w:p>
    <w:p>
      <w:pPr>
        <w:spacing w:before="20" w:after="20"/>
        <w:ind w:left="454"/>
      </w:pPr>
      <w:r>
        <w:rPr>
          <w:b/>
          <w:color w:val="19762E"/>
          <w:sz w:val="22"/>
        </w:rPr>
        <w:t xml:space="preserve">✓  </w:t>
      </w:r>
      <w:r>
        <w:rPr>
          <w:color w:val="595959"/>
          <w:sz w:val="22"/>
        </w:rPr>
        <w:t>Drug graphs (RDKit + ChemBERTa) preprocessed for Davis, KIBA, Luo_17, Yamanishi_e.</w:t>
      </w:r>
    </w:p>
    <w:p>
      <w:pPr>
        <w:spacing w:before="20" w:after="20"/>
        <w:ind w:left="454"/>
      </w:pPr>
      <w:r>
        <w:rPr>
          <w:b/>
          <w:color w:val="19762E"/>
          <w:sz w:val="22"/>
        </w:rPr>
        <w:t xml:space="preserve">✓  </w:t>
      </w:r>
      <w:r>
        <w:rPr>
          <w:color w:val="595959"/>
          <w:sz w:val="22"/>
        </w:rPr>
        <w:t>Protein ESM-2 embeddings preprocessed: ESM-2 8M for small datasets, 650M for Luo_17.</w:t>
      </w:r>
    </w:p>
    <w:p>
      <w:pPr>
        <w:spacing w:before="20" w:after="20"/>
        <w:ind w:left="454"/>
      </w:pPr>
      <w:r>
        <w:rPr>
          <w:b/>
          <w:color w:val="19762E"/>
          <w:sz w:val="22"/>
        </w:rPr>
        <w:t xml:space="preserve">✓  </w:t>
      </w:r>
      <w:r>
        <w:rPr>
          <w:color w:val="595959"/>
          <w:sz w:val="22"/>
        </w:rPr>
        <w:t>1:1 negative sampling implemented for all DTI datasets.</w:t>
      </w:r>
    </w:p>
    <w:p>
      <w:pPr>
        <w:spacing w:before="240" w:after="40"/>
      </w:pPr>
      <w:r>
        <w:rPr>
          <w:b/>
          <w:color w:val="007078"/>
          <w:sz w:val="26"/>
        </w:rPr>
        <w:t>2.2  Baseline Numbers (Objective 1 Results)</w:t>
      </w:r>
    </w:p>
    <w:p>
      <w:pPr>
        <w:spacing w:before="40" w:after="80"/>
      </w:pPr>
      <w:r>
        <w:rPr>
          <w:color w:val="595959"/>
          <w:sz w:val="22"/>
        </w:rPr>
        <w:t>These results are the floor that Objective 2 experiments must beat.</w:t>
      </w:r>
    </w:p>
    <w:p>
      <w:pPr>
        <w:spacing w:before="160" w:after="40"/>
      </w:pPr>
      <w:r>
        <w:rPr>
          <w:b/>
          <w:color w:val="1F497D"/>
          <w:sz w:val="22"/>
        </w:rPr>
        <w:t>DTI Cold-Start Performance — H-GNN-RNN-DTI (AUROC, mean ± std, 5 seeds)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728"/>
            <w:shd w:val="clear" w:color="auto" w:fill="1F497D"/>
          </w:tcPr>
          <w:p>
            <w:r>
              <w:rPr>
                <w:b/>
                <w:color w:val="FFFFFF"/>
                <w:sz w:val="20"/>
              </w:rPr>
              <w:t>Dataset</w:t>
            </w:r>
          </w:p>
        </w:tc>
        <w:tc>
          <w:tcPr>
            <w:tcW w:type="dxa" w:w="1872"/>
            <w:shd w:val="clear" w:color="auto" w:fill="1F497D"/>
          </w:tcPr>
          <w:p>
            <w:r>
              <w:rPr>
                <w:b/>
                <w:color w:val="FFFFFF"/>
                <w:sz w:val="20"/>
              </w:rPr>
              <w:t>Random</w:t>
            </w:r>
          </w:p>
        </w:tc>
        <w:tc>
          <w:tcPr>
            <w:tcW w:type="dxa" w:w="1872"/>
            <w:shd w:val="clear" w:color="auto" w:fill="1F497D"/>
          </w:tcPr>
          <w:p>
            <w:r>
              <w:rPr>
                <w:b/>
                <w:color w:val="FFFFFF"/>
                <w:sz w:val="20"/>
              </w:rPr>
              <w:t>Cold-Drug</w:t>
            </w:r>
          </w:p>
        </w:tc>
        <w:tc>
          <w:tcPr>
            <w:tcW w:type="dxa" w:w="1872"/>
            <w:shd w:val="clear" w:color="auto" w:fill="1F497D"/>
          </w:tcPr>
          <w:p>
            <w:r>
              <w:rPr>
                <w:b/>
                <w:color w:val="FFFFFF"/>
                <w:sz w:val="20"/>
              </w:rPr>
              <w:t>Cold-Target</w:t>
            </w:r>
          </w:p>
        </w:tc>
        <w:tc>
          <w:tcPr>
            <w:tcW w:type="dxa" w:w="1872"/>
            <w:shd w:val="clear" w:color="auto" w:fill="1F497D"/>
          </w:tcPr>
          <w:p>
            <w:r>
              <w:rPr>
                <w:b/>
                <w:color w:val="FFFFFF"/>
                <w:sz w:val="20"/>
              </w:rPr>
              <w:t>Cold-Pair</w:t>
            </w:r>
          </w:p>
        </w:tc>
      </w:tr>
      <w:tr>
        <w:tc>
          <w:tcPr>
            <w:tcW w:type="dxa" w:w="1728"/>
            <w:shd w:val="clear" w:color="auto" w:fill="F2F7FF"/>
          </w:tcPr>
          <w:p>
            <w:r>
              <w:rPr>
                <w:color w:val="595959"/>
                <w:sz w:val="20"/>
              </w:rPr>
              <w:t>yamanishi_e</w:t>
            </w:r>
          </w:p>
        </w:tc>
        <w:tc>
          <w:tcPr>
            <w:tcW w:type="dxa" w:w="1872"/>
            <w:shd w:val="clear" w:color="auto" w:fill="F2F7FF"/>
          </w:tcPr>
          <w:p>
            <w:r>
              <w:rPr>
                <w:color w:val="595959"/>
                <w:sz w:val="20"/>
              </w:rPr>
              <w:t>0.756 ± 0.125</w:t>
            </w:r>
          </w:p>
        </w:tc>
        <w:tc>
          <w:tcPr>
            <w:tcW w:type="dxa" w:w="1872"/>
            <w:shd w:val="clear" w:color="auto" w:fill="F2F7FF"/>
          </w:tcPr>
          <w:p>
            <w:r>
              <w:rPr>
                <w:color w:val="595959"/>
                <w:sz w:val="20"/>
              </w:rPr>
              <w:t>0.774 ± 0.011</w:t>
            </w:r>
          </w:p>
        </w:tc>
        <w:tc>
          <w:tcPr>
            <w:tcW w:type="dxa" w:w="1872"/>
            <w:shd w:val="clear" w:color="auto" w:fill="F2F7FF"/>
          </w:tcPr>
          <w:p>
            <w:r>
              <w:rPr>
                <w:color w:val="595959"/>
                <w:sz w:val="20"/>
              </w:rPr>
              <w:t>0.438 ± 0.045</w:t>
            </w:r>
          </w:p>
        </w:tc>
        <w:tc>
          <w:tcPr>
            <w:tcW w:type="dxa" w:w="1872"/>
            <w:shd w:val="clear" w:color="auto" w:fill="F2F7FF"/>
          </w:tcPr>
          <w:p>
            <w:r>
              <w:rPr>
                <w:color w:val="595959"/>
                <w:sz w:val="20"/>
              </w:rPr>
              <w:t>0.746 ± 0.054</w:t>
            </w:r>
          </w:p>
        </w:tc>
      </w:tr>
      <w:tr>
        <w:tc>
          <w:tcPr>
            <w:tcW w:type="dxa" w:w="1728"/>
            <w:shd w:val="clear" w:color="auto" w:fill="FFFFFF"/>
          </w:tcPr>
          <w:p>
            <w:r>
              <w:rPr>
                <w:color w:val="595959"/>
                <w:sz w:val="20"/>
              </w:rPr>
              <w:t>luo_17</w:t>
            </w:r>
          </w:p>
        </w:tc>
        <w:tc>
          <w:tcPr>
            <w:tcW w:type="dxa" w:w="1872"/>
            <w:shd w:val="clear" w:color="auto" w:fill="FFFFFF"/>
          </w:tcPr>
          <w:p>
            <w:r>
              <w:rPr>
                <w:color w:val="595959"/>
                <w:sz w:val="20"/>
              </w:rPr>
              <w:t>0.946 ± 0.005</w:t>
            </w:r>
          </w:p>
        </w:tc>
        <w:tc>
          <w:tcPr>
            <w:tcW w:type="dxa" w:w="1872"/>
            <w:shd w:val="clear" w:color="auto" w:fill="FFFFFF"/>
          </w:tcPr>
          <w:p>
            <w:r>
              <w:rPr>
                <w:color w:val="595959"/>
                <w:sz w:val="20"/>
              </w:rPr>
              <w:t>0.913 ± 0.009</w:t>
            </w:r>
          </w:p>
        </w:tc>
        <w:tc>
          <w:tcPr>
            <w:tcW w:type="dxa" w:w="1872"/>
            <w:shd w:val="clear" w:color="auto" w:fill="FFFFFF"/>
          </w:tcPr>
          <w:p>
            <w:r>
              <w:rPr>
                <w:color w:val="595959"/>
                <w:sz w:val="20"/>
              </w:rPr>
              <w:t>0.778 ± 0.014</w:t>
            </w:r>
          </w:p>
        </w:tc>
        <w:tc>
          <w:tcPr>
            <w:tcW w:type="dxa" w:w="1872"/>
            <w:shd w:val="clear" w:color="auto" w:fill="FFFFFF"/>
          </w:tcPr>
          <w:p>
            <w:r>
              <w:rPr>
                <w:color w:val="595959"/>
                <w:sz w:val="20"/>
              </w:rPr>
              <w:t>0.948 ± 0.002</w:t>
            </w:r>
          </w:p>
        </w:tc>
      </w:tr>
    </w:tbl>
    <w:p/>
    <w:p>
      <w:pPr>
        <w:spacing w:before="160" w:after="40"/>
      </w:pPr>
      <w:r>
        <w:rPr>
          <w:b/>
          <w:color w:val="1F497D"/>
          <w:sz w:val="22"/>
        </w:rPr>
        <w:t>DTA Regression Performance — H-GNN-RNN-DTI (mean ± std, 5 seeds)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728"/>
            <w:shd w:val="clear" w:color="auto" w:fill="1F497D"/>
          </w:tcPr>
          <w:p>
            <w:r>
              <w:rPr>
                <w:b/>
                <w:color w:val="FFFFFF"/>
                <w:sz w:val="20"/>
              </w:rPr>
              <w:t>Dataset</w:t>
            </w:r>
          </w:p>
        </w:tc>
        <w:tc>
          <w:tcPr>
            <w:tcW w:type="dxa" w:w="1872"/>
            <w:shd w:val="clear" w:color="auto" w:fill="1F497D"/>
          </w:tcPr>
          <w:p>
            <w:r>
              <w:rPr>
                <w:b/>
                <w:color w:val="FFFFFF"/>
                <w:sz w:val="20"/>
              </w:rPr>
              <w:t>MSE ↓</w:t>
            </w:r>
          </w:p>
        </w:tc>
        <w:tc>
          <w:tcPr>
            <w:tcW w:type="dxa" w:w="1872"/>
            <w:shd w:val="clear" w:color="auto" w:fill="1F497D"/>
          </w:tcPr>
          <w:p>
            <w:r>
              <w:rPr>
                <w:b/>
                <w:color w:val="FFFFFF"/>
                <w:sz w:val="20"/>
              </w:rPr>
              <w:t>RMSE ↓</w:t>
            </w:r>
          </w:p>
        </w:tc>
        <w:tc>
          <w:tcPr>
            <w:tcW w:type="dxa" w:w="2016"/>
            <w:shd w:val="clear" w:color="auto" w:fill="1F497D"/>
          </w:tcPr>
          <w:p>
            <w:r>
              <w:rPr>
                <w:b/>
                <w:color w:val="FFFFFF"/>
                <w:sz w:val="20"/>
              </w:rPr>
              <w:t>Pearson r ↑</w:t>
            </w:r>
          </w:p>
        </w:tc>
        <w:tc>
          <w:tcPr>
            <w:tcW w:type="dxa" w:w="1584"/>
            <w:shd w:val="clear" w:color="auto" w:fill="1F497D"/>
          </w:tcPr>
          <w:p>
            <w:r>
              <w:rPr>
                <w:b/>
                <w:color w:val="FFFFFF"/>
                <w:sz w:val="20"/>
              </w:rPr>
              <w:t>R² ↑</w:t>
            </w:r>
          </w:p>
        </w:tc>
      </w:tr>
      <w:tr>
        <w:tc>
          <w:tcPr>
            <w:tcW w:type="dxa" w:w="1728"/>
            <w:shd w:val="clear" w:color="auto" w:fill="F2F7FF"/>
          </w:tcPr>
          <w:p>
            <w:r>
              <w:rPr>
                <w:color w:val="595959"/>
                <w:sz w:val="20"/>
              </w:rPr>
              <w:t>Davis</w:t>
            </w:r>
          </w:p>
        </w:tc>
        <w:tc>
          <w:tcPr>
            <w:tcW w:type="dxa" w:w="1872"/>
            <w:shd w:val="clear" w:color="auto" w:fill="F2F7FF"/>
          </w:tcPr>
          <w:p>
            <w:r>
              <w:rPr>
                <w:color w:val="595959"/>
                <w:sz w:val="20"/>
              </w:rPr>
              <w:t>0.379 ± 0.011</w:t>
            </w:r>
          </w:p>
        </w:tc>
        <w:tc>
          <w:tcPr>
            <w:tcW w:type="dxa" w:w="1872"/>
            <w:shd w:val="clear" w:color="auto" w:fill="F2F7FF"/>
          </w:tcPr>
          <w:p>
            <w:r>
              <w:rPr>
                <w:color w:val="595959"/>
                <w:sz w:val="20"/>
              </w:rPr>
              <w:t>0.615 ± 0.009</w:t>
            </w:r>
          </w:p>
        </w:tc>
        <w:tc>
          <w:tcPr>
            <w:tcW w:type="dxa" w:w="2016"/>
            <w:shd w:val="clear" w:color="auto" w:fill="F2F7FF"/>
          </w:tcPr>
          <w:p>
            <w:r>
              <w:rPr>
                <w:color w:val="595959"/>
                <w:sz w:val="20"/>
              </w:rPr>
              <w:t>0.721 ± 0.013</w:t>
            </w:r>
          </w:p>
        </w:tc>
        <w:tc>
          <w:tcPr>
            <w:tcW w:type="dxa" w:w="1584"/>
            <w:shd w:val="clear" w:color="auto" w:fill="F2F7FF"/>
          </w:tcPr>
          <w:p>
            <w:r>
              <w:rPr>
                <w:color w:val="595959"/>
                <w:sz w:val="20"/>
              </w:rPr>
              <w:t>0.508 ± 0.014</w:t>
            </w:r>
          </w:p>
        </w:tc>
      </w:tr>
      <w:tr>
        <w:tc>
          <w:tcPr>
            <w:tcW w:type="dxa" w:w="1728"/>
            <w:shd w:val="clear" w:color="auto" w:fill="FFFFFF"/>
          </w:tcPr>
          <w:p>
            <w:r>
              <w:rPr>
                <w:color w:val="595959"/>
                <w:sz w:val="20"/>
              </w:rPr>
              <w:t>KIBA</w:t>
            </w:r>
          </w:p>
        </w:tc>
        <w:tc>
          <w:tcPr>
            <w:tcW w:type="dxa" w:w="1872"/>
            <w:shd w:val="clear" w:color="auto" w:fill="FFFFFF"/>
          </w:tcPr>
          <w:p>
            <w:r>
              <w:rPr>
                <w:color w:val="595959"/>
                <w:sz w:val="20"/>
              </w:rPr>
              <w:t>0.274 ± 0.014</w:t>
            </w:r>
          </w:p>
        </w:tc>
        <w:tc>
          <w:tcPr>
            <w:tcW w:type="dxa" w:w="1872"/>
            <w:shd w:val="clear" w:color="auto" w:fill="FFFFFF"/>
          </w:tcPr>
          <w:p>
            <w:r>
              <w:rPr>
                <w:color w:val="595959"/>
                <w:sz w:val="20"/>
              </w:rPr>
              <w:t>0.523 ± 0.013</w:t>
            </w:r>
          </w:p>
        </w:tc>
        <w:tc>
          <w:tcPr>
            <w:tcW w:type="dxa" w:w="2016"/>
            <w:shd w:val="clear" w:color="auto" w:fill="FFFFFF"/>
          </w:tcPr>
          <w:p>
            <w:r>
              <w:rPr>
                <w:color w:val="595959"/>
                <w:sz w:val="20"/>
              </w:rPr>
              <w:t>0.787 ± 0.012</w:t>
            </w:r>
          </w:p>
        </w:tc>
        <w:tc>
          <w:tcPr>
            <w:tcW w:type="dxa" w:w="1584"/>
            <w:shd w:val="clear" w:color="auto" w:fill="FFFFFF"/>
          </w:tcPr>
          <w:p>
            <w:r>
              <w:rPr>
                <w:color w:val="595959"/>
                <w:sz w:val="20"/>
              </w:rPr>
              <w:t>0.613 ± 0.019</w:t>
            </w:r>
          </w:p>
        </w:tc>
      </w:tr>
    </w:tbl>
    <w:p/>
    <w:p>
      <w:pPr>
        <w:spacing w:before="160" w:after="40"/>
      </w:pPr>
      <w:r>
        <w:rPr>
          <w:b/>
          <w:color w:val="1F497D"/>
          <w:sz w:val="22"/>
        </w:rPr>
        <w:t>Cross-Dataset Transfer Baseline (luo_17 → yamanishi_e, 5 seeds)</w:t>
      </w:r>
    </w:p>
    <w:tbl>
      <w:tblPr>
        <w:tblStyle w:val="TableGrid"/>
        <w:tblW w:type="auto" w:w="0"/>
        <w:tblLook w:firstColumn="1" w:firstRow="1" w:lastColumn="0" w:lastRow="0" w:noHBand="0" w:noVBand="1" w:val="04A0"/>
      </w:tblPr>
      <w:tblGrid>
        <w:gridCol w:w="3041"/>
        <w:gridCol w:w="3041"/>
        <w:gridCol w:w="3041"/>
      </w:tblGrid>
      <w:tr>
        <w:tc>
          <w:tcPr>
            <w:tcW w:type="dxa" w:w="3168"/>
            <w:shd w:val="clear" w:color="auto" w:fill="1F497D"/>
          </w:tcPr>
          <w:p>
            <w:r>
              <w:rPr>
                <w:b/>
                <w:color w:val="FFFFFF"/>
                <w:sz w:val="20"/>
              </w:rPr>
              <w:t>Scenario</w:t>
            </w:r>
          </w:p>
        </w:tc>
        <w:tc>
          <w:tcPr>
            <w:tcW w:type="dxa" w:w="1872"/>
            <w:shd w:val="clear" w:color="auto" w:fill="1F497D"/>
          </w:tcPr>
          <w:p>
            <w:r>
              <w:rPr>
                <w:b/>
                <w:color w:val="FFFFFF"/>
                <w:sz w:val="20"/>
              </w:rPr>
              <w:t>AUROC</w:t>
            </w:r>
          </w:p>
        </w:tc>
        <w:tc>
          <w:tcPr>
            <w:tcW w:type="dxa" w:w="3600"/>
            <w:shd w:val="clear" w:color="auto" w:fill="1F497D"/>
          </w:tcPr>
          <w:p>
            <w:r>
              <w:rPr>
                <w:b/>
                <w:color w:val="FFFFFF"/>
                <w:sz w:val="20"/>
              </w:rPr>
              <w:t>Interpretation</w:t>
            </w:r>
          </w:p>
        </w:tc>
      </w:tr>
      <w:tr>
        <w:tc>
          <w:tcPr>
            <w:tcW w:type="dxa" w:w="3168"/>
            <w:shd w:val="clear" w:color="auto" w:fill="F2F7FF"/>
          </w:tcPr>
          <w:p>
            <w:r>
              <w:rPr>
                <w:color w:val="595959"/>
                <w:sz w:val="20"/>
              </w:rPr>
              <w:t>luo_17 (in-domain)</w:t>
            </w:r>
          </w:p>
        </w:tc>
        <w:tc>
          <w:tcPr>
            <w:tcW w:type="dxa" w:w="1872"/>
            <w:shd w:val="clear" w:color="auto" w:fill="F2F7FF"/>
          </w:tcPr>
          <w:p>
            <w:r>
              <w:rPr>
                <w:color w:val="595959"/>
                <w:sz w:val="20"/>
              </w:rPr>
              <w:t>0.946 ± 0.005</w:t>
            </w:r>
          </w:p>
        </w:tc>
        <w:tc>
          <w:tcPr>
            <w:tcW w:type="dxa" w:w="3600"/>
            <w:shd w:val="clear" w:color="auto" w:fill="F2F7FF"/>
          </w:tcPr>
          <w:p>
            <w:r>
              <w:rPr>
                <w:color w:val="595959"/>
                <w:sz w:val="20"/>
              </w:rPr>
              <w:t>Strong; used as source dataset.</w:t>
            </w:r>
          </w:p>
        </w:tc>
      </w:tr>
      <w:tr>
        <w:tc>
          <w:tcPr>
            <w:tcW w:type="dxa" w:w="3168"/>
            <w:shd w:val="clear" w:color="auto" w:fill="FFFFFF"/>
          </w:tcPr>
          <w:p>
            <w:r>
              <w:rPr>
                <w:color w:val="595959"/>
                <w:sz w:val="20"/>
              </w:rPr>
              <w:t>yamanishi_e (in-domain)</w:t>
            </w:r>
          </w:p>
        </w:tc>
        <w:tc>
          <w:tcPr>
            <w:tcW w:type="dxa" w:w="1872"/>
            <w:shd w:val="clear" w:color="auto" w:fill="FFFFFF"/>
          </w:tcPr>
          <w:p>
            <w:r>
              <w:rPr>
                <w:color w:val="595959"/>
                <w:sz w:val="20"/>
              </w:rPr>
              <w:t>0.756 ± 0.112</w:t>
            </w:r>
          </w:p>
        </w:tc>
        <w:tc>
          <w:tcPr>
            <w:tcW w:type="dxa" w:w="3600"/>
            <w:shd w:val="clear" w:color="auto" w:fill="FFFFFF"/>
          </w:tcPr>
          <w:p>
            <w:r>
              <w:rPr>
                <w:color w:val="595959"/>
                <w:sz w:val="20"/>
              </w:rPr>
              <w:t>Reasonable; used as target dataset.</w:t>
            </w:r>
          </w:p>
        </w:tc>
      </w:tr>
      <w:tr>
        <w:tc>
          <w:tcPr>
            <w:tcW w:type="dxa" w:w="3168"/>
            <w:shd w:val="clear" w:color="auto" w:fill="F2F7FF"/>
          </w:tcPr>
          <w:p>
            <w:r>
              <w:rPr>
                <w:color w:val="595959"/>
                <w:sz w:val="20"/>
              </w:rPr>
              <w:t>luo_17 → yamanishi_e</w:t>
            </w:r>
          </w:p>
        </w:tc>
        <w:tc>
          <w:tcPr>
            <w:tcW w:type="dxa" w:w="1872"/>
            <w:shd w:val="clear" w:color="auto" w:fill="F2F7FF"/>
          </w:tcPr>
          <w:p>
            <w:r>
              <w:rPr>
                <w:color w:val="595959"/>
                <w:sz w:val="20"/>
              </w:rPr>
              <w:t>0.508 ± 0.020</w:t>
            </w:r>
          </w:p>
        </w:tc>
        <w:tc>
          <w:tcPr>
            <w:tcW w:type="dxa" w:w="3600"/>
            <w:shd w:val="clear" w:color="auto" w:fill="F2F7FF"/>
          </w:tcPr>
          <w:p>
            <w:r>
              <w:rPr>
                <w:color w:val="595959"/>
                <w:sz w:val="20"/>
              </w:rPr>
              <w:t>Near-random — no cross-dataset transfer.</w:t>
            </w:r>
          </w:p>
        </w:tc>
      </w:tr>
    </w:tbl>
    <w:p/>
    <w:p>
      <w:pPr>
        <w:spacing w:before="120" w:after="120"/>
        <w:ind w:left="567"/>
        <w:pBdr>
          <w:left w:val="single" w:sz="12" w:space="6" w:color="C55A11"/>
        </w:pBdr>
      </w:pPr>
      <w:r>
        <w:rPr>
          <w:i/>
          <w:color w:val="595959"/>
          <w:sz w:val="21"/>
        </w:rPr>
        <w:t>The 0.508 cross-dataset AUROC is the central motivation for Objective 2. Phase 3 (pretraining) directly targets improving this number.</w:t>
      </w:r>
    </w:p>
    <w:p>
      <w:pPr>
        <w:spacing w:before="240" w:after="40"/>
      </w:pPr>
      <w:r>
        <w:rPr>
          <w:b/>
          <w:color w:val="007078"/>
          <w:sz w:val="26"/>
        </w:rPr>
        <w:t>2.3  Known Weaknesses to Address</w:t>
      </w:r>
    </w:p>
    <w:tbl>
      <w:tblPr>
        <w:tblStyle w:val="TableGrid"/>
        <w:tblW w:type="auto" w:w="0"/>
        <w:tblLook w:firstColumn="1" w:firstRow="1" w:lastColumn="0" w:lastRow="0" w:noHBand="0" w:noVBand="1" w:val="04A0"/>
      </w:tblPr>
      <w:tblGrid>
        <w:gridCol w:w="4561"/>
        <w:gridCol w:w="4561"/>
      </w:tblGrid>
      <w:tr>
        <w:tc>
          <w:tcPr>
            <w:tcW w:type="dxa" w:w="5040"/>
            <w:shd w:val="clear" w:color="auto" w:fill="1F497D"/>
          </w:tcPr>
          <w:p>
            <w:r>
              <w:rPr>
                <w:b/>
                <w:color w:val="FFFFFF"/>
                <w:sz w:val="20"/>
              </w:rPr>
              <w:t>Weakness</w:t>
            </w:r>
          </w:p>
        </w:tc>
        <w:tc>
          <w:tcPr>
            <w:tcW w:type="dxa" w:w="3888"/>
            <w:shd w:val="clear" w:color="auto" w:fill="1F497D"/>
          </w:tcPr>
          <w:p>
            <w:r>
              <w:rPr>
                <w:b/>
                <w:color w:val="FFFFFF"/>
                <w:sz w:val="20"/>
              </w:rPr>
              <w:t>Phase That Addresses It</w:t>
            </w:r>
          </w:p>
        </w:tc>
      </w:tr>
      <w:tr>
        <w:tc>
          <w:tcPr>
            <w:tcW w:type="dxa" w:w="5040"/>
            <w:shd w:val="clear" w:color="auto" w:fill="F2F7FF"/>
          </w:tcPr>
          <w:p>
            <w:r>
              <w:rPr>
                <w:color w:val="595959"/>
                <w:sz w:val="20"/>
              </w:rPr>
              <w:t>ESM-2 8M may be too small for cold-target generalisation (unseen protein sequences).</w:t>
            </w:r>
          </w:p>
        </w:tc>
        <w:tc>
          <w:tcPr>
            <w:tcW w:type="dxa" w:w="3888"/>
            <w:shd w:val="clear" w:color="auto" w:fill="F2F7FF"/>
          </w:tcPr>
          <w:p>
            <w:r>
              <w:rPr>
                <w:color w:val="595959"/>
                <w:sz w:val="20"/>
              </w:rPr>
              <w:t>Phase 1 — Embedding Comparison</w:t>
            </w:r>
          </w:p>
        </w:tc>
      </w:tr>
      <w:tr>
        <w:tc>
          <w:tcPr>
            <w:tcW w:type="dxa" w:w="5040"/>
            <w:shd w:val="clear" w:color="auto" w:fill="FFFFFF"/>
          </w:tcPr>
          <w:p>
            <w:r>
              <w:rPr>
                <w:color w:val="595959"/>
                <w:sz w:val="20"/>
              </w:rPr>
              <w:t>1:1 negative sampling and Focal Loss may not be optimal for highly imbalanced real-world data.</w:t>
            </w:r>
          </w:p>
        </w:tc>
        <w:tc>
          <w:tcPr>
            <w:tcW w:type="dxa" w:w="3888"/>
            <w:shd w:val="clear" w:color="auto" w:fill="FFFFFF"/>
          </w:tcPr>
          <w:p>
            <w:r>
              <w:rPr>
                <w:color w:val="595959"/>
                <w:sz w:val="20"/>
              </w:rPr>
              <w:t>Phase 2 — Imbalance-Aware Learning</w:t>
            </w:r>
          </w:p>
        </w:tc>
      </w:tr>
      <w:tr>
        <w:tc>
          <w:tcPr>
            <w:tcW w:type="dxa" w:w="5040"/>
            <w:shd w:val="clear" w:color="auto" w:fill="F2F7FF"/>
          </w:tcPr>
          <w:p>
            <w:r>
              <w:rPr>
                <w:color w:val="595959"/>
                <w:sz w:val="20"/>
              </w:rPr>
              <w:t>No cross-dataset transfer (AUROC 0.508); model overfits to source distribution.</w:t>
            </w:r>
          </w:p>
        </w:tc>
        <w:tc>
          <w:tcPr>
            <w:tcW w:type="dxa" w:w="3888"/>
            <w:shd w:val="clear" w:color="auto" w:fill="F2F7FF"/>
          </w:tcPr>
          <w:p>
            <w:r>
              <w:rPr>
                <w:color w:val="595959"/>
                <w:sz w:val="20"/>
              </w:rPr>
              <w:t>Phase 3 — Pretraining Strategy</w:t>
            </w:r>
          </w:p>
        </w:tc>
      </w:tr>
      <w:tr>
        <w:tc>
          <w:tcPr>
            <w:tcW w:type="dxa" w:w="5040"/>
            <w:shd w:val="clear" w:color="auto" w:fill="FFFFFF"/>
          </w:tcPr>
          <w:p>
            <w:r>
              <w:rPr>
                <w:color w:val="595959"/>
                <w:sz w:val="20"/>
              </w:rPr>
              <w:t>Cold-target anomaly: Concat beats H-GNN on luo_17 cold_target (0.813 vs 0.778).</w:t>
            </w:r>
          </w:p>
        </w:tc>
        <w:tc>
          <w:tcPr>
            <w:tcW w:type="dxa" w:w="3888"/>
            <w:shd w:val="clear" w:color="auto" w:fill="FFFFFF"/>
          </w:tcPr>
          <w:p>
            <w:r>
              <w:rPr>
                <w:color w:val="595959"/>
                <w:sz w:val="20"/>
              </w:rPr>
              <w:t>Phase 1 + Phase 3</w:t>
            </w:r>
          </w:p>
        </w:tc>
      </w:tr>
      <w:tr>
        <w:tc>
          <w:tcPr>
            <w:tcW w:type="dxa" w:w="5040"/>
            <w:shd w:val="clear" w:color="auto" w:fill="F2F7FF"/>
          </w:tcPr>
          <w:p>
            <w:r>
              <w:rPr>
                <w:color w:val="595959"/>
                <w:sz w:val="20"/>
              </w:rPr>
              <w:t>BindingDB and ChEMBL not used; no large-scale evaluation.</w:t>
            </w:r>
          </w:p>
        </w:tc>
        <w:tc>
          <w:tcPr>
            <w:tcW w:type="dxa" w:w="3888"/>
            <w:shd w:val="clear" w:color="auto" w:fill="F2F7FF"/>
          </w:tcPr>
          <w:p>
            <w:r>
              <w:rPr>
                <w:color w:val="595959"/>
                <w:sz w:val="20"/>
              </w:rPr>
              <w:t>Phase 3 + Phase 4</w:t>
            </w:r>
          </w:p>
        </w:tc>
      </w:tr>
    </w:tbl>
    <w:p/>
    <w:p>
      <w:r>
        <w:br w:type="page"/>
      </w:r>
    </w:p>
    <w:p>
      <w:pPr>
        <w:spacing w:before="360" w:after="80"/>
        <w:pBdr>
          <w:bottom w:val="single" w:sz="6" w:space="1" w:color="1F497D"/>
        </w:pBdr>
      </w:pPr>
      <w:r>
        <w:rPr>
          <w:b/>
          <w:color w:val="1F497D"/>
          <w:sz w:val="32"/>
        </w:rPr>
        <w:t>3.  Phase 1 — Foundation Model Embedding Comparison</w:t>
      </w:r>
    </w:p>
    <w:p>
      <w:pPr>
        <w:spacing w:before="40" w:after="80"/>
      </w:pPr>
      <w:r>
        <w:rPr>
          <w:color w:val="595959"/>
          <w:sz w:val="22"/>
        </w:rPr>
        <w:t>The current model uses ChemBERTa (drug embeddings concatenated to atom features) and ESM-2 (protein sequence embeddings). The proposal notes that 'pre-trained foundation models learn robust and contextual representations that can significantly improve generalisation to new data.' Phase 1 tests whether alternative or larger foundation models improve cold-start performance.</w:t>
      </w:r>
    </w:p>
    <w:p>
      <w:pPr>
        <w:spacing w:before="240" w:after="40"/>
      </w:pPr>
      <w:r>
        <w:rPr>
          <w:b/>
          <w:color w:val="007078"/>
          <w:sz w:val="26"/>
        </w:rPr>
        <w:t>3.1  Research Question</w:t>
      </w:r>
    </w:p>
    <w:p>
      <w:pPr>
        <w:spacing w:before="120" w:after="120"/>
        <w:ind w:left="567"/>
        <w:pBdr>
          <w:left w:val="single" w:sz="12" w:space="6" w:color="007078"/>
        </w:pBdr>
      </w:pPr>
      <w:r>
        <w:rPr>
          <w:i/>
          <w:color w:val="595959"/>
          <w:sz w:val="21"/>
        </w:rPr>
        <w:t>Q1: Which foundation model embedding produces the best DTI and DTA predictions, especially on cold-drug and cold-target splits?</w:t>
      </w:r>
    </w:p>
    <w:p>
      <w:pPr>
        <w:spacing w:before="240" w:after="40"/>
      </w:pPr>
      <w:r>
        <w:rPr>
          <w:b/>
          <w:color w:val="007078"/>
          <w:sz w:val="26"/>
        </w:rPr>
        <w:t>3.2  Models to Compare</w:t>
      </w:r>
    </w:p>
    <w:p>
      <w:pPr>
        <w:spacing w:before="160" w:after="40"/>
      </w:pPr>
      <w:r>
        <w:rPr>
          <w:b/>
          <w:color w:val="1F497D"/>
          <w:sz w:val="22"/>
        </w:rPr>
        <w:t>Protein Encoders</w:t>
      </w:r>
    </w:p>
    <w:tbl>
      <w:tblPr>
        <w:tblStyle w:val="TableGrid"/>
        <w:tblW w:type="auto" w:w="0"/>
        <w:tblLook w:firstColumn="1" w:firstRow="1" w:lastColumn="0" w:lastRow="0" w:noHBand="0" w:noVBand="1" w:val="04A0"/>
      </w:tblPr>
      <w:tblGrid>
        <w:gridCol w:w="2280"/>
        <w:gridCol w:w="2280"/>
        <w:gridCol w:w="2280"/>
        <w:gridCol w:w="2280"/>
      </w:tblGrid>
      <w:tr>
        <w:tc>
          <w:tcPr>
            <w:tcW w:type="dxa" w:w="2448"/>
            <w:shd w:val="clear" w:color="auto" w:fill="1F497D"/>
          </w:tcPr>
          <w:p>
            <w:r>
              <w:rPr>
                <w:b/>
                <w:color w:val="FFFFFF"/>
                <w:sz w:val="20"/>
              </w:rPr>
              <w:t>Encoder</w:t>
            </w:r>
          </w:p>
        </w:tc>
        <w:tc>
          <w:tcPr>
            <w:tcW w:type="dxa" w:w="3312"/>
            <w:shd w:val="clear" w:color="auto" w:fill="1F497D"/>
          </w:tcPr>
          <w:p>
            <w:r>
              <w:rPr>
                <w:b/>
                <w:color w:val="FFFFFF"/>
                <w:sz w:val="20"/>
              </w:rPr>
              <w:t>Model ID</w:t>
            </w:r>
          </w:p>
        </w:tc>
        <w:tc>
          <w:tcPr>
            <w:tcW w:type="dxa" w:w="1440"/>
            <w:shd w:val="clear" w:color="auto" w:fill="1F497D"/>
          </w:tcPr>
          <w:p>
            <w:r>
              <w:rPr>
                <w:b/>
                <w:color w:val="FFFFFF"/>
                <w:sz w:val="20"/>
              </w:rPr>
              <w:t>Embedding Dim</w:t>
            </w:r>
          </w:p>
        </w:tc>
        <w:tc>
          <w:tcPr>
            <w:tcW w:type="dxa" w:w="3168"/>
            <w:shd w:val="clear" w:color="auto" w:fill="1F497D"/>
          </w:tcPr>
          <w:p>
            <w:r>
              <w:rPr>
                <w:b/>
                <w:color w:val="FFFFFF"/>
                <w:sz w:val="20"/>
              </w:rPr>
              <w:t>Notes</w:t>
            </w:r>
          </w:p>
        </w:tc>
      </w:tr>
      <w:tr>
        <w:tc>
          <w:tcPr>
            <w:tcW w:type="dxa" w:w="2448"/>
            <w:shd w:val="clear" w:color="auto" w:fill="F2F7FF"/>
          </w:tcPr>
          <w:p>
            <w:r>
              <w:rPr>
                <w:color w:val="595959"/>
                <w:sz w:val="20"/>
              </w:rPr>
              <w:t>ESM-2 8M (current baseline)</w:t>
            </w:r>
          </w:p>
        </w:tc>
        <w:tc>
          <w:tcPr>
            <w:tcW w:type="dxa" w:w="3312"/>
            <w:shd w:val="clear" w:color="auto" w:fill="F2F7FF"/>
          </w:tcPr>
          <w:p>
            <w:r>
              <w:rPr>
                <w:color w:val="595959"/>
                <w:sz w:val="20"/>
              </w:rPr>
              <w:t>facebook/esm2_t6_8M_UR50D</w:t>
            </w:r>
          </w:p>
        </w:tc>
        <w:tc>
          <w:tcPr>
            <w:tcW w:type="dxa" w:w="1440"/>
            <w:shd w:val="clear" w:color="auto" w:fill="F2F7FF"/>
          </w:tcPr>
          <w:p>
            <w:r>
              <w:rPr>
                <w:color w:val="595959"/>
                <w:sz w:val="20"/>
              </w:rPr>
              <w:t>320</w:t>
            </w:r>
          </w:p>
        </w:tc>
        <w:tc>
          <w:tcPr>
            <w:tcW w:type="dxa" w:w="3168"/>
            <w:shd w:val="clear" w:color="auto" w:fill="F2F7FF"/>
          </w:tcPr>
          <w:p>
            <w:r>
              <w:rPr>
                <w:color w:val="595959"/>
                <w:sz w:val="20"/>
              </w:rPr>
              <w:t>Already done for all datasets. Fast on CPU.</w:t>
            </w:r>
          </w:p>
        </w:tc>
      </w:tr>
      <w:tr>
        <w:tc>
          <w:tcPr>
            <w:tcW w:type="dxa" w:w="2448"/>
            <w:shd w:val="clear" w:color="auto" w:fill="FFFFFF"/>
          </w:tcPr>
          <w:p>
            <w:r>
              <w:rPr>
                <w:color w:val="595959"/>
                <w:sz w:val="20"/>
              </w:rPr>
              <w:t>ESM-2 150M</w:t>
            </w:r>
          </w:p>
        </w:tc>
        <w:tc>
          <w:tcPr>
            <w:tcW w:type="dxa" w:w="3312"/>
            <w:shd w:val="clear" w:color="auto" w:fill="FFFFFF"/>
          </w:tcPr>
          <w:p>
            <w:r>
              <w:rPr>
                <w:color w:val="595959"/>
                <w:sz w:val="20"/>
              </w:rPr>
              <w:t>facebook/esm2_t12_35M_UR50D</w:t>
            </w:r>
          </w:p>
        </w:tc>
        <w:tc>
          <w:tcPr>
            <w:tcW w:type="dxa" w:w="1440"/>
            <w:shd w:val="clear" w:color="auto" w:fill="FFFFFF"/>
          </w:tcPr>
          <w:p>
            <w:r>
              <w:rPr>
                <w:color w:val="595959"/>
                <w:sz w:val="20"/>
              </w:rPr>
              <w:t>480</w:t>
            </w:r>
          </w:p>
        </w:tc>
        <w:tc>
          <w:tcPr>
            <w:tcW w:type="dxa" w:w="3168"/>
            <w:shd w:val="clear" w:color="auto" w:fill="FFFFFF"/>
          </w:tcPr>
          <w:p>
            <w:r>
              <w:rPr>
                <w:color w:val="595959"/>
                <w:sz w:val="20"/>
              </w:rPr>
              <w:t>Moderate size; balance of quality and speed.</w:t>
            </w:r>
          </w:p>
        </w:tc>
      </w:tr>
      <w:tr>
        <w:tc>
          <w:tcPr>
            <w:tcW w:type="dxa" w:w="2448"/>
            <w:shd w:val="clear" w:color="auto" w:fill="F2F7FF"/>
          </w:tcPr>
          <w:p>
            <w:r>
              <w:rPr>
                <w:color w:val="595959"/>
                <w:sz w:val="20"/>
              </w:rPr>
              <w:t>ESM-2 650M (current for Luo_17)</w:t>
            </w:r>
          </w:p>
        </w:tc>
        <w:tc>
          <w:tcPr>
            <w:tcW w:type="dxa" w:w="3312"/>
            <w:shd w:val="clear" w:color="auto" w:fill="F2F7FF"/>
          </w:tcPr>
          <w:p>
            <w:r>
              <w:rPr>
                <w:color w:val="595959"/>
                <w:sz w:val="20"/>
              </w:rPr>
              <w:t>facebook/esm2_t33_650M_UR50D</w:t>
            </w:r>
          </w:p>
        </w:tc>
        <w:tc>
          <w:tcPr>
            <w:tcW w:type="dxa" w:w="1440"/>
            <w:shd w:val="clear" w:color="auto" w:fill="F2F7FF"/>
          </w:tcPr>
          <w:p>
            <w:r>
              <w:rPr>
                <w:color w:val="595959"/>
                <w:sz w:val="20"/>
              </w:rPr>
              <w:t>1280</w:t>
            </w:r>
          </w:p>
        </w:tc>
        <w:tc>
          <w:tcPr>
            <w:tcW w:type="dxa" w:w="3168"/>
            <w:shd w:val="clear" w:color="auto" w:fill="F2F7FF"/>
          </w:tcPr>
          <w:p>
            <w:r>
              <w:rPr>
                <w:color w:val="595959"/>
                <w:sz w:val="20"/>
              </w:rPr>
              <w:t>Highest quality ESM-2 used so far. Slow on CPU.</w:t>
            </w:r>
          </w:p>
        </w:tc>
      </w:tr>
      <w:tr>
        <w:tc>
          <w:tcPr>
            <w:tcW w:type="dxa" w:w="2448"/>
            <w:shd w:val="clear" w:color="auto" w:fill="FFFFFF"/>
          </w:tcPr>
          <w:p>
            <w:r>
              <w:rPr>
                <w:color w:val="595959"/>
                <w:sz w:val="20"/>
              </w:rPr>
              <w:t>ProtT5-XL-UniRef50</w:t>
            </w:r>
          </w:p>
        </w:tc>
        <w:tc>
          <w:tcPr>
            <w:tcW w:type="dxa" w:w="3312"/>
            <w:shd w:val="clear" w:color="auto" w:fill="FFFFFF"/>
          </w:tcPr>
          <w:p>
            <w:r>
              <w:rPr>
                <w:color w:val="595959"/>
                <w:sz w:val="20"/>
              </w:rPr>
              <w:t>Rostlab/prot_t5_xl_uniref50</w:t>
            </w:r>
          </w:p>
        </w:tc>
        <w:tc>
          <w:tcPr>
            <w:tcW w:type="dxa" w:w="1440"/>
            <w:shd w:val="clear" w:color="auto" w:fill="FFFFFF"/>
          </w:tcPr>
          <w:p>
            <w:r>
              <w:rPr>
                <w:color w:val="595959"/>
                <w:sz w:val="20"/>
              </w:rPr>
              <w:t>1024</w:t>
            </w:r>
          </w:p>
        </w:tc>
        <w:tc>
          <w:tcPr>
            <w:tcW w:type="dxa" w:w="3168"/>
            <w:shd w:val="clear" w:color="auto" w:fill="FFFFFF"/>
          </w:tcPr>
          <w:p>
            <w:r>
              <w:rPr>
                <w:color w:val="595959"/>
                <w:sz w:val="20"/>
              </w:rPr>
              <w:t>Trained on UniRef50; state-of-the-art for sequences. Needs GPU.</w:t>
            </w:r>
          </w:p>
        </w:tc>
      </w:tr>
    </w:tbl>
    <w:p/>
    <w:p>
      <w:pPr>
        <w:spacing w:before="160" w:after="40"/>
      </w:pPr>
      <w:r>
        <w:rPr>
          <w:b/>
          <w:color w:val="1F497D"/>
          <w:sz w:val="22"/>
        </w:rPr>
        <w:t>Drug Encoders</w:t>
      </w:r>
    </w:p>
    <w:tbl>
      <w:tblPr>
        <w:tblStyle w:val="TableGrid"/>
        <w:tblW w:type="auto" w:w="0"/>
        <w:tblLook w:firstColumn="1" w:firstRow="1" w:lastColumn="0" w:lastRow="0" w:noHBand="0" w:noVBand="1" w:val="04A0"/>
      </w:tblPr>
      <w:tblGrid>
        <w:gridCol w:w="3041"/>
        <w:gridCol w:w="3041"/>
        <w:gridCol w:w="3041"/>
      </w:tblGrid>
      <w:tr>
        <w:tc>
          <w:tcPr>
            <w:tcW w:type="dxa" w:w="2448"/>
            <w:shd w:val="clear" w:color="auto" w:fill="1F497D"/>
          </w:tcPr>
          <w:p>
            <w:r>
              <w:rPr>
                <w:b/>
                <w:color w:val="FFFFFF"/>
                <w:sz w:val="20"/>
              </w:rPr>
              <w:t>Encoder</w:t>
            </w:r>
          </w:p>
        </w:tc>
        <w:tc>
          <w:tcPr>
            <w:tcW w:type="dxa" w:w="3600"/>
            <w:shd w:val="clear" w:color="auto" w:fill="1F497D"/>
          </w:tcPr>
          <w:p>
            <w:r>
              <w:rPr>
                <w:b/>
                <w:color w:val="FFFFFF"/>
                <w:sz w:val="20"/>
              </w:rPr>
              <w:t>Model ID / Method</w:t>
            </w:r>
          </w:p>
        </w:tc>
        <w:tc>
          <w:tcPr>
            <w:tcW w:type="dxa" w:w="2880"/>
            <w:shd w:val="clear" w:color="auto" w:fill="1F497D"/>
          </w:tcPr>
          <w:p>
            <w:r>
              <w:rPr>
                <w:b/>
                <w:color w:val="FFFFFF"/>
                <w:sz w:val="20"/>
              </w:rPr>
              <w:t>Notes</w:t>
            </w:r>
          </w:p>
        </w:tc>
      </w:tr>
      <w:tr>
        <w:tc>
          <w:tcPr>
            <w:tcW w:type="dxa" w:w="2448"/>
            <w:shd w:val="clear" w:color="auto" w:fill="F2F7FF"/>
          </w:tcPr>
          <w:p>
            <w:r>
              <w:rPr>
                <w:color w:val="595959"/>
                <w:sz w:val="20"/>
              </w:rPr>
              <w:t>ChemBERTa (current baseline)</w:t>
            </w:r>
          </w:p>
        </w:tc>
        <w:tc>
          <w:tcPr>
            <w:tcW w:type="dxa" w:w="3600"/>
            <w:shd w:val="clear" w:color="auto" w:fill="F2F7FF"/>
          </w:tcPr>
          <w:p>
            <w:r>
              <w:rPr>
                <w:color w:val="595959"/>
                <w:sz w:val="20"/>
              </w:rPr>
              <w:t>seyonec/ChemBERTa-zinc-base-v1</w:t>
            </w:r>
          </w:p>
        </w:tc>
        <w:tc>
          <w:tcPr>
            <w:tcW w:type="dxa" w:w="2880"/>
            <w:shd w:val="clear" w:color="auto" w:fill="F2F7FF"/>
          </w:tcPr>
          <w:p>
            <w:r>
              <w:rPr>
                <w:color w:val="595959"/>
                <w:sz w:val="20"/>
              </w:rPr>
              <w:t>Already integrated as node-feature augmentation.</w:t>
            </w:r>
          </w:p>
        </w:tc>
      </w:tr>
      <w:tr>
        <w:tc>
          <w:tcPr>
            <w:tcW w:type="dxa" w:w="2448"/>
            <w:shd w:val="clear" w:color="auto" w:fill="FFFFFF"/>
          </w:tcPr>
          <w:p>
            <w:r>
              <w:rPr>
                <w:color w:val="595959"/>
                <w:sz w:val="20"/>
              </w:rPr>
              <w:t>MoLFormer-XL</w:t>
            </w:r>
          </w:p>
        </w:tc>
        <w:tc>
          <w:tcPr>
            <w:tcW w:type="dxa" w:w="3600"/>
            <w:shd w:val="clear" w:color="auto" w:fill="FFFFFF"/>
          </w:tcPr>
          <w:p>
            <w:r>
              <w:rPr>
                <w:color w:val="595959"/>
                <w:sz w:val="20"/>
              </w:rPr>
              <w:t>ibm/MoLFormer-XL-both-10pct</w:t>
            </w:r>
          </w:p>
        </w:tc>
        <w:tc>
          <w:tcPr>
            <w:tcW w:type="dxa" w:w="2880"/>
            <w:shd w:val="clear" w:color="auto" w:fill="FFFFFF"/>
          </w:tcPr>
          <w:p>
            <w:r>
              <w:rPr>
                <w:color w:val="595959"/>
                <w:sz w:val="20"/>
              </w:rPr>
              <w:t>Trained on 1.1B SMILES from PubChem + ZINC. Stronger chemical generalism.</w:t>
            </w:r>
          </w:p>
        </w:tc>
      </w:tr>
      <w:tr>
        <w:tc>
          <w:tcPr>
            <w:tcW w:type="dxa" w:w="2448"/>
            <w:shd w:val="clear" w:color="auto" w:fill="F2F7FF"/>
          </w:tcPr>
          <w:p>
            <w:r>
              <w:rPr>
                <w:color w:val="595959"/>
                <w:sz w:val="20"/>
              </w:rPr>
              <w:t>No pre-trained augmentation</w:t>
            </w:r>
          </w:p>
        </w:tc>
        <w:tc>
          <w:tcPr>
            <w:tcW w:type="dxa" w:w="3600"/>
            <w:shd w:val="clear" w:color="auto" w:fill="F2F7FF"/>
          </w:tcPr>
          <w:p>
            <w:r>
              <w:rPr>
                <w:color w:val="595959"/>
                <w:sz w:val="20"/>
              </w:rPr>
              <w:t>RDKit features only</w:t>
            </w:r>
          </w:p>
        </w:tc>
        <w:tc>
          <w:tcPr>
            <w:tcW w:type="dxa" w:w="2880"/>
            <w:shd w:val="clear" w:color="auto" w:fill="F2F7FF"/>
          </w:tcPr>
          <w:p>
            <w:r>
              <w:rPr>
                <w:color w:val="595959"/>
                <w:sz w:val="20"/>
              </w:rPr>
              <w:t>Ablation: remove ChemBERTa to measure its contribution.</w:t>
            </w:r>
          </w:p>
        </w:tc>
      </w:tr>
    </w:tbl>
    <w:p/>
    <w:p>
      <w:pPr>
        <w:spacing w:before="240" w:after="40"/>
      </w:pPr>
      <w:r>
        <w:rPr>
          <w:b/>
          <w:color w:val="007078"/>
          <w:sz w:val="26"/>
        </w:rPr>
        <w:t>3.3  Experimental Design</w:t>
      </w:r>
    </w:p>
    <w:p>
      <w:pPr>
        <w:spacing w:before="40" w:after="80"/>
      </w:pPr>
      <w:r>
        <w:rPr>
          <w:color w:val="595959"/>
          <w:sz w:val="22"/>
        </w:rPr>
        <w:t>For each embedding combination, train and evaluate H-GNN-RNN-DTI using the same training setup as Objective 1 (Adam, cosine LR, early stopping, 5 seeds). Test on the two most informative datasets for cold-start: Yamanishi_e and Luo_17.</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440"/>
            <w:shd w:val="clear" w:color="auto" w:fill="1F497D"/>
          </w:tcPr>
          <w:p>
            <w:r>
              <w:rPr>
                <w:b/>
                <w:color w:val="FFFFFF"/>
                <w:sz w:val="20"/>
              </w:rPr>
              <w:t>Experiment ID</w:t>
            </w:r>
          </w:p>
        </w:tc>
        <w:tc>
          <w:tcPr>
            <w:tcW w:type="dxa" w:w="1728"/>
            <w:shd w:val="clear" w:color="auto" w:fill="1F497D"/>
          </w:tcPr>
          <w:p>
            <w:r>
              <w:rPr>
                <w:b/>
                <w:color w:val="FFFFFF"/>
                <w:sz w:val="20"/>
              </w:rPr>
              <w:t>Drug Encoder</w:t>
            </w:r>
          </w:p>
        </w:tc>
        <w:tc>
          <w:tcPr>
            <w:tcW w:type="dxa" w:w="1728"/>
            <w:shd w:val="clear" w:color="auto" w:fill="1F497D"/>
          </w:tcPr>
          <w:p>
            <w:r>
              <w:rPr>
                <w:b/>
                <w:color w:val="FFFFFF"/>
                <w:sz w:val="20"/>
              </w:rPr>
              <w:t>Protein Encoder</w:t>
            </w:r>
          </w:p>
        </w:tc>
        <w:tc>
          <w:tcPr>
            <w:tcW w:type="dxa" w:w="2160"/>
            <w:shd w:val="clear" w:color="auto" w:fill="1F497D"/>
          </w:tcPr>
          <w:p>
            <w:r>
              <w:rPr>
                <w:b/>
                <w:color w:val="FFFFFF"/>
                <w:sz w:val="20"/>
              </w:rPr>
              <w:t>Datasets</w:t>
            </w:r>
          </w:p>
        </w:tc>
        <w:tc>
          <w:tcPr>
            <w:tcW w:type="dxa" w:w="1872"/>
            <w:shd w:val="clear" w:color="auto" w:fill="1F497D"/>
          </w:tcPr>
          <w:p>
            <w:r>
              <w:rPr>
                <w:b/>
                <w:color w:val="FFFFFF"/>
                <w:sz w:val="20"/>
              </w:rPr>
              <w:t>Splits</w:t>
            </w:r>
          </w:p>
        </w:tc>
      </w:tr>
      <w:tr>
        <w:tc>
          <w:tcPr>
            <w:tcW w:type="dxa" w:w="1440"/>
            <w:shd w:val="clear" w:color="auto" w:fill="F2F7FF"/>
          </w:tcPr>
          <w:p>
            <w:r>
              <w:rPr>
                <w:color w:val="595959"/>
                <w:sz w:val="20"/>
              </w:rPr>
              <w:t>P1-A (baseline)</w:t>
            </w:r>
          </w:p>
        </w:tc>
        <w:tc>
          <w:tcPr>
            <w:tcW w:type="dxa" w:w="1728"/>
            <w:shd w:val="clear" w:color="auto" w:fill="F2F7FF"/>
          </w:tcPr>
          <w:p>
            <w:r>
              <w:rPr>
                <w:color w:val="595959"/>
                <w:sz w:val="20"/>
              </w:rPr>
              <w:t>ChemBERTa</w:t>
            </w:r>
          </w:p>
        </w:tc>
        <w:tc>
          <w:tcPr>
            <w:tcW w:type="dxa" w:w="1728"/>
            <w:shd w:val="clear" w:color="auto" w:fill="F2F7FF"/>
          </w:tcPr>
          <w:p>
            <w:r>
              <w:rPr>
                <w:color w:val="595959"/>
                <w:sz w:val="20"/>
              </w:rPr>
              <w:t>ESM-2 8M</w:t>
            </w:r>
          </w:p>
        </w:tc>
        <w:tc>
          <w:tcPr>
            <w:tcW w:type="dxa" w:w="2160"/>
            <w:shd w:val="clear" w:color="auto" w:fill="F2F7FF"/>
          </w:tcPr>
          <w:p>
            <w:r>
              <w:rPr>
                <w:color w:val="595959"/>
                <w:sz w:val="20"/>
              </w:rPr>
              <w:t>yamanishi_e, luo_17</w:t>
            </w:r>
          </w:p>
        </w:tc>
        <w:tc>
          <w:tcPr>
            <w:tcW w:type="dxa" w:w="1872"/>
            <w:shd w:val="clear" w:color="auto" w:fill="F2F7FF"/>
          </w:tcPr>
          <w:p>
            <w:r>
              <w:rPr>
                <w:color w:val="595959"/>
                <w:sz w:val="20"/>
              </w:rPr>
              <w:t>all 4 splits</w:t>
            </w:r>
          </w:p>
        </w:tc>
      </w:tr>
      <w:tr>
        <w:tc>
          <w:tcPr>
            <w:tcW w:type="dxa" w:w="1440"/>
            <w:shd w:val="clear" w:color="auto" w:fill="FFFFFF"/>
          </w:tcPr>
          <w:p>
            <w:r>
              <w:rPr>
                <w:color w:val="595959"/>
                <w:sz w:val="20"/>
              </w:rPr>
              <w:t>P1-B</w:t>
            </w:r>
          </w:p>
        </w:tc>
        <w:tc>
          <w:tcPr>
            <w:tcW w:type="dxa" w:w="1728"/>
            <w:shd w:val="clear" w:color="auto" w:fill="FFFFFF"/>
          </w:tcPr>
          <w:p>
            <w:r>
              <w:rPr>
                <w:color w:val="595959"/>
                <w:sz w:val="20"/>
              </w:rPr>
              <w:t>ChemBERTa</w:t>
            </w:r>
          </w:p>
        </w:tc>
        <w:tc>
          <w:tcPr>
            <w:tcW w:type="dxa" w:w="1728"/>
            <w:shd w:val="clear" w:color="auto" w:fill="FFFFFF"/>
          </w:tcPr>
          <w:p>
            <w:r>
              <w:rPr>
                <w:color w:val="595959"/>
                <w:sz w:val="20"/>
              </w:rPr>
              <w:t>ESM-2 150M</w:t>
            </w:r>
          </w:p>
        </w:tc>
        <w:tc>
          <w:tcPr>
            <w:tcW w:type="dxa" w:w="2160"/>
            <w:shd w:val="clear" w:color="auto" w:fill="FFFFFF"/>
          </w:tcPr>
          <w:p>
            <w:r>
              <w:rPr>
                <w:color w:val="595959"/>
                <w:sz w:val="20"/>
              </w:rPr>
              <w:t>yamanishi_e, luo_17</w:t>
            </w:r>
          </w:p>
        </w:tc>
        <w:tc>
          <w:tcPr>
            <w:tcW w:type="dxa" w:w="1872"/>
            <w:shd w:val="clear" w:color="auto" w:fill="FFFFFF"/>
          </w:tcPr>
          <w:p>
            <w:r>
              <w:rPr>
                <w:color w:val="595959"/>
                <w:sz w:val="20"/>
              </w:rPr>
              <w:t>all 4 splits</w:t>
            </w:r>
          </w:p>
        </w:tc>
      </w:tr>
      <w:tr>
        <w:tc>
          <w:tcPr>
            <w:tcW w:type="dxa" w:w="1440"/>
            <w:shd w:val="clear" w:color="auto" w:fill="F2F7FF"/>
          </w:tcPr>
          <w:p>
            <w:r>
              <w:rPr>
                <w:color w:val="595959"/>
                <w:sz w:val="20"/>
              </w:rPr>
              <w:t>P1-C</w:t>
            </w:r>
          </w:p>
        </w:tc>
        <w:tc>
          <w:tcPr>
            <w:tcW w:type="dxa" w:w="1728"/>
            <w:shd w:val="clear" w:color="auto" w:fill="F2F7FF"/>
          </w:tcPr>
          <w:p>
            <w:r>
              <w:rPr>
                <w:color w:val="595959"/>
                <w:sz w:val="20"/>
              </w:rPr>
              <w:t>ChemBERTa</w:t>
            </w:r>
          </w:p>
        </w:tc>
        <w:tc>
          <w:tcPr>
            <w:tcW w:type="dxa" w:w="1728"/>
            <w:shd w:val="clear" w:color="auto" w:fill="F2F7FF"/>
          </w:tcPr>
          <w:p>
            <w:r>
              <w:rPr>
                <w:color w:val="595959"/>
                <w:sz w:val="20"/>
              </w:rPr>
              <w:t>ESM-2 650M</w:t>
            </w:r>
          </w:p>
        </w:tc>
        <w:tc>
          <w:tcPr>
            <w:tcW w:type="dxa" w:w="2160"/>
            <w:shd w:val="clear" w:color="auto" w:fill="F2F7FF"/>
          </w:tcPr>
          <w:p>
            <w:r>
              <w:rPr>
                <w:color w:val="595959"/>
                <w:sz w:val="20"/>
              </w:rPr>
              <w:t>yamanishi_e, luo_17</w:t>
            </w:r>
          </w:p>
        </w:tc>
        <w:tc>
          <w:tcPr>
            <w:tcW w:type="dxa" w:w="1872"/>
            <w:shd w:val="clear" w:color="auto" w:fill="F2F7FF"/>
          </w:tcPr>
          <w:p>
            <w:r>
              <w:rPr>
                <w:color w:val="595959"/>
                <w:sz w:val="20"/>
              </w:rPr>
              <w:t>all 4 splits</w:t>
            </w:r>
          </w:p>
        </w:tc>
      </w:tr>
      <w:tr>
        <w:tc>
          <w:tcPr>
            <w:tcW w:type="dxa" w:w="1440"/>
            <w:shd w:val="clear" w:color="auto" w:fill="FFFFFF"/>
          </w:tcPr>
          <w:p>
            <w:r>
              <w:rPr>
                <w:color w:val="595959"/>
                <w:sz w:val="20"/>
              </w:rPr>
              <w:t>P1-D</w:t>
            </w:r>
          </w:p>
        </w:tc>
        <w:tc>
          <w:tcPr>
            <w:tcW w:type="dxa" w:w="1728"/>
            <w:shd w:val="clear" w:color="auto" w:fill="FFFFFF"/>
          </w:tcPr>
          <w:p>
            <w:r>
              <w:rPr>
                <w:color w:val="595959"/>
                <w:sz w:val="20"/>
              </w:rPr>
              <w:t>ChemBERTa</w:t>
            </w:r>
          </w:p>
        </w:tc>
        <w:tc>
          <w:tcPr>
            <w:tcW w:type="dxa" w:w="1728"/>
            <w:shd w:val="clear" w:color="auto" w:fill="FFFFFF"/>
          </w:tcPr>
          <w:p>
            <w:r>
              <w:rPr>
                <w:color w:val="595959"/>
                <w:sz w:val="20"/>
              </w:rPr>
              <w:t>ProtT5</w:t>
            </w:r>
          </w:p>
        </w:tc>
        <w:tc>
          <w:tcPr>
            <w:tcW w:type="dxa" w:w="2160"/>
            <w:shd w:val="clear" w:color="auto" w:fill="FFFFFF"/>
          </w:tcPr>
          <w:p>
            <w:r>
              <w:rPr>
                <w:color w:val="595959"/>
                <w:sz w:val="20"/>
              </w:rPr>
              <w:t>yamanishi_e, luo_17</w:t>
            </w:r>
          </w:p>
        </w:tc>
        <w:tc>
          <w:tcPr>
            <w:tcW w:type="dxa" w:w="1872"/>
            <w:shd w:val="clear" w:color="auto" w:fill="FFFFFF"/>
          </w:tcPr>
          <w:p>
            <w:r>
              <w:rPr>
                <w:color w:val="595959"/>
                <w:sz w:val="20"/>
              </w:rPr>
              <w:t>all 4 splits</w:t>
            </w:r>
          </w:p>
        </w:tc>
      </w:tr>
      <w:tr>
        <w:tc>
          <w:tcPr>
            <w:tcW w:type="dxa" w:w="1440"/>
            <w:shd w:val="clear" w:color="auto" w:fill="F2F7FF"/>
          </w:tcPr>
          <w:p>
            <w:r>
              <w:rPr>
                <w:color w:val="595959"/>
                <w:sz w:val="20"/>
              </w:rPr>
              <w:t>P1-E</w:t>
            </w:r>
          </w:p>
        </w:tc>
        <w:tc>
          <w:tcPr>
            <w:tcW w:type="dxa" w:w="1728"/>
            <w:shd w:val="clear" w:color="auto" w:fill="F2F7FF"/>
          </w:tcPr>
          <w:p>
            <w:r>
              <w:rPr>
                <w:color w:val="595959"/>
                <w:sz w:val="20"/>
              </w:rPr>
              <w:t>MoLFormer-XL</w:t>
            </w:r>
          </w:p>
        </w:tc>
        <w:tc>
          <w:tcPr>
            <w:tcW w:type="dxa" w:w="1728"/>
            <w:shd w:val="clear" w:color="auto" w:fill="F2F7FF"/>
          </w:tcPr>
          <w:p>
            <w:r>
              <w:rPr>
                <w:color w:val="595959"/>
                <w:sz w:val="20"/>
              </w:rPr>
              <w:t>ESM-2 8M</w:t>
            </w:r>
          </w:p>
        </w:tc>
        <w:tc>
          <w:tcPr>
            <w:tcW w:type="dxa" w:w="2160"/>
            <w:shd w:val="clear" w:color="auto" w:fill="F2F7FF"/>
          </w:tcPr>
          <w:p>
            <w:r>
              <w:rPr>
                <w:color w:val="595959"/>
                <w:sz w:val="20"/>
              </w:rPr>
              <w:t>yamanishi_e</w:t>
            </w:r>
          </w:p>
        </w:tc>
        <w:tc>
          <w:tcPr>
            <w:tcW w:type="dxa" w:w="1872"/>
            <w:shd w:val="clear" w:color="auto" w:fill="F2F7FF"/>
          </w:tcPr>
          <w:p>
            <w:r>
              <w:rPr>
                <w:color w:val="595959"/>
                <w:sz w:val="20"/>
              </w:rPr>
              <w:t>all 4 splits</w:t>
            </w:r>
          </w:p>
        </w:tc>
      </w:tr>
      <w:tr>
        <w:tc>
          <w:tcPr>
            <w:tcW w:type="dxa" w:w="1440"/>
            <w:shd w:val="clear" w:color="auto" w:fill="FFFFFF"/>
          </w:tcPr>
          <w:p>
            <w:r>
              <w:rPr>
                <w:color w:val="595959"/>
                <w:sz w:val="20"/>
              </w:rPr>
              <w:t>P1-F</w:t>
            </w:r>
          </w:p>
        </w:tc>
        <w:tc>
          <w:tcPr>
            <w:tcW w:type="dxa" w:w="1728"/>
            <w:shd w:val="clear" w:color="auto" w:fill="FFFFFF"/>
          </w:tcPr>
          <w:p>
            <w:r>
              <w:rPr>
                <w:color w:val="595959"/>
                <w:sz w:val="20"/>
              </w:rPr>
              <w:t>MoLFormer-XL</w:t>
            </w:r>
          </w:p>
        </w:tc>
        <w:tc>
          <w:tcPr>
            <w:tcW w:type="dxa" w:w="1728"/>
            <w:shd w:val="clear" w:color="auto" w:fill="FFFFFF"/>
          </w:tcPr>
          <w:p>
            <w:r>
              <w:rPr>
                <w:color w:val="595959"/>
                <w:sz w:val="20"/>
              </w:rPr>
              <w:t>ESM-2 650M</w:t>
            </w:r>
          </w:p>
        </w:tc>
        <w:tc>
          <w:tcPr>
            <w:tcW w:type="dxa" w:w="2160"/>
            <w:shd w:val="clear" w:color="auto" w:fill="FFFFFF"/>
          </w:tcPr>
          <w:p>
            <w:r>
              <w:rPr>
                <w:color w:val="595959"/>
                <w:sz w:val="20"/>
              </w:rPr>
              <w:t>yamanishi_e</w:t>
            </w:r>
          </w:p>
        </w:tc>
        <w:tc>
          <w:tcPr>
            <w:tcW w:type="dxa" w:w="1872"/>
            <w:shd w:val="clear" w:color="auto" w:fill="FFFFFF"/>
          </w:tcPr>
          <w:p>
            <w:r>
              <w:rPr>
                <w:color w:val="595959"/>
                <w:sz w:val="20"/>
              </w:rPr>
              <w:t>all 4 splits</w:t>
            </w:r>
          </w:p>
        </w:tc>
      </w:tr>
      <w:tr>
        <w:tc>
          <w:tcPr>
            <w:tcW w:type="dxa" w:w="1440"/>
            <w:shd w:val="clear" w:color="auto" w:fill="F2F7FF"/>
          </w:tcPr>
          <w:p>
            <w:r>
              <w:rPr>
                <w:color w:val="595959"/>
                <w:sz w:val="20"/>
              </w:rPr>
              <w:t>P1-G (ablation)</w:t>
            </w:r>
          </w:p>
        </w:tc>
        <w:tc>
          <w:tcPr>
            <w:tcW w:type="dxa" w:w="1728"/>
            <w:shd w:val="clear" w:color="auto" w:fill="F2F7FF"/>
          </w:tcPr>
          <w:p>
            <w:r>
              <w:rPr>
                <w:color w:val="595959"/>
                <w:sz w:val="20"/>
              </w:rPr>
              <w:t>RDKit only</w:t>
            </w:r>
          </w:p>
        </w:tc>
        <w:tc>
          <w:tcPr>
            <w:tcW w:type="dxa" w:w="1728"/>
            <w:shd w:val="clear" w:color="auto" w:fill="F2F7FF"/>
          </w:tcPr>
          <w:p>
            <w:r>
              <w:rPr>
                <w:color w:val="595959"/>
                <w:sz w:val="20"/>
              </w:rPr>
              <w:t>ESM-2 8M</w:t>
            </w:r>
          </w:p>
        </w:tc>
        <w:tc>
          <w:tcPr>
            <w:tcW w:type="dxa" w:w="2160"/>
            <w:shd w:val="clear" w:color="auto" w:fill="F2F7FF"/>
          </w:tcPr>
          <w:p>
            <w:r>
              <w:rPr>
                <w:color w:val="595959"/>
                <w:sz w:val="20"/>
              </w:rPr>
              <w:t>yamanishi_e</w:t>
            </w:r>
          </w:p>
        </w:tc>
        <w:tc>
          <w:tcPr>
            <w:tcW w:type="dxa" w:w="1872"/>
            <w:shd w:val="clear" w:color="auto" w:fill="F2F7FF"/>
          </w:tcPr>
          <w:p>
            <w:r>
              <w:rPr>
                <w:color w:val="595959"/>
                <w:sz w:val="20"/>
              </w:rPr>
              <w:t>all 4 splits</w:t>
            </w:r>
          </w:p>
        </w:tc>
      </w:tr>
    </w:tbl>
    <w:p/>
    <w:p>
      <w:pPr>
        <w:spacing w:before="120" w:after="120"/>
        <w:ind w:left="567"/>
        <w:pBdr>
          <w:left w:val="single" w:sz="12" w:space="6" w:color="C55A11"/>
        </w:pBdr>
      </w:pPr>
      <w:r>
        <w:rPr>
          <w:i/>
          <w:color w:val="595959"/>
          <w:sz w:val="21"/>
        </w:rPr>
        <w:t>Priority: Start with P1-B (ESM-2 150M) and P1-C (ESM-2 650M), since protein quality is the most likely bottleneck on cold-target splits. P1-D (ProtT5) requires a GPU — defer until GPU access is available.</w:t>
      </w:r>
    </w:p>
    <w:p>
      <w:pPr>
        <w:spacing w:before="240" w:after="40"/>
      </w:pPr>
      <w:r>
        <w:rPr>
          <w:b/>
          <w:color w:val="007078"/>
          <w:sz w:val="26"/>
        </w:rPr>
        <w:t>3.4  Expected Deliverables</w:t>
      </w:r>
    </w:p>
    <w:p>
      <w:pPr>
        <w:pStyle w:val="ListBullet"/>
        <w:spacing w:before="20" w:after="20"/>
        <w:ind w:left="454"/>
      </w:pPr>
      <w:r>
        <w:rPr>
          <w:color w:val="595959"/>
          <w:sz w:val="22"/>
        </w:rPr>
        <w:t>Per-experiment AUROC/AUPRC/F1 tables (5 seeds each) for all 4 splits on both datasets.</w:t>
      </w:r>
    </w:p>
    <w:p>
      <w:pPr>
        <w:pStyle w:val="ListBullet"/>
        <w:spacing w:before="20" w:after="20"/>
        <w:ind w:left="454"/>
      </w:pPr>
      <w:r>
        <w:rPr>
          <w:color w:val="595959"/>
          <w:sz w:val="22"/>
        </w:rPr>
        <w:t>Statistical comparison table: each variant vs. P1-A baseline using paired t-test (df=4).</w:t>
      </w:r>
    </w:p>
    <w:p>
      <w:pPr>
        <w:pStyle w:val="ListBullet"/>
        <w:spacing w:before="20" w:after="20"/>
        <w:ind w:left="454"/>
      </w:pPr>
      <w:r>
        <w:rPr>
          <w:color w:val="595959"/>
          <w:sz w:val="22"/>
        </w:rPr>
        <w:t>Recommendation on best protein encoder and best drug encoder for the rest of Objective 2.</w:t>
      </w:r>
    </w:p>
    <w:p>
      <w:pPr>
        <w:spacing w:before="240" w:after="40"/>
      </w:pPr>
      <w:r>
        <w:rPr>
          <w:b/>
          <w:color w:val="007078"/>
          <w:sz w:val="26"/>
        </w:rPr>
        <w:t>3.5  Metrics and Success Criteria</w:t>
      </w:r>
    </w:p>
    <w:p>
      <w:pPr>
        <w:spacing w:before="40" w:after="80"/>
      </w:pPr>
      <w:r>
        <w:rPr>
          <w:color w:val="595959"/>
          <w:sz w:val="22"/>
        </w:rPr>
        <w:t>Primary: AUROC on cold_drug and cold_target splits (most directly affected by embedding quality). Secondary: AUPRC (important when interactions are sparse). Success: at least one embedding variant achieves statistically significant improvement (p &lt; 0.05) over P1-A on either cold_drug or cold_target.</w:t>
      </w:r>
    </w:p>
    <w:p>
      <w:pPr>
        <w:spacing w:before="240" w:after="40"/>
      </w:pPr>
      <w:r>
        <w:rPr>
          <w:b/>
          <w:color w:val="007078"/>
          <w:sz w:val="26"/>
        </w:rPr>
        <w:t>3.6  Infrastructure Steps</w:t>
      </w:r>
    </w:p>
    <w:p>
      <w:pPr>
        <w:spacing w:before="20" w:after="20"/>
        <w:ind w:left="454"/>
      </w:pPr>
      <w:r>
        <w:rPr>
          <w:b/>
          <w:color w:val="C55A11"/>
          <w:sz w:val="22"/>
        </w:rPr>
        <w:t xml:space="preserve">○  </w:t>
      </w:r>
      <w:r>
        <w:rPr>
          <w:color w:val="595959"/>
          <w:sz w:val="22"/>
        </w:rPr>
        <w:t>Install ProtT5 and MoLFormer via HuggingFace Transformers (pip install transformers).</w:t>
      </w:r>
    </w:p>
    <w:p>
      <w:pPr>
        <w:spacing w:before="20" w:after="20"/>
        <w:ind w:left="454"/>
      </w:pPr>
      <w:r>
        <w:rPr>
          <w:b/>
          <w:color w:val="C55A11"/>
          <w:sz w:val="22"/>
        </w:rPr>
        <w:t xml:space="preserve">○  </w:t>
      </w:r>
      <w:r>
        <w:rPr>
          <w:color w:val="595959"/>
          <w:sz w:val="22"/>
        </w:rPr>
        <w:t>Modify 11_preprocess_proteins.py to accept --esm_model argument; add ProtT5 branch.</w:t>
      </w:r>
    </w:p>
    <w:p>
      <w:pPr>
        <w:spacing w:before="20" w:after="20"/>
        <w:ind w:left="454"/>
      </w:pPr>
      <w:r>
        <w:rPr>
          <w:b/>
          <w:color w:val="C55A11"/>
          <w:sz w:val="22"/>
        </w:rPr>
        <w:t xml:space="preserve">○  </w:t>
      </w:r>
      <w:r>
        <w:rPr>
          <w:color w:val="595959"/>
          <w:sz w:val="22"/>
        </w:rPr>
        <w:t>Modify 10_preprocess_drugs.py to accept --drug_model argument; add MoLFormer branch.</w:t>
      </w:r>
    </w:p>
    <w:p>
      <w:pPr>
        <w:spacing w:before="20" w:after="20"/>
        <w:ind w:left="454"/>
      </w:pPr>
      <w:r>
        <w:rPr>
          <w:b/>
          <w:color w:val="C55A11"/>
          <w:sz w:val="22"/>
        </w:rPr>
        <w:t xml:space="preserve">○  </w:t>
      </w:r>
      <w:r>
        <w:rPr>
          <w:color w:val="595959"/>
          <w:sz w:val="22"/>
        </w:rPr>
        <w:t>Re-run preprocessing for each new embedding variant (outputs saved to separate .pt files).</w:t>
      </w:r>
    </w:p>
    <w:p>
      <w:pPr>
        <w:spacing w:before="20" w:after="20"/>
        <w:ind w:left="454"/>
      </w:pPr>
      <w:r>
        <w:rPr>
          <w:b/>
          <w:color w:val="C55A11"/>
          <w:sz w:val="22"/>
        </w:rPr>
        <w:t xml:space="preserve">○  </w:t>
      </w:r>
      <w:r>
        <w:rPr>
          <w:color w:val="595959"/>
          <w:sz w:val="22"/>
        </w:rPr>
        <w:t>Run train.py pointing to the new embedding files; no architecture changes required.</w:t>
      </w:r>
    </w:p>
    <w:p>
      <w:r>
        <w:br w:type="page"/>
      </w:r>
    </w:p>
    <w:p>
      <w:pPr>
        <w:spacing w:before="360" w:after="80"/>
        <w:pBdr>
          <w:bottom w:val="single" w:sz="6" w:space="1" w:color="1F497D"/>
        </w:pBdr>
      </w:pPr>
      <w:r>
        <w:rPr>
          <w:b/>
          <w:color w:val="1F497D"/>
          <w:sz w:val="32"/>
        </w:rPr>
        <w:t>4.  Phase 2 — Imbalance-Aware Learning</w:t>
      </w:r>
    </w:p>
    <w:p>
      <w:pPr>
        <w:spacing w:before="40" w:after="80"/>
      </w:pPr>
      <w:r>
        <w:rPr>
          <w:color w:val="595959"/>
          <w:sz w:val="22"/>
        </w:rPr>
        <w:t>DTI datasets are inherently imbalanced: only a tiny fraction of all possible drug–protein pairs are experimentally confirmed to interact. The proposal identifies this as a critical limitation: 'severe class imbalance, where true interactions are far outnumbered by non-interactions, can lead to model overfitting and a false sense of accuracy.' Phase 2 systematically tests strategies to mitigate this.</w:t>
      </w:r>
    </w:p>
    <w:p>
      <w:pPr>
        <w:spacing w:before="240" w:after="40"/>
      </w:pPr>
      <w:r>
        <w:rPr>
          <w:b/>
          <w:color w:val="007078"/>
          <w:sz w:val="26"/>
        </w:rPr>
        <w:t>4.1  Research Question</w:t>
      </w:r>
    </w:p>
    <w:p>
      <w:pPr>
        <w:spacing w:before="120" w:after="120"/>
        <w:ind w:left="567"/>
        <w:pBdr>
          <w:left w:val="single" w:sz="12" w:space="6" w:color="007078"/>
        </w:pBdr>
      </w:pPr>
      <w:r>
        <w:rPr>
          <w:i/>
          <w:color w:val="595959"/>
          <w:sz w:val="21"/>
        </w:rPr>
        <w:t>Q2: Which combination of loss function and negative sampling ratio produces the most reliable predictions on highly imbalanced cold-split settings, as measured by AUPRC (which is more sensitive than AUROC to imbalance)?</w:t>
      </w:r>
    </w:p>
    <w:p>
      <w:pPr>
        <w:spacing w:before="240" w:after="40"/>
      </w:pPr>
      <w:r>
        <w:rPr>
          <w:b/>
          <w:color w:val="007078"/>
          <w:sz w:val="26"/>
        </w:rPr>
        <w:t>4.2  Current Approach and Its Limitations</w:t>
      </w:r>
    </w:p>
    <w:p>
      <w:pPr>
        <w:spacing w:before="40" w:after="80"/>
      </w:pPr>
      <w:r>
        <w:rPr>
          <w:color w:val="595959"/>
          <w:sz w:val="22"/>
        </w:rPr>
        <w:t>The Objective 1 baseline used:</w:t>
      </w:r>
    </w:p>
    <w:p>
      <w:pPr>
        <w:pStyle w:val="ListBullet"/>
        <w:spacing w:before="20" w:after="20"/>
        <w:ind w:left="454"/>
      </w:pPr>
      <w:r>
        <w:rPr>
          <w:color w:val="595959"/>
          <w:sz w:val="22"/>
        </w:rPr>
        <w:t>Focal Loss with γ = 2.0 and α = 0.25 (down-weights easy negatives).</w:t>
      </w:r>
    </w:p>
    <w:p>
      <w:pPr>
        <w:pStyle w:val="ListBullet"/>
        <w:spacing w:before="20" w:after="20"/>
        <w:ind w:left="454"/>
      </w:pPr>
      <w:r>
        <w:rPr>
          <w:color w:val="595959"/>
          <w:sz w:val="22"/>
        </w:rPr>
        <w:t>1:1 negative sampling ratio (equal positives and negatives in training).</w:t>
      </w:r>
    </w:p>
    <w:p>
      <w:pPr>
        <w:spacing w:before="40" w:after="80"/>
      </w:pPr>
      <w:r>
        <w:rPr>
          <w:color w:val="595959"/>
          <w:sz w:val="22"/>
        </w:rPr>
        <w:t>The 1:1 ratio is unrealistically balanced compared to the true data distribution, where real DTI datasets may have thousands of negatives for every positive. A model trained on 1:1 data may be over-confident on the positive class and under-perform in the realistic 1:many scenario.</w:t>
      </w:r>
    </w:p>
    <w:p>
      <w:pPr>
        <w:spacing w:before="240" w:after="40"/>
      </w:pPr>
      <w:r>
        <w:rPr>
          <w:b/>
          <w:color w:val="007078"/>
          <w:sz w:val="26"/>
        </w:rPr>
        <w:t>4.3  Strategies to Test</w:t>
      </w:r>
    </w:p>
    <w:p>
      <w:pPr>
        <w:spacing w:before="160" w:after="40"/>
      </w:pPr>
      <w:r>
        <w:rPr>
          <w:b/>
          <w:color w:val="1F497D"/>
          <w:sz w:val="22"/>
        </w:rPr>
        <w:t>Loss Function Variants</w:t>
      </w:r>
    </w:p>
    <w:tbl>
      <w:tblPr>
        <w:tblStyle w:val="TableGrid"/>
        <w:tblW w:type="auto" w:w="0"/>
        <w:tblLook w:firstColumn="1" w:firstRow="1" w:lastColumn="0" w:lastRow="0" w:noHBand="0" w:noVBand="1" w:val="04A0"/>
      </w:tblPr>
      <w:tblGrid>
        <w:gridCol w:w="3041"/>
        <w:gridCol w:w="3041"/>
        <w:gridCol w:w="3041"/>
      </w:tblGrid>
      <w:tr>
        <w:tc>
          <w:tcPr>
            <w:tcW w:type="dxa" w:w="2160"/>
            <w:shd w:val="clear" w:color="auto" w:fill="1F497D"/>
          </w:tcPr>
          <w:p>
            <w:r>
              <w:rPr>
                <w:b/>
                <w:color w:val="FFFFFF"/>
                <w:sz w:val="20"/>
              </w:rPr>
              <w:t>Loss</w:t>
            </w:r>
          </w:p>
        </w:tc>
        <w:tc>
          <w:tcPr>
            <w:tcW w:type="dxa" w:w="3600"/>
            <w:shd w:val="clear" w:color="auto" w:fill="1F497D"/>
          </w:tcPr>
          <w:p>
            <w:r>
              <w:rPr>
                <w:b/>
                <w:color w:val="FFFFFF"/>
                <w:sz w:val="20"/>
              </w:rPr>
              <w:t>Formula / Description</w:t>
            </w:r>
          </w:p>
        </w:tc>
        <w:tc>
          <w:tcPr>
            <w:tcW w:type="dxa" w:w="3168"/>
            <w:shd w:val="clear" w:color="auto" w:fill="1F497D"/>
          </w:tcPr>
          <w:p>
            <w:r>
              <w:rPr>
                <w:b/>
                <w:color w:val="FFFFFF"/>
                <w:sz w:val="20"/>
              </w:rPr>
              <w:t>When It Helps</w:t>
            </w:r>
          </w:p>
        </w:tc>
      </w:tr>
      <w:tr>
        <w:tc>
          <w:tcPr>
            <w:tcW w:type="dxa" w:w="2160"/>
            <w:shd w:val="clear" w:color="auto" w:fill="F2F7FF"/>
          </w:tcPr>
          <w:p>
            <w:r>
              <w:rPr>
                <w:color w:val="595959"/>
                <w:sz w:val="20"/>
              </w:rPr>
              <w:t>Focal Loss (current)</w:t>
            </w:r>
          </w:p>
        </w:tc>
        <w:tc>
          <w:tcPr>
            <w:tcW w:type="dxa" w:w="3600"/>
            <w:shd w:val="clear" w:color="auto" w:fill="F2F7FF"/>
          </w:tcPr>
          <w:p>
            <w:r>
              <w:rPr>
                <w:color w:val="595959"/>
                <w:sz w:val="20"/>
              </w:rPr>
              <w:t>FL(p) = −α(1−p)^γ · log(p),  γ=2, α=0.25</w:t>
            </w:r>
          </w:p>
        </w:tc>
        <w:tc>
          <w:tcPr>
            <w:tcW w:type="dxa" w:w="3168"/>
            <w:shd w:val="clear" w:color="auto" w:fill="F2F7FF"/>
          </w:tcPr>
          <w:p>
            <w:r>
              <w:rPr>
                <w:color w:val="595959"/>
                <w:sz w:val="20"/>
              </w:rPr>
              <w:t>Hard-to-classify samples get more weight. Good for moderate imbalance.</w:t>
            </w:r>
          </w:p>
        </w:tc>
      </w:tr>
      <w:tr>
        <w:tc>
          <w:tcPr>
            <w:tcW w:type="dxa" w:w="2160"/>
            <w:shd w:val="clear" w:color="auto" w:fill="FFFFFF"/>
          </w:tcPr>
          <w:p>
            <w:r>
              <w:rPr>
                <w:color w:val="595959"/>
                <w:sz w:val="20"/>
              </w:rPr>
              <w:t>Weighted BCE</w:t>
            </w:r>
          </w:p>
        </w:tc>
        <w:tc>
          <w:tcPr>
            <w:tcW w:type="dxa" w:w="3600"/>
            <w:shd w:val="clear" w:color="auto" w:fill="FFFFFF"/>
          </w:tcPr>
          <w:p>
            <w:r>
              <w:rPr>
                <w:color w:val="595959"/>
                <w:sz w:val="20"/>
              </w:rPr>
              <w:t>BCE with class weight w_pos = N_neg / N_pos</w:t>
            </w:r>
          </w:p>
        </w:tc>
        <w:tc>
          <w:tcPr>
            <w:tcW w:type="dxa" w:w="3168"/>
            <w:shd w:val="clear" w:color="auto" w:fill="FFFFFF"/>
          </w:tcPr>
          <w:p>
            <w:r>
              <w:rPr>
                <w:color w:val="595959"/>
                <w:sz w:val="20"/>
              </w:rPr>
              <w:t>Simple rebalancing; standard baseline for imbalance.</w:t>
            </w:r>
          </w:p>
        </w:tc>
      </w:tr>
      <w:tr>
        <w:tc>
          <w:tcPr>
            <w:tcW w:type="dxa" w:w="2160"/>
            <w:shd w:val="clear" w:color="auto" w:fill="F2F7FF"/>
          </w:tcPr>
          <w:p>
            <w:r>
              <w:rPr>
                <w:color w:val="595959"/>
                <w:sz w:val="20"/>
              </w:rPr>
              <w:t>Focal Loss γ-sweep</w:t>
            </w:r>
          </w:p>
        </w:tc>
        <w:tc>
          <w:tcPr>
            <w:tcW w:type="dxa" w:w="3600"/>
            <w:shd w:val="clear" w:color="auto" w:fill="F2F7FF"/>
          </w:tcPr>
          <w:p>
            <w:r>
              <w:rPr>
                <w:color w:val="595959"/>
                <w:sz w:val="20"/>
              </w:rPr>
              <w:t>γ ∈ {1, 2, 3, 5}; α fixed at 0.25</w:t>
            </w:r>
          </w:p>
        </w:tc>
        <w:tc>
          <w:tcPr>
            <w:tcW w:type="dxa" w:w="3168"/>
            <w:shd w:val="clear" w:color="auto" w:fill="F2F7FF"/>
          </w:tcPr>
          <w:p>
            <w:r>
              <w:rPr>
                <w:color w:val="595959"/>
                <w:sz w:val="20"/>
              </w:rPr>
              <w:t>Higher γ focuses more on hard negatives in extreme imbalance.</w:t>
            </w:r>
          </w:p>
        </w:tc>
      </w:tr>
      <w:tr>
        <w:tc>
          <w:tcPr>
            <w:tcW w:type="dxa" w:w="2160"/>
            <w:shd w:val="clear" w:color="auto" w:fill="FFFFFF"/>
          </w:tcPr>
          <w:p>
            <w:r>
              <w:rPr>
                <w:color w:val="595959"/>
                <w:sz w:val="20"/>
              </w:rPr>
              <w:t>Asymmetric Loss (ASL)</w:t>
            </w:r>
          </w:p>
        </w:tc>
        <w:tc>
          <w:tcPr>
            <w:tcW w:type="dxa" w:w="3600"/>
            <w:shd w:val="clear" w:color="auto" w:fill="FFFFFF"/>
          </w:tcPr>
          <w:p>
            <w:r>
              <w:rPr>
                <w:color w:val="595959"/>
                <w:sz w:val="20"/>
              </w:rPr>
              <w:t>Separate γ for positives and negatives</w:t>
            </w:r>
          </w:p>
        </w:tc>
        <w:tc>
          <w:tcPr>
            <w:tcW w:type="dxa" w:w="3168"/>
            <w:shd w:val="clear" w:color="auto" w:fill="FFFFFF"/>
          </w:tcPr>
          <w:p>
            <w:r>
              <w:rPr>
                <w:color w:val="595959"/>
                <w:sz w:val="20"/>
              </w:rPr>
              <w:t>State-of-the-art for multi-label; reduces contribution of easy negatives.</w:t>
            </w:r>
          </w:p>
        </w:tc>
      </w:tr>
    </w:tbl>
    <w:p/>
    <w:p>
      <w:pPr>
        <w:spacing w:before="160" w:after="40"/>
      </w:pPr>
      <w:r>
        <w:rPr>
          <w:b/>
          <w:color w:val="1F497D"/>
          <w:sz w:val="22"/>
        </w:rPr>
        <w:t>Negative Sampling Ratio Variants</w:t>
      </w:r>
    </w:p>
    <w:tbl>
      <w:tblPr>
        <w:tblStyle w:val="TableGrid"/>
        <w:tblW w:type="auto" w:w="0"/>
        <w:tblLook w:firstColumn="1" w:firstRow="1" w:lastColumn="0" w:lastRow="0" w:noHBand="0" w:noVBand="1" w:val="04A0"/>
      </w:tblPr>
      <w:tblGrid>
        <w:gridCol w:w="3041"/>
        <w:gridCol w:w="3041"/>
        <w:gridCol w:w="3041"/>
      </w:tblGrid>
      <w:tr>
        <w:tc>
          <w:tcPr>
            <w:tcW w:type="dxa" w:w="2160"/>
            <w:shd w:val="clear" w:color="auto" w:fill="1F497D"/>
          </w:tcPr>
          <w:p>
            <w:r>
              <w:rPr>
                <w:b/>
                <w:color w:val="FFFFFF"/>
                <w:sz w:val="20"/>
              </w:rPr>
              <w:t>Ratio (pos:neg)</w:t>
            </w:r>
          </w:p>
        </w:tc>
        <w:tc>
          <w:tcPr>
            <w:tcW w:type="dxa" w:w="1728"/>
            <w:shd w:val="clear" w:color="auto" w:fill="1F497D"/>
          </w:tcPr>
          <w:p>
            <w:r>
              <w:rPr>
                <w:b/>
                <w:color w:val="FFFFFF"/>
                <w:sz w:val="20"/>
              </w:rPr>
              <w:t>Imbalance Factor</w:t>
            </w:r>
          </w:p>
        </w:tc>
        <w:tc>
          <w:tcPr>
            <w:tcW w:type="dxa" w:w="5040"/>
            <w:shd w:val="clear" w:color="auto" w:fill="1F497D"/>
          </w:tcPr>
          <w:p>
            <w:r>
              <w:rPr>
                <w:b/>
                <w:color w:val="FFFFFF"/>
                <w:sz w:val="20"/>
              </w:rPr>
              <w:t>Expected Effect</w:t>
            </w:r>
          </w:p>
        </w:tc>
      </w:tr>
      <w:tr>
        <w:tc>
          <w:tcPr>
            <w:tcW w:type="dxa" w:w="2160"/>
            <w:shd w:val="clear" w:color="auto" w:fill="F2F7FF"/>
          </w:tcPr>
          <w:p>
            <w:r>
              <w:rPr>
                <w:color w:val="595959"/>
                <w:sz w:val="20"/>
              </w:rPr>
              <w:t>1:1 (current baseline)</w:t>
            </w:r>
          </w:p>
        </w:tc>
        <w:tc>
          <w:tcPr>
            <w:tcW w:type="dxa" w:w="1728"/>
            <w:shd w:val="clear" w:color="auto" w:fill="F2F7FF"/>
          </w:tcPr>
          <w:p>
            <w:r>
              <w:rPr>
                <w:color w:val="595959"/>
                <w:sz w:val="20"/>
              </w:rPr>
              <w:t>1×</w:t>
            </w:r>
          </w:p>
        </w:tc>
        <w:tc>
          <w:tcPr>
            <w:tcW w:type="dxa" w:w="5040"/>
            <w:shd w:val="clear" w:color="auto" w:fill="F2F7FF"/>
          </w:tcPr>
          <w:p>
            <w:r>
              <w:rPr>
                <w:color w:val="595959"/>
                <w:sz w:val="20"/>
              </w:rPr>
              <w:t>Balanced; good for small datasets.</w:t>
            </w:r>
          </w:p>
        </w:tc>
      </w:tr>
      <w:tr>
        <w:tc>
          <w:tcPr>
            <w:tcW w:type="dxa" w:w="2160"/>
            <w:shd w:val="clear" w:color="auto" w:fill="FFFFFF"/>
          </w:tcPr>
          <w:p>
            <w:r>
              <w:rPr>
                <w:color w:val="595959"/>
                <w:sz w:val="20"/>
              </w:rPr>
              <w:t>1:5</w:t>
            </w:r>
          </w:p>
        </w:tc>
        <w:tc>
          <w:tcPr>
            <w:tcW w:type="dxa" w:w="1728"/>
            <w:shd w:val="clear" w:color="auto" w:fill="FFFFFF"/>
          </w:tcPr>
          <w:p>
            <w:r>
              <w:rPr>
                <w:color w:val="595959"/>
                <w:sz w:val="20"/>
              </w:rPr>
              <w:t>5×</w:t>
            </w:r>
          </w:p>
        </w:tc>
        <w:tc>
          <w:tcPr>
            <w:tcW w:type="dxa" w:w="5040"/>
            <w:shd w:val="clear" w:color="auto" w:fill="FFFFFF"/>
          </w:tcPr>
          <w:p>
            <w:r>
              <w:rPr>
                <w:color w:val="595959"/>
                <w:sz w:val="20"/>
              </w:rPr>
              <w:t>Moderate imbalance; more realistic.</w:t>
            </w:r>
          </w:p>
        </w:tc>
      </w:tr>
      <w:tr>
        <w:tc>
          <w:tcPr>
            <w:tcW w:type="dxa" w:w="2160"/>
            <w:shd w:val="clear" w:color="auto" w:fill="F2F7FF"/>
          </w:tcPr>
          <w:p>
            <w:r>
              <w:rPr>
                <w:color w:val="595959"/>
                <w:sz w:val="20"/>
              </w:rPr>
              <w:t>1:10</w:t>
            </w:r>
          </w:p>
        </w:tc>
        <w:tc>
          <w:tcPr>
            <w:tcW w:type="dxa" w:w="1728"/>
            <w:shd w:val="clear" w:color="auto" w:fill="F2F7FF"/>
          </w:tcPr>
          <w:p>
            <w:r>
              <w:rPr>
                <w:color w:val="595959"/>
                <w:sz w:val="20"/>
              </w:rPr>
              <w:t>10×</w:t>
            </w:r>
          </w:p>
        </w:tc>
        <w:tc>
          <w:tcPr>
            <w:tcW w:type="dxa" w:w="5040"/>
            <w:shd w:val="clear" w:color="auto" w:fill="F2F7FF"/>
          </w:tcPr>
          <w:p>
            <w:r>
              <w:rPr>
                <w:color w:val="595959"/>
                <w:sz w:val="20"/>
              </w:rPr>
              <w:t>High imbalance; matches proposal recommendation. Tests robustness.</w:t>
            </w:r>
          </w:p>
        </w:tc>
      </w:tr>
      <w:tr>
        <w:tc>
          <w:tcPr>
            <w:tcW w:type="dxa" w:w="2160"/>
            <w:shd w:val="clear" w:color="auto" w:fill="FFFFFF"/>
          </w:tcPr>
          <w:p>
            <w:r>
              <w:rPr>
                <w:color w:val="595959"/>
                <w:sz w:val="20"/>
              </w:rPr>
              <w:t>1:20</w:t>
            </w:r>
          </w:p>
        </w:tc>
        <w:tc>
          <w:tcPr>
            <w:tcW w:type="dxa" w:w="1728"/>
            <w:shd w:val="clear" w:color="auto" w:fill="FFFFFF"/>
          </w:tcPr>
          <w:p>
            <w:r>
              <w:rPr>
                <w:color w:val="595959"/>
                <w:sz w:val="20"/>
              </w:rPr>
              <w:t>20×</w:t>
            </w:r>
          </w:p>
        </w:tc>
        <w:tc>
          <w:tcPr>
            <w:tcW w:type="dxa" w:w="5040"/>
            <w:shd w:val="clear" w:color="auto" w:fill="FFFFFF"/>
          </w:tcPr>
          <w:p>
            <w:r>
              <w:rPr>
                <w:color w:val="595959"/>
                <w:sz w:val="20"/>
              </w:rPr>
              <w:t>Extreme imbalance; stress test. Only on larger datasets.</w:t>
            </w:r>
          </w:p>
        </w:tc>
      </w:tr>
    </w:tbl>
    <w:p/>
    <w:p>
      <w:pPr>
        <w:spacing w:before="240" w:after="40"/>
      </w:pPr>
      <w:r>
        <w:rPr>
          <w:b/>
          <w:color w:val="007078"/>
          <w:sz w:val="26"/>
        </w:rPr>
        <w:t>4.4  Experimental Design</w:t>
      </w:r>
    </w:p>
    <w:p>
      <w:pPr>
        <w:spacing w:before="40" w:after="80"/>
      </w:pPr>
      <w:r>
        <w:rPr>
          <w:color w:val="595959"/>
          <w:sz w:val="22"/>
        </w:rPr>
        <w:t>Test on Yamanishi_e (small, where imbalance matters most) and Luo_17 (larger, provides a reference). Use the best embedding from Phase 1. Run 5 seeds per configuration; evaluate on all 4 splits.</w:t>
      </w:r>
    </w:p>
    <w:tbl>
      <w:tblPr>
        <w:tblStyle w:val="TableGrid"/>
        <w:tblW w:type="auto" w:w="0"/>
        <w:tblLook w:firstColumn="1" w:firstRow="1" w:lastColumn="0" w:lastRow="0" w:noHBand="0" w:noVBand="1" w:val="04A0"/>
      </w:tblPr>
      <w:tblGrid>
        <w:gridCol w:w="2280"/>
        <w:gridCol w:w="2280"/>
        <w:gridCol w:w="2280"/>
        <w:gridCol w:w="2280"/>
      </w:tblGrid>
      <w:tr>
        <w:tc>
          <w:tcPr>
            <w:tcW w:type="dxa" w:w="1584"/>
            <w:shd w:val="clear" w:color="auto" w:fill="1F497D"/>
          </w:tcPr>
          <w:p>
            <w:r>
              <w:rPr>
                <w:b/>
                <w:color w:val="FFFFFF"/>
                <w:sz w:val="20"/>
              </w:rPr>
              <w:t>Experiment ID</w:t>
            </w:r>
          </w:p>
        </w:tc>
        <w:tc>
          <w:tcPr>
            <w:tcW w:type="dxa" w:w="2592"/>
            <w:shd w:val="clear" w:color="auto" w:fill="1F497D"/>
          </w:tcPr>
          <w:p>
            <w:r>
              <w:rPr>
                <w:b/>
                <w:color w:val="FFFFFF"/>
                <w:sz w:val="20"/>
              </w:rPr>
              <w:t>Loss Function</w:t>
            </w:r>
          </w:p>
        </w:tc>
        <w:tc>
          <w:tcPr>
            <w:tcW w:type="dxa" w:w="1728"/>
            <w:shd w:val="clear" w:color="auto" w:fill="1F497D"/>
          </w:tcPr>
          <w:p>
            <w:r>
              <w:rPr>
                <w:b/>
                <w:color w:val="FFFFFF"/>
                <w:sz w:val="20"/>
              </w:rPr>
              <w:t>Neg:Pos Ratio</w:t>
            </w:r>
          </w:p>
        </w:tc>
        <w:tc>
          <w:tcPr>
            <w:tcW w:type="dxa" w:w="3024"/>
            <w:shd w:val="clear" w:color="auto" w:fill="1F497D"/>
          </w:tcPr>
          <w:p>
            <w:r>
              <w:rPr>
                <w:b/>
                <w:color w:val="FFFFFF"/>
                <w:sz w:val="20"/>
              </w:rPr>
              <w:t>Dataset</w:t>
            </w:r>
          </w:p>
        </w:tc>
      </w:tr>
      <w:tr>
        <w:tc>
          <w:tcPr>
            <w:tcW w:type="dxa" w:w="1584"/>
            <w:shd w:val="clear" w:color="auto" w:fill="F2F7FF"/>
          </w:tcPr>
          <w:p>
            <w:r>
              <w:rPr>
                <w:color w:val="595959"/>
                <w:sz w:val="20"/>
              </w:rPr>
              <w:t>P2-A (baseline)</w:t>
            </w:r>
          </w:p>
        </w:tc>
        <w:tc>
          <w:tcPr>
            <w:tcW w:type="dxa" w:w="2592"/>
            <w:shd w:val="clear" w:color="auto" w:fill="F2F7FF"/>
          </w:tcPr>
          <w:p>
            <w:r>
              <w:rPr>
                <w:color w:val="595959"/>
                <w:sz w:val="20"/>
              </w:rPr>
              <w:t>Focal (γ=2, α=0.25)</w:t>
            </w:r>
          </w:p>
        </w:tc>
        <w:tc>
          <w:tcPr>
            <w:tcW w:type="dxa" w:w="1728"/>
            <w:shd w:val="clear" w:color="auto" w:fill="F2F7FF"/>
          </w:tcPr>
          <w:p>
            <w:r>
              <w:rPr>
                <w:color w:val="595959"/>
                <w:sz w:val="20"/>
              </w:rPr>
              <w:t>1:1</w:t>
            </w:r>
          </w:p>
        </w:tc>
        <w:tc>
          <w:tcPr>
            <w:tcW w:type="dxa" w:w="3024"/>
            <w:shd w:val="clear" w:color="auto" w:fill="F2F7FF"/>
          </w:tcPr>
          <w:p>
            <w:r>
              <w:rPr>
                <w:color w:val="595959"/>
                <w:sz w:val="20"/>
              </w:rPr>
              <w:t>yamanishi_e, luo_17</w:t>
            </w:r>
          </w:p>
        </w:tc>
      </w:tr>
      <w:tr>
        <w:tc>
          <w:tcPr>
            <w:tcW w:type="dxa" w:w="1584"/>
            <w:shd w:val="clear" w:color="auto" w:fill="FFFFFF"/>
          </w:tcPr>
          <w:p>
            <w:r>
              <w:rPr>
                <w:color w:val="595959"/>
                <w:sz w:val="20"/>
              </w:rPr>
              <w:t>P2-B</w:t>
            </w:r>
          </w:p>
        </w:tc>
        <w:tc>
          <w:tcPr>
            <w:tcW w:type="dxa" w:w="2592"/>
            <w:shd w:val="clear" w:color="auto" w:fill="FFFFFF"/>
          </w:tcPr>
          <w:p>
            <w:r>
              <w:rPr>
                <w:color w:val="595959"/>
                <w:sz w:val="20"/>
              </w:rPr>
              <w:t>Weighted BCE</w:t>
            </w:r>
          </w:p>
        </w:tc>
        <w:tc>
          <w:tcPr>
            <w:tcW w:type="dxa" w:w="1728"/>
            <w:shd w:val="clear" w:color="auto" w:fill="FFFFFF"/>
          </w:tcPr>
          <w:p>
            <w:r>
              <w:rPr>
                <w:color w:val="595959"/>
                <w:sz w:val="20"/>
              </w:rPr>
              <w:t>1:1</w:t>
            </w:r>
          </w:p>
        </w:tc>
        <w:tc>
          <w:tcPr>
            <w:tcW w:type="dxa" w:w="3024"/>
            <w:shd w:val="clear" w:color="auto" w:fill="FFFFFF"/>
          </w:tcPr>
          <w:p>
            <w:r>
              <w:rPr>
                <w:color w:val="595959"/>
                <w:sz w:val="20"/>
              </w:rPr>
              <w:t>yamanishi_e</w:t>
            </w:r>
          </w:p>
        </w:tc>
      </w:tr>
      <w:tr>
        <w:tc>
          <w:tcPr>
            <w:tcW w:type="dxa" w:w="1584"/>
            <w:shd w:val="clear" w:color="auto" w:fill="F2F7FF"/>
          </w:tcPr>
          <w:p>
            <w:r>
              <w:rPr>
                <w:color w:val="595959"/>
                <w:sz w:val="20"/>
              </w:rPr>
              <w:t>P2-C</w:t>
            </w:r>
          </w:p>
        </w:tc>
        <w:tc>
          <w:tcPr>
            <w:tcW w:type="dxa" w:w="2592"/>
            <w:shd w:val="clear" w:color="auto" w:fill="F2F7FF"/>
          </w:tcPr>
          <w:p>
            <w:r>
              <w:rPr>
                <w:color w:val="595959"/>
                <w:sz w:val="20"/>
              </w:rPr>
              <w:t>Focal (γ=1)</w:t>
            </w:r>
          </w:p>
        </w:tc>
        <w:tc>
          <w:tcPr>
            <w:tcW w:type="dxa" w:w="1728"/>
            <w:shd w:val="clear" w:color="auto" w:fill="F2F7FF"/>
          </w:tcPr>
          <w:p>
            <w:r>
              <w:rPr>
                <w:color w:val="595959"/>
                <w:sz w:val="20"/>
              </w:rPr>
              <w:t>1:1</w:t>
            </w:r>
          </w:p>
        </w:tc>
        <w:tc>
          <w:tcPr>
            <w:tcW w:type="dxa" w:w="3024"/>
            <w:shd w:val="clear" w:color="auto" w:fill="F2F7FF"/>
          </w:tcPr>
          <w:p>
            <w:r>
              <w:rPr>
                <w:color w:val="595959"/>
                <w:sz w:val="20"/>
              </w:rPr>
              <w:t>yamanishi_e</w:t>
            </w:r>
          </w:p>
        </w:tc>
      </w:tr>
      <w:tr>
        <w:tc>
          <w:tcPr>
            <w:tcW w:type="dxa" w:w="1584"/>
            <w:shd w:val="clear" w:color="auto" w:fill="FFFFFF"/>
          </w:tcPr>
          <w:p>
            <w:r>
              <w:rPr>
                <w:color w:val="595959"/>
                <w:sz w:val="20"/>
              </w:rPr>
              <w:t>P2-D</w:t>
            </w:r>
          </w:p>
        </w:tc>
        <w:tc>
          <w:tcPr>
            <w:tcW w:type="dxa" w:w="2592"/>
            <w:shd w:val="clear" w:color="auto" w:fill="FFFFFF"/>
          </w:tcPr>
          <w:p>
            <w:r>
              <w:rPr>
                <w:color w:val="595959"/>
                <w:sz w:val="20"/>
              </w:rPr>
              <w:t>Focal (γ=3)</w:t>
            </w:r>
          </w:p>
        </w:tc>
        <w:tc>
          <w:tcPr>
            <w:tcW w:type="dxa" w:w="1728"/>
            <w:shd w:val="clear" w:color="auto" w:fill="FFFFFF"/>
          </w:tcPr>
          <w:p>
            <w:r>
              <w:rPr>
                <w:color w:val="595959"/>
                <w:sz w:val="20"/>
              </w:rPr>
              <w:t>1:1</w:t>
            </w:r>
          </w:p>
        </w:tc>
        <w:tc>
          <w:tcPr>
            <w:tcW w:type="dxa" w:w="3024"/>
            <w:shd w:val="clear" w:color="auto" w:fill="FFFFFF"/>
          </w:tcPr>
          <w:p>
            <w:r>
              <w:rPr>
                <w:color w:val="595959"/>
                <w:sz w:val="20"/>
              </w:rPr>
              <w:t>yamanishi_e</w:t>
            </w:r>
          </w:p>
        </w:tc>
      </w:tr>
      <w:tr>
        <w:tc>
          <w:tcPr>
            <w:tcW w:type="dxa" w:w="1584"/>
            <w:shd w:val="clear" w:color="auto" w:fill="F2F7FF"/>
          </w:tcPr>
          <w:p>
            <w:r>
              <w:rPr>
                <w:color w:val="595959"/>
                <w:sz w:val="20"/>
              </w:rPr>
              <w:t>P2-E</w:t>
            </w:r>
          </w:p>
        </w:tc>
        <w:tc>
          <w:tcPr>
            <w:tcW w:type="dxa" w:w="2592"/>
            <w:shd w:val="clear" w:color="auto" w:fill="F2F7FF"/>
          </w:tcPr>
          <w:p>
            <w:r>
              <w:rPr>
                <w:color w:val="595959"/>
                <w:sz w:val="20"/>
              </w:rPr>
              <w:t>Focal (γ=5)</w:t>
            </w:r>
          </w:p>
        </w:tc>
        <w:tc>
          <w:tcPr>
            <w:tcW w:type="dxa" w:w="1728"/>
            <w:shd w:val="clear" w:color="auto" w:fill="F2F7FF"/>
          </w:tcPr>
          <w:p>
            <w:r>
              <w:rPr>
                <w:color w:val="595959"/>
                <w:sz w:val="20"/>
              </w:rPr>
              <w:t>1:1</w:t>
            </w:r>
          </w:p>
        </w:tc>
        <w:tc>
          <w:tcPr>
            <w:tcW w:type="dxa" w:w="3024"/>
            <w:shd w:val="clear" w:color="auto" w:fill="F2F7FF"/>
          </w:tcPr>
          <w:p>
            <w:r>
              <w:rPr>
                <w:color w:val="595959"/>
                <w:sz w:val="20"/>
              </w:rPr>
              <w:t>yamanishi_e</w:t>
            </w:r>
          </w:p>
        </w:tc>
      </w:tr>
      <w:tr>
        <w:tc>
          <w:tcPr>
            <w:tcW w:type="dxa" w:w="1584"/>
            <w:shd w:val="clear" w:color="auto" w:fill="FFFFFF"/>
          </w:tcPr>
          <w:p>
            <w:r>
              <w:rPr>
                <w:color w:val="595959"/>
                <w:sz w:val="20"/>
              </w:rPr>
              <w:t>P2-F</w:t>
            </w:r>
          </w:p>
        </w:tc>
        <w:tc>
          <w:tcPr>
            <w:tcW w:type="dxa" w:w="2592"/>
            <w:shd w:val="clear" w:color="auto" w:fill="FFFFFF"/>
          </w:tcPr>
          <w:p>
            <w:r>
              <w:rPr>
                <w:color w:val="595959"/>
                <w:sz w:val="20"/>
              </w:rPr>
              <w:t>Focal (γ=2, α=0.25)</w:t>
            </w:r>
          </w:p>
        </w:tc>
        <w:tc>
          <w:tcPr>
            <w:tcW w:type="dxa" w:w="1728"/>
            <w:shd w:val="clear" w:color="auto" w:fill="FFFFFF"/>
          </w:tcPr>
          <w:p>
            <w:r>
              <w:rPr>
                <w:color w:val="595959"/>
                <w:sz w:val="20"/>
              </w:rPr>
              <w:t>1:5</w:t>
            </w:r>
          </w:p>
        </w:tc>
        <w:tc>
          <w:tcPr>
            <w:tcW w:type="dxa" w:w="3024"/>
            <w:shd w:val="clear" w:color="auto" w:fill="FFFFFF"/>
          </w:tcPr>
          <w:p>
            <w:r>
              <w:rPr>
                <w:color w:val="595959"/>
                <w:sz w:val="20"/>
              </w:rPr>
              <w:t>yamanishi_e, luo_17</w:t>
            </w:r>
          </w:p>
        </w:tc>
      </w:tr>
      <w:tr>
        <w:tc>
          <w:tcPr>
            <w:tcW w:type="dxa" w:w="1584"/>
            <w:shd w:val="clear" w:color="auto" w:fill="F2F7FF"/>
          </w:tcPr>
          <w:p>
            <w:r>
              <w:rPr>
                <w:color w:val="595959"/>
                <w:sz w:val="20"/>
              </w:rPr>
              <w:t>P2-G</w:t>
            </w:r>
          </w:p>
        </w:tc>
        <w:tc>
          <w:tcPr>
            <w:tcW w:type="dxa" w:w="2592"/>
            <w:shd w:val="clear" w:color="auto" w:fill="F2F7FF"/>
          </w:tcPr>
          <w:p>
            <w:r>
              <w:rPr>
                <w:color w:val="595959"/>
                <w:sz w:val="20"/>
              </w:rPr>
              <w:t>Focal (γ=2, α=0.25)</w:t>
            </w:r>
          </w:p>
        </w:tc>
        <w:tc>
          <w:tcPr>
            <w:tcW w:type="dxa" w:w="1728"/>
            <w:shd w:val="clear" w:color="auto" w:fill="F2F7FF"/>
          </w:tcPr>
          <w:p>
            <w:r>
              <w:rPr>
                <w:color w:val="595959"/>
                <w:sz w:val="20"/>
              </w:rPr>
              <w:t>1:10</w:t>
            </w:r>
          </w:p>
        </w:tc>
        <w:tc>
          <w:tcPr>
            <w:tcW w:type="dxa" w:w="3024"/>
            <w:shd w:val="clear" w:color="auto" w:fill="F2F7FF"/>
          </w:tcPr>
          <w:p>
            <w:r>
              <w:rPr>
                <w:color w:val="595959"/>
                <w:sz w:val="20"/>
              </w:rPr>
              <w:t>yamanishi_e, luo_17</w:t>
            </w:r>
          </w:p>
        </w:tc>
      </w:tr>
      <w:tr>
        <w:tc>
          <w:tcPr>
            <w:tcW w:type="dxa" w:w="1584"/>
            <w:shd w:val="clear" w:color="auto" w:fill="FFFFFF"/>
          </w:tcPr>
          <w:p>
            <w:r>
              <w:rPr>
                <w:color w:val="595959"/>
                <w:sz w:val="20"/>
              </w:rPr>
              <w:t>P2-H (best combo)</w:t>
            </w:r>
          </w:p>
        </w:tc>
        <w:tc>
          <w:tcPr>
            <w:tcW w:type="dxa" w:w="2592"/>
            <w:shd w:val="clear" w:color="auto" w:fill="FFFFFF"/>
          </w:tcPr>
          <w:p>
            <w:r>
              <w:rPr>
                <w:color w:val="595959"/>
                <w:sz w:val="20"/>
              </w:rPr>
              <w:t>Best from P2-B/D/E</w:t>
            </w:r>
          </w:p>
        </w:tc>
        <w:tc>
          <w:tcPr>
            <w:tcW w:type="dxa" w:w="1728"/>
            <w:shd w:val="clear" w:color="auto" w:fill="FFFFFF"/>
          </w:tcPr>
          <w:p>
            <w:r>
              <w:rPr>
                <w:color w:val="595959"/>
                <w:sz w:val="20"/>
              </w:rPr>
              <w:t>1:5 or 1:10</w:t>
            </w:r>
          </w:p>
        </w:tc>
        <w:tc>
          <w:tcPr>
            <w:tcW w:type="dxa" w:w="3024"/>
            <w:shd w:val="clear" w:color="auto" w:fill="FFFFFF"/>
          </w:tcPr>
          <w:p>
            <w:r>
              <w:rPr>
                <w:color w:val="595959"/>
                <w:sz w:val="20"/>
              </w:rPr>
              <w:t>both datasets</w:t>
            </w:r>
          </w:p>
        </w:tc>
      </w:tr>
    </w:tbl>
    <w:p/>
    <w:p>
      <w:pPr>
        <w:spacing w:before="120" w:after="120"/>
        <w:ind w:left="567"/>
        <w:pBdr>
          <w:left w:val="single" w:sz="12" w:space="6" w:color="007078"/>
        </w:pBdr>
      </w:pPr>
      <w:r>
        <w:rPr>
          <w:i/>
          <w:color w:val="595959"/>
          <w:sz w:val="21"/>
        </w:rPr>
        <w:t>Priority order: P2-F and P2-G first (ratio change is cheap — no retraining of embeddings needed; just change 12_preprocess_labels.py --ratio flag). Then P2-B (weighted BCE) as a sanity check against focal loss.</w:t>
      </w:r>
    </w:p>
    <w:p>
      <w:pPr>
        <w:spacing w:before="240" w:after="40"/>
      </w:pPr>
      <w:r>
        <w:rPr>
          <w:b/>
          <w:color w:val="007078"/>
          <w:sz w:val="26"/>
        </w:rPr>
        <w:t>4.5  Primary Metric — AUPRC</w:t>
      </w:r>
    </w:p>
    <w:p>
      <w:pPr>
        <w:spacing w:before="40" w:after="80"/>
      </w:pPr>
      <w:r>
        <w:rPr>
          <w:color w:val="595959"/>
          <w:sz w:val="22"/>
        </w:rPr>
        <w:t>AUROC is not sensitive to class imbalance because it evaluates ranking quality across all thresholds equally. AUPRC (Area Under the Precision-Recall Curve) is the correct metric when positives are rare: a random classifier scores AUPRC = prevalence (e.g., 0.05 for 1:20 data), so any improvement above this is meaningful. The existing code already reports AUPRC — use it as the primary metric in Phase 2.</w:t>
      </w:r>
    </w:p>
    <w:p>
      <w:pPr>
        <w:spacing w:before="240" w:after="40"/>
      </w:pPr>
      <w:r>
        <w:rPr>
          <w:b/>
          <w:color w:val="007078"/>
          <w:sz w:val="26"/>
        </w:rPr>
        <w:t>4.6  Infrastructure Steps</w:t>
      </w:r>
    </w:p>
    <w:p>
      <w:pPr>
        <w:spacing w:before="20" w:after="20"/>
        <w:ind w:left="454"/>
      </w:pPr>
      <w:r>
        <w:rPr>
          <w:b/>
          <w:color w:val="C55A11"/>
          <w:sz w:val="22"/>
        </w:rPr>
        <w:t xml:space="preserve">○  </w:t>
      </w:r>
      <w:r>
        <w:rPr>
          <w:color w:val="595959"/>
          <w:sz w:val="22"/>
        </w:rPr>
        <w:t>Modify 12_preprocess_labels.py to accept --ratio argument (e.g., --ratio 1to5, 1to10).</w:t>
      </w:r>
    </w:p>
    <w:p>
      <w:pPr>
        <w:spacing w:before="20" w:after="20"/>
        <w:ind w:left="454"/>
      </w:pPr>
      <w:r>
        <w:rPr>
          <w:b/>
          <w:color w:val="C55A11"/>
          <w:sz w:val="22"/>
        </w:rPr>
        <w:t xml:space="preserve">○  </w:t>
      </w:r>
      <w:r>
        <w:rPr>
          <w:color w:val="595959"/>
          <w:sz w:val="22"/>
        </w:rPr>
        <w:t>Add AsymmetricLoss to model/losses.py if P2 results suggest it is worth testing.</w:t>
      </w:r>
    </w:p>
    <w:p>
      <w:pPr>
        <w:spacing w:before="20" w:after="20"/>
        <w:ind w:left="454"/>
      </w:pPr>
      <w:r>
        <w:rPr>
          <w:b/>
          <w:color w:val="C55A11"/>
          <w:sz w:val="22"/>
        </w:rPr>
        <w:t xml:space="preserve">○  </w:t>
      </w:r>
      <w:r>
        <w:rPr>
          <w:color w:val="595959"/>
          <w:sz w:val="22"/>
        </w:rPr>
        <w:t>Add γ as a command-line argument to train.py (currently hardcoded in config.py).</w:t>
      </w:r>
    </w:p>
    <w:p>
      <w:pPr>
        <w:spacing w:before="20" w:after="20"/>
        <w:ind w:left="454"/>
      </w:pPr>
      <w:r>
        <w:rPr>
          <w:b/>
          <w:color w:val="C55A11"/>
          <w:sz w:val="22"/>
        </w:rPr>
        <w:t xml:space="preserve">○  </w:t>
      </w:r>
      <w:r>
        <w:rPr>
          <w:color w:val="595959"/>
          <w:sz w:val="22"/>
        </w:rPr>
        <w:t>Run statistical comparison: each P2 variant vs. P2-A using paired t-test on AUPRC (df=4).</w:t>
      </w:r>
    </w:p>
    <w:p>
      <w:r>
        <w:br w:type="page"/>
      </w:r>
    </w:p>
    <w:p>
      <w:pPr>
        <w:spacing w:before="360" w:after="80"/>
        <w:pBdr>
          <w:bottom w:val="single" w:sz="6" w:space="1" w:color="1F497D"/>
        </w:pBdr>
      </w:pPr>
      <w:r>
        <w:rPr>
          <w:b/>
          <w:color w:val="1F497D"/>
          <w:sz w:val="32"/>
        </w:rPr>
        <w:t>5.  Phase 3 — Self-Supervised Pretraining Strategy</w:t>
      </w:r>
    </w:p>
    <w:p>
      <w:pPr>
        <w:spacing w:before="40" w:after="80"/>
      </w:pPr>
      <w:r>
        <w:rPr>
          <w:color w:val="595959"/>
          <w:sz w:val="22"/>
        </w:rPr>
        <w:t>This is the most technically ambitious phase and the one most directly tied to Objective 2's core claim. The proposal states: 'The drug and protein encoders are optionally pre-trained on large-scale unlabelled datasets (e.g., DrugBank) using techniques such as contrastive learning and masked feature prediction. This enables the model to learn high-quality, transferable representations that improve downstream DTI prediction performance.' Phase 3 designs and evaluates this pretraining pipeline.</w:t>
      </w:r>
    </w:p>
    <w:p>
      <w:pPr>
        <w:spacing w:before="240" w:after="40"/>
      </w:pPr>
      <w:r>
        <w:rPr>
          <w:b/>
          <w:color w:val="007078"/>
          <w:sz w:val="26"/>
        </w:rPr>
        <w:t>5.1  Research Question</w:t>
      </w:r>
    </w:p>
    <w:p>
      <w:pPr>
        <w:spacing w:before="120" w:after="120"/>
        <w:ind w:left="567"/>
        <w:pBdr>
          <w:left w:val="single" w:sz="12" w:space="6" w:color="007078"/>
        </w:pBdr>
      </w:pPr>
      <w:r>
        <w:rPr>
          <w:i/>
          <w:color w:val="595959"/>
          <w:sz w:val="21"/>
        </w:rPr>
        <w:t>Q3: Does pretraining the drug and protein encoders on a large dataset before fine-tuning on a target dataset significantly improve performance on cold-drug, cold-target, and cross-dataset scenarios?</w:t>
      </w:r>
    </w:p>
    <w:p>
      <w:pPr>
        <w:spacing w:before="240" w:after="40"/>
      </w:pPr>
      <w:r>
        <w:rPr>
          <w:b/>
          <w:color w:val="007078"/>
          <w:sz w:val="26"/>
        </w:rPr>
        <w:t>5.2  Why Pretraining Is Expected to Help</w:t>
      </w:r>
    </w:p>
    <w:p>
      <w:pPr>
        <w:spacing w:before="40" w:after="80"/>
      </w:pPr>
      <w:r>
        <w:rPr>
          <w:color w:val="595959"/>
          <w:sz w:val="22"/>
        </w:rPr>
        <w:t>The cross-dataset experiment in Objective 1 showed AUROC = 0.508 when transferring luo_17 → yamanishi_e. This happened because the model was a discriminative classifier: it learned which specific molecules in luo_17 interact, not general binding principles. Pretraining changes this by first training the encoders in a self-supervised manner — no interaction labels needed — so they learn general structural and sequence features before ever seeing interaction data.</w:t>
      </w:r>
    </w:p>
    <w:p>
      <w:pPr>
        <w:pStyle w:val="ListBullet"/>
        <w:spacing w:before="20" w:after="20"/>
        <w:ind w:left="454"/>
      </w:pPr>
      <w:r>
        <w:rPr>
          <w:color w:val="595959"/>
          <w:sz w:val="22"/>
        </w:rPr>
        <w:t>A drug encoder pretrained on BindingDB learns that similar scaffolds have similar binding properties, even without interaction labels.</w:t>
      </w:r>
    </w:p>
    <w:p>
      <w:pPr>
        <w:pStyle w:val="ListBullet"/>
        <w:spacing w:before="20" w:after="20"/>
        <w:ind w:left="454"/>
      </w:pPr>
      <w:r>
        <w:rPr>
          <w:color w:val="595959"/>
          <w:sz w:val="22"/>
        </w:rPr>
        <w:t>A protein encoder pretrained on UniProt or BindingDB protein sequences learns general motif patterns that transfer across protein families.</w:t>
      </w:r>
    </w:p>
    <w:p>
      <w:pPr>
        <w:pStyle w:val="ListBullet"/>
        <w:spacing w:before="20" w:after="20"/>
        <w:ind w:left="454"/>
      </w:pPr>
      <w:r>
        <w:rPr>
          <w:color w:val="595959"/>
          <w:sz w:val="22"/>
        </w:rPr>
        <w:t>When fine-tuned on Davis, KIBA, or Yamanishi_e, the pretrained encoders start from a better position — especially for cold entities not seen during fine-tuning.</w:t>
      </w:r>
    </w:p>
    <w:p>
      <w:pPr>
        <w:spacing w:before="240" w:after="40"/>
      </w:pPr>
      <w:r>
        <w:rPr>
          <w:b/>
          <w:color w:val="007078"/>
          <w:sz w:val="26"/>
        </w:rPr>
        <w:t>5.3  Pretraining Strategies to Implement</w:t>
      </w:r>
    </w:p>
    <w:p>
      <w:pPr>
        <w:spacing w:before="160" w:after="40"/>
      </w:pPr>
      <w:r>
        <w:rPr>
          <w:b/>
          <w:color w:val="1F497D"/>
          <w:sz w:val="22"/>
        </w:rPr>
        <w:t>Strategy A — Supervised Pretraining on BindingDB</w:t>
      </w:r>
    </w:p>
    <w:p>
      <w:pPr>
        <w:spacing w:before="40" w:after="80"/>
      </w:pPr>
      <w:r>
        <w:rPr>
          <w:color w:val="595959"/>
          <w:sz w:val="22"/>
        </w:rPr>
        <w:t>The simplest and most practical approach: train the full H-GNN-RNN-DTI model (both encoders + cross-attention) on BindingDB as a DTI classification task, using all available interaction labels. Then freeze or fine-tune on the target dataset. This is analogous to how ImageNet pretraining works for computer vision.</w:t>
      </w:r>
    </w:p>
    <w:p>
      <w:pPr>
        <w:pStyle w:val="ListBullet"/>
        <w:spacing w:before="20" w:after="20"/>
        <w:ind w:left="454"/>
      </w:pPr>
      <w:r>
        <w:rPr>
          <w:color w:val="595959"/>
          <w:sz w:val="22"/>
        </w:rPr>
        <w:t>Pretraining data: BindingDB (~700K–1M+ labelled drug–protein pairs after cleaning).</w:t>
      </w:r>
    </w:p>
    <w:p>
      <w:pPr>
        <w:pStyle w:val="ListBullet"/>
        <w:spacing w:before="20" w:after="20"/>
        <w:ind w:left="454"/>
      </w:pPr>
      <w:r>
        <w:rPr>
          <w:color w:val="595959"/>
          <w:sz w:val="22"/>
        </w:rPr>
        <w:t>Pretraining task: binary DTI classification with Focal Loss.</w:t>
      </w:r>
    </w:p>
    <w:p>
      <w:pPr>
        <w:pStyle w:val="ListBullet"/>
        <w:spacing w:before="20" w:after="20"/>
        <w:ind w:left="454"/>
      </w:pPr>
      <w:r>
        <w:rPr>
          <w:color w:val="595959"/>
          <w:sz w:val="22"/>
        </w:rPr>
        <w:t>Fine-tuning: replace the final classifier head; fine-tune all layers on the target dataset with a lower learning rate (e.g., lr = 1e-5 instead of 1e-4).</w:t>
      </w:r>
    </w:p>
    <w:p>
      <w:pPr>
        <w:pStyle w:val="ListBullet"/>
        <w:spacing w:before="20" w:after="20"/>
        <w:ind w:left="454"/>
      </w:pPr>
      <w:r>
        <w:rPr>
          <w:color w:val="595959"/>
          <w:sz w:val="22"/>
        </w:rPr>
        <w:t>Comparison: fine-tuned model vs. from-scratch model on all 4 splits, 5 seeds.</w:t>
      </w:r>
    </w:p>
    <w:p>
      <w:pPr>
        <w:spacing w:before="160" w:after="40"/>
      </w:pPr>
      <w:r>
        <w:rPr>
          <w:b/>
          <w:color w:val="1F497D"/>
          <w:sz w:val="22"/>
        </w:rPr>
        <w:t>Strategy B — Contrastive Pretraining (Drug Encoder)</w:t>
      </w:r>
    </w:p>
    <w:p>
      <w:pPr>
        <w:spacing w:before="40" w:after="80"/>
      </w:pPr>
      <w:r>
        <w:rPr>
          <w:color w:val="595959"/>
          <w:sz w:val="22"/>
        </w:rPr>
        <w:t>Contrastive learning trains the drug encoder to produce similar embeddings for chemically similar drugs and different embeddings for dissimilar drugs — without needing interaction labels. This is implemented using a molecular graph contrastive framework:</w:t>
      </w:r>
    </w:p>
    <w:p>
      <w:pPr>
        <w:pStyle w:val="ListBullet"/>
        <w:spacing w:before="20" w:after="20"/>
        <w:ind w:left="454"/>
      </w:pPr>
      <w:r>
        <w:rPr>
          <w:color w:val="595959"/>
          <w:sz w:val="22"/>
        </w:rPr>
        <w:t>Data augmentation: for each drug graph, create two augmented views (randomly mask atoms, permute edges, or add noise to features).</w:t>
      </w:r>
    </w:p>
    <w:p>
      <w:pPr>
        <w:pStyle w:val="ListBullet"/>
        <w:spacing w:before="20" w:after="20"/>
        <w:ind w:left="454"/>
      </w:pPr>
      <w:r>
        <w:rPr>
          <w:color w:val="595959"/>
          <w:sz w:val="22"/>
        </w:rPr>
        <w:t>Loss: InfoNCE (NT-Xent) loss — the encoder must identify the two views of the same molecule from a batch of other molecules.</w:t>
      </w:r>
    </w:p>
    <w:p>
      <w:pPr>
        <w:pStyle w:val="ListBullet"/>
        <w:spacing w:before="20" w:after="20"/>
        <w:ind w:left="454"/>
      </w:pPr>
      <w:r>
        <w:rPr>
          <w:color w:val="595959"/>
          <w:sz w:val="22"/>
        </w:rPr>
        <w:t>After pretraining the drug encoder, attach the pretrained weights to H-GNN-RNN-DTI and fine-tune end-to-end on the target dataset.</w:t>
      </w:r>
    </w:p>
    <w:p>
      <w:pPr>
        <w:pStyle w:val="ListBullet"/>
        <w:spacing w:before="20" w:after="20"/>
        <w:ind w:left="454"/>
      </w:pPr>
      <w:r>
        <w:rPr>
          <w:color w:val="595959"/>
          <w:sz w:val="22"/>
        </w:rPr>
        <w:t>Note: ESM-2 already serves as a pretrained protein encoder, so contrastive pretraining is primarily useful for the drug (GAT) encoder.</w:t>
      </w:r>
    </w:p>
    <w:p>
      <w:pPr>
        <w:spacing w:before="160" w:after="40"/>
      </w:pPr>
      <w:r>
        <w:rPr>
          <w:b/>
          <w:color w:val="1F497D"/>
          <w:sz w:val="22"/>
        </w:rPr>
        <w:t>Strategy C — Masked Feature Prediction (Drug Encoder)</w:t>
      </w:r>
    </w:p>
    <w:p>
      <w:pPr>
        <w:spacing w:before="40" w:after="80"/>
      </w:pPr>
      <w:r>
        <w:rPr>
          <w:color w:val="595959"/>
          <w:sz w:val="22"/>
        </w:rPr>
        <w:t>Masked feature prediction is an alternative self-supervised approach: randomly mask the atom features of some nodes in the molecular graph and train the GAT to reconstruct the masked features. This forces the encoder to learn chemically meaningful node representations. After pretraining, use as encoder initialisation.</w:t>
      </w:r>
    </w:p>
    <w:p>
      <w:pPr>
        <w:spacing w:before="120" w:after="120"/>
        <w:ind w:left="567"/>
        <w:pBdr>
          <w:left w:val="single" w:sz="12" w:space="6" w:color="007078"/>
        </w:pBdr>
      </w:pPr>
      <w:r>
        <w:rPr>
          <w:i/>
          <w:color w:val="595959"/>
          <w:sz w:val="21"/>
        </w:rPr>
        <w:t>Recommendation: Implement Strategy A first. It reuses the existing train.py pipeline almost unchanged and provides the clearest scientific story. Add Strategy B if time and GPU access allow. Strategy C is optional/exploratory.</w:t>
      </w:r>
    </w:p>
    <w:p>
      <w:pPr>
        <w:spacing w:before="240" w:after="40"/>
      </w:pPr>
      <w:r>
        <w:rPr>
          <w:b/>
          <w:color w:val="007078"/>
          <w:sz w:val="26"/>
        </w:rPr>
        <w:t>5.4  Pretraining Datasets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728"/>
            <w:shd w:val="clear" w:color="auto" w:fill="1F497D"/>
          </w:tcPr>
          <w:p>
            <w:r>
              <w:rPr>
                <w:b/>
                <w:color w:val="FFFFFF"/>
                <w:sz w:val="20"/>
              </w:rPr>
              <w:t>Dataset</w:t>
            </w:r>
          </w:p>
        </w:tc>
        <w:tc>
          <w:tcPr>
            <w:tcW w:type="dxa" w:w="1440"/>
            <w:shd w:val="clear" w:color="auto" w:fill="1F497D"/>
          </w:tcPr>
          <w:p>
            <w:r>
              <w:rPr>
                <w:b/>
                <w:color w:val="FFFFFF"/>
                <w:sz w:val="20"/>
              </w:rPr>
              <w:t>Size</w:t>
            </w:r>
          </w:p>
        </w:tc>
        <w:tc>
          <w:tcPr>
            <w:tcW w:type="dxa" w:w="1728"/>
            <w:shd w:val="clear" w:color="auto" w:fill="1F497D"/>
          </w:tcPr>
          <w:p>
            <w:r>
              <w:rPr>
                <w:b/>
                <w:color w:val="FFFFFF"/>
                <w:sz w:val="20"/>
              </w:rPr>
              <w:t>Task</w:t>
            </w:r>
          </w:p>
        </w:tc>
        <w:tc>
          <w:tcPr>
            <w:tcW w:type="dxa" w:w="3456"/>
            <w:shd w:val="clear" w:color="auto" w:fill="1F497D"/>
          </w:tcPr>
          <w:p>
            <w:r>
              <w:rPr>
                <w:b/>
                <w:color w:val="FFFFFF"/>
                <w:sz w:val="20"/>
              </w:rPr>
              <w:t>Availability</w:t>
            </w:r>
          </w:p>
        </w:tc>
        <w:tc>
          <w:tcPr>
            <w:tcW w:type="dxa" w:w="1296"/>
            <w:shd w:val="clear" w:color="auto" w:fill="1F497D"/>
          </w:tcPr>
          <w:p>
            <w:r>
              <w:rPr>
                <w:b/>
                <w:color w:val="FFFFFF"/>
                <w:sz w:val="20"/>
              </w:rPr>
              <w:t>Priority</w:t>
            </w:r>
          </w:p>
        </w:tc>
      </w:tr>
      <w:tr>
        <w:tc>
          <w:tcPr>
            <w:tcW w:type="dxa" w:w="1728"/>
            <w:shd w:val="clear" w:color="auto" w:fill="F2F7FF"/>
          </w:tcPr>
          <w:p>
            <w:r>
              <w:rPr>
                <w:color w:val="595959"/>
                <w:sz w:val="20"/>
              </w:rPr>
              <w:t>BindingDB</w:t>
            </w:r>
          </w:p>
        </w:tc>
        <w:tc>
          <w:tcPr>
            <w:tcW w:type="dxa" w:w="1440"/>
            <w:shd w:val="clear" w:color="auto" w:fill="F2F7FF"/>
          </w:tcPr>
          <w:p>
            <w:r>
              <w:rPr>
                <w:color w:val="595959"/>
                <w:sz w:val="20"/>
              </w:rPr>
              <w:t>~1M+ pairs</w:t>
            </w:r>
          </w:p>
        </w:tc>
        <w:tc>
          <w:tcPr>
            <w:tcW w:type="dxa" w:w="1728"/>
            <w:shd w:val="clear" w:color="auto" w:fill="F2F7FF"/>
          </w:tcPr>
          <w:p>
            <w:r>
              <w:rPr>
                <w:color w:val="595959"/>
                <w:sz w:val="20"/>
              </w:rPr>
              <w:t>DTI (Ki, Kd, IC50)</w:t>
            </w:r>
          </w:p>
        </w:tc>
        <w:tc>
          <w:tcPr>
            <w:tcW w:type="dxa" w:w="3456"/>
            <w:shd w:val="clear" w:color="auto" w:fill="F2F7FF"/>
          </w:tcPr>
          <w:p>
            <w:r>
              <w:rPr>
                <w:color w:val="595959"/>
                <w:sz w:val="20"/>
              </w:rPr>
              <w:t>Preprocessed labels already exist; drug graphs and protein embeddings needed.</w:t>
            </w:r>
          </w:p>
        </w:tc>
        <w:tc>
          <w:tcPr>
            <w:tcW w:type="dxa" w:w="1296"/>
            <w:shd w:val="clear" w:color="auto" w:fill="F2F7FF"/>
          </w:tcPr>
          <w:p>
            <w:r>
              <w:rPr>
                <w:color w:val="595959"/>
                <w:sz w:val="20"/>
              </w:rPr>
              <w:t>High</w:t>
            </w:r>
          </w:p>
        </w:tc>
      </w:tr>
      <w:tr>
        <w:tc>
          <w:tcPr>
            <w:tcW w:type="dxa" w:w="1728"/>
            <w:shd w:val="clear" w:color="auto" w:fill="FFFFFF"/>
          </w:tcPr>
          <w:p>
            <w:r>
              <w:rPr>
                <w:color w:val="595959"/>
                <w:sz w:val="20"/>
              </w:rPr>
              <w:t>ChEMBL</w:t>
            </w:r>
          </w:p>
        </w:tc>
        <w:tc>
          <w:tcPr>
            <w:tcW w:type="dxa" w:w="1440"/>
            <w:shd w:val="clear" w:color="auto" w:fill="FFFFFF"/>
          </w:tcPr>
          <w:p>
            <w:r>
              <w:rPr>
                <w:color w:val="595959"/>
                <w:sz w:val="20"/>
              </w:rPr>
              <w:t>~2M+ pairs</w:t>
            </w:r>
          </w:p>
        </w:tc>
        <w:tc>
          <w:tcPr>
            <w:tcW w:type="dxa" w:w="1728"/>
            <w:shd w:val="clear" w:color="auto" w:fill="FFFFFF"/>
          </w:tcPr>
          <w:p>
            <w:r>
              <w:rPr>
                <w:color w:val="595959"/>
                <w:sz w:val="20"/>
              </w:rPr>
              <w:t>DTI &amp; DTA</w:t>
            </w:r>
          </w:p>
        </w:tc>
        <w:tc>
          <w:tcPr>
            <w:tcW w:type="dxa" w:w="3456"/>
            <w:shd w:val="clear" w:color="auto" w:fill="FFFFFF"/>
          </w:tcPr>
          <w:p>
            <w:r>
              <w:rPr>
                <w:color w:val="595959"/>
                <w:sz w:val="20"/>
              </w:rPr>
              <w:t>Label files exist; large-scale preprocessing needed.</w:t>
            </w:r>
          </w:p>
        </w:tc>
        <w:tc>
          <w:tcPr>
            <w:tcW w:type="dxa" w:w="1296"/>
            <w:shd w:val="clear" w:color="auto" w:fill="FFFFFF"/>
          </w:tcPr>
          <w:p>
            <w:r>
              <w:rPr>
                <w:color w:val="595959"/>
                <w:sz w:val="20"/>
              </w:rPr>
              <w:t>Medium</w:t>
            </w:r>
          </w:p>
        </w:tc>
      </w:tr>
      <w:tr>
        <w:tc>
          <w:tcPr>
            <w:tcW w:type="dxa" w:w="1728"/>
            <w:shd w:val="clear" w:color="auto" w:fill="F2F7FF"/>
          </w:tcPr>
          <w:p>
            <w:r>
              <w:rPr>
                <w:color w:val="595959"/>
                <w:sz w:val="20"/>
              </w:rPr>
              <w:t>DrugBank</w:t>
            </w:r>
          </w:p>
        </w:tc>
        <w:tc>
          <w:tcPr>
            <w:tcW w:type="dxa" w:w="1440"/>
            <w:shd w:val="clear" w:color="auto" w:fill="F2F7FF"/>
          </w:tcPr>
          <w:p>
            <w:r>
              <w:rPr>
                <w:color w:val="595959"/>
                <w:sz w:val="20"/>
              </w:rPr>
              <w:t>~10K pairs</w:t>
            </w:r>
          </w:p>
        </w:tc>
        <w:tc>
          <w:tcPr>
            <w:tcW w:type="dxa" w:w="1728"/>
            <w:shd w:val="clear" w:color="auto" w:fill="F2F7FF"/>
          </w:tcPr>
          <w:p>
            <w:r>
              <w:rPr>
                <w:color w:val="595959"/>
                <w:sz w:val="20"/>
              </w:rPr>
              <w:t>DTI</w:t>
            </w:r>
          </w:p>
        </w:tc>
        <w:tc>
          <w:tcPr>
            <w:tcW w:type="dxa" w:w="3456"/>
            <w:shd w:val="clear" w:color="auto" w:fill="F2F7FF"/>
          </w:tcPr>
          <w:p>
            <w:r>
              <w:rPr>
                <w:color w:val="595959"/>
                <w:sz w:val="20"/>
              </w:rPr>
              <w:t>Smaller but high quality; good for contrastive pretraining.</w:t>
            </w:r>
          </w:p>
        </w:tc>
        <w:tc>
          <w:tcPr>
            <w:tcW w:type="dxa" w:w="1296"/>
            <w:shd w:val="clear" w:color="auto" w:fill="F2F7FF"/>
          </w:tcPr>
          <w:p>
            <w:r>
              <w:rPr>
                <w:color w:val="595959"/>
                <w:sz w:val="20"/>
              </w:rPr>
              <w:t>Medium</w:t>
            </w:r>
          </w:p>
        </w:tc>
      </w:tr>
      <w:tr>
        <w:tc>
          <w:tcPr>
            <w:tcW w:type="dxa" w:w="1728"/>
            <w:shd w:val="clear" w:color="auto" w:fill="FFFFFF"/>
          </w:tcPr>
          <w:p>
            <w:r>
              <w:rPr>
                <w:color w:val="595959"/>
                <w:sz w:val="20"/>
              </w:rPr>
              <w:t>UniProt sequences</w:t>
            </w:r>
          </w:p>
        </w:tc>
        <w:tc>
          <w:tcPr>
            <w:tcW w:type="dxa" w:w="1440"/>
            <w:shd w:val="clear" w:color="auto" w:fill="FFFFFF"/>
          </w:tcPr>
          <w:p>
            <w:r>
              <w:rPr>
                <w:color w:val="595959"/>
                <w:sz w:val="20"/>
              </w:rPr>
              <w:t>Millions of sequences</w:t>
            </w:r>
          </w:p>
        </w:tc>
        <w:tc>
          <w:tcPr>
            <w:tcW w:type="dxa" w:w="1728"/>
            <w:shd w:val="clear" w:color="auto" w:fill="FFFFFF"/>
          </w:tcPr>
          <w:p>
            <w:r>
              <w:rPr>
                <w:color w:val="595959"/>
                <w:sz w:val="20"/>
              </w:rPr>
              <w:t>Self-supervised protein only</w:t>
            </w:r>
          </w:p>
        </w:tc>
        <w:tc>
          <w:tcPr>
            <w:tcW w:type="dxa" w:w="3456"/>
            <w:shd w:val="clear" w:color="auto" w:fill="FFFFFF"/>
          </w:tcPr>
          <w:p>
            <w:r>
              <w:rPr>
                <w:color w:val="595959"/>
                <w:sz w:val="20"/>
              </w:rPr>
              <w:t>Protein sequences only — no interaction labels. For contrastive protein pretraining.</w:t>
            </w:r>
          </w:p>
        </w:tc>
        <w:tc>
          <w:tcPr>
            <w:tcW w:type="dxa" w:w="1296"/>
            <w:shd w:val="clear" w:color="auto" w:fill="FFFFFF"/>
          </w:tcPr>
          <w:p>
            <w:r>
              <w:rPr>
                <w:color w:val="595959"/>
                <w:sz w:val="20"/>
              </w:rPr>
              <w:t>Low (ESM-2 already covers this)</w:t>
            </w:r>
          </w:p>
        </w:tc>
      </w:tr>
    </w:tbl>
    <w:p/>
    <w:p>
      <w:pPr>
        <w:spacing w:before="240" w:after="40"/>
      </w:pPr>
      <w:r>
        <w:rPr>
          <w:b/>
          <w:color w:val="007078"/>
          <w:sz w:val="26"/>
        </w:rPr>
        <w:t>5.5  Fine-Tuning Protocol</w:t>
      </w:r>
    </w:p>
    <w:p>
      <w:pPr>
        <w:spacing w:before="40" w:after="80"/>
      </w:pPr>
      <w:r>
        <w:rPr>
          <w:color w:val="595959"/>
          <w:sz w:val="22"/>
        </w:rPr>
        <w:t>After pretraining, the model is fine-tuned on each target dataset. To prevent catastrophic forgetting of pretraining knowledge, use the following protocol:</w:t>
      </w:r>
    </w:p>
    <w:tbl>
      <w:tblPr>
        <w:tblStyle w:val="TableGrid"/>
        <w:tblW w:type="auto" w:w="0"/>
        <w:tblLook w:firstColumn="1" w:firstRow="1" w:lastColumn="0" w:lastRow="0" w:noHBand="0" w:noVBand="1" w:val="04A0"/>
      </w:tblPr>
      <w:tblGrid>
        <w:gridCol w:w="3041"/>
        <w:gridCol w:w="3041"/>
        <w:gridCol w:w="3041"/>
      </w:tblGrid>
      <w:tr>
        <w:tc>
          <w:tcPr>
            <w:tcW w:type="dxa" w:w="2160"/>
            <w:shd w:val="clear" w:color="auto" w:fill="1F497D"/>
          </w:tcPr>
          <w:p>
            <w:r>
              <w:rPr>
                <w:b/>
                <w:color w:val="FFFFFF"/>
                <w:sz w:val="20"/>
              </w:rPr>
              <w:t>Setting</w:t>
            </w:r>
          </w:p>
        </w:tc>
        <w:tc>
          <w:tcPr>
            <w:tcW w:type="dxa" w:w="3168"/>
            <w:shd w:val="clear" w:color="auto" w:fill="1F497D"/>
          </w:tcPr>
          <w:p>
            <w:r>
              <w:rPr>
                <w:b/>
                <w:color w:val="FFFFFF"/>
                <w:sz w:val="20"/>
              </w:rPr>
              <w:t>Pretraining</w:t>
            </w:r>
          </w:p>
        </w:tc>
        <w:tc>
          <w:tcPr>
            <w:tcW w:type="dxa" w:w="3168"/>
            <w:shd w:val="clear" w:color="auto" w:fill="1F497D"/>
          </w:tcPr>
          <w:p>
            <w:r>
              <w:rPr>
                <w:b/>
                <w:color w:val="FFFFFF"/>
                <w:sz w:val="20"/>
              </w:rPr>
              <w:t>Fine-tuning</w:t>
            </w:r>
          </w:p>
        </w:tc>
      </w:tr>
      <w:tr>
        <w:tc>
          <w:tcPr>
            <w:tcW w:type="dxa" w:w="2160"/>
            <w:shd w:val="clear" w:color="auto" w:fill="F2F7FF"/>
          </w:tcPr>
          <w:p>
            <w:r>
              <w:rPr>
                <w:color w:val="595959"/>
                <w:sz w:val="20"/>
              </w:rPr>
              <w:t>Learning rate</w:t>
            </w:r>
          </w:p>
        </w:tc>
        <w:tc>
          <w:tcPr>
            <w:tcW w:type="dxa" w:w="3168"/>
            <w:shd w:val="clear" w:color="auto" w:fill="F2F7FF"/>
          </w:tcPr>
          <w:p>
            <w:r>
              <w:rPr>
                <w:color w:val="595959"/>
                <w:sz w:val="20"/>
              </w:rPr>
              <w:t>1e-4 (standard)</w:t>
            </w:r>
          </w:p>
        </w:tc>
        <w:tc>
          <w:tcPr>
            <w:tcW w:type="dxa" w:w="3168"/>
            <w:shd w:val="clear" w:color="auto" w:fill="F2F7FF"/>
          </w:tcPr>
          <w:p>
            <w:r>
              <w:rPr>
                <w:color w:val="595959"/>
                <w:sz w:val="20"/>
              </w:rPr>
              <w:t>1e-5 (10× lower)</w:t>
            </w:r>
          </w:p>
        </w:tc>
      </w:tr>
      <w:tr>
        <w:tc>
          <w:tcPr>
            <w:tcW w:type="dxa" w:w="2160"/>
            <w:shd w:val="clear" w:color="auto" w:fill="FFFFFF"/>
          </w:tcPr>
          <w:p>
            <w:r>
              <w:rPr>
                <w:color w:val="595959"/>
                <w:sz w:val="20"/>
              </w:rPr>
              <w:t>Epochs</w:t>
            </w:r>
          </w:p>
        </w:tc>
        <w:tc>
          <w:tcPr>
            <w:tcW w:type="dxa" w:w="3168"/>
            <w:shd w:val="clear" w:color="auto" w:fill="FFFFFF"/>
          </w:tcPr>
          <w:p>
            <w:r>
              <w:rPr>
                <w:color w:val="595959"/>
                <w:sz w:val="20"/>
              </w:rPr>
              <w:t>50–100 on BindingDB</w:t>
            </w:r>
          </w:p>
        </w:tc>
        <w:tc>
          <w:tcPr>
            <w:tcW w:type="dxa" w:w="3168"/>
            <w:shd w:val="clear" w:color="auto" w:fill="FFFFFF"/>
          </w:tcPr>
          <w:p>
            <w:r>
              <w:rPr>
                <w:color w:val="595959"/>
                <w:sz w:val="20"/>
              </w:rPr>
              <w:t>50–100 on target dataset</w:t>
            </w:r>
          </w:p>
        </w:tc>
      </w:tr>
      <w:tr>
        <w:tc>
          <w:tcPr>
            <w:tcW w:type="dxa" w:w="2160"/>
            <w:shd w:val="clear" w:color="auto" w:fill="F2F7FF"/>
          </w:tcPr>
          <w:p>
            <w:r>
              <w:rPr>
                <w:color w:val="595959"/>
                <w:sz w:val="20"/>
              </w:rPr>
              <w:t>Early stopping</w:t>
            </w:r>
          </w:p>
        </w:tc>
        <w:tc>
          <w:tcPr>
            <w:tcW w:type="dxa" w:w="3168"/>
            <w:shd w:val="clear" w:color="auto" w:fill="F2F7FF"/>
          </w:tcPr>
          <w:p>
            <w:r>
              <w:rPr>
                <w:color w:val="595959"/>
                <w:sz w:val="20"/>
              </w:rPr>
              <w:t>Validation AUROC</w:t>
            </w:r>
          </w:p>
        </w:tc>
        <w:tc>
          <w:tcPr>
            <w:tcW w:type="dxa" w:w="3168"/>
            <w:shd w:val="clear" w:color="auto" w:fill="F2F7FF"/>
          </w:tcPr>
          <w:p>
            <w:r>
              <w:rPr>
                <w:color w:val="595959"/>
                <w:sz w:val="20"/>
              </w:rPr>
              <w:t>Validation AUROC (DTI) or MSE (DTA)</w:t>
            </w:r>
          </w:p>
        </w:tc>
      </w:tr>
      <w:tr>
        <w:tc>
          <w:tcPr>
            <w:tcW w:type="dxa" w:w="2160"/>
            <w:shd w:val="clear" w:color="auto" w:fill="FFFFFF"/>
          </w:tcPr>
          <w:p>
            <w:r>
              <w:rPr>
                <w:color w:val="595959"/>
                <w:sz w:val="20"/>
              </w:rPr>
              <w:t>Classifier head</w:t>
            </w:r>
          </w:p>
        </w:tc>
        <w:tc>
          <w:tcPr>
            <w:tcW w:type="dxa" w:w="3168"/>
            <w:shd w:val="clear" w:color="auto" w:fill="FFFFFF"/>
          </w:tcPr>
          <w:p>
            <w:r>
              <w:rPr>
                <w:color w:val="595959"/>
                <w:sz w:val="20"/>
              </w:rPr>
              <w:t>Trained on BindingDB</w:t>
            </w:r>
          </w:p>
        </w:tc>
        <w:tc>
          <w:tcPr>
            <w:tcW w:type="dxa" w:w="3168"/>
            <w:shd w:val="clear" w:color="auto" w:fill="FFFFFF"/>
          </w:tcPr>
          <w:p>
            <w:r>
              <w:rPr>
                <w:color w:val="595959"/>
                <w:sz w:val="20"/>
              </w:rPr>
              <w:t>Reset and retrained from scratch</w:t>
            </w:r>
          </w:p>
        </w:tc>
      </w:tr>
      <w:tr>
        <w:tc>
          <w:tcPr>
            <w:tcW w:type="dxa" w:w="2160"/>
            <w:shd w:val="clear" w:color="auto" w:fill="F2F7FF"/>
          </w:tcPr>
          <w:p>
            <w:r>
              <w:rPr>
                <w:color w:val="595959"/>
                <w:sz w:val="20"/>
              </w:rPr>
              <w:t>Encoder layers</w:t>
            </w:r>
          </w:p>
        </w:tc>
        <w:tc>
          <w:tcPr>
            <w:tcW w:type="dxa" w:w="3168"/>
            <w:shd w:val="clear" w:color="auto" w:fill="F2F7FF"/>
          </w:tcPr>
          <w:p>
            <w:r>
              <w:rPr>
                <w:color w:val="595959"/>
                <w:sz w:val="20"/>
              </w:rPr>
              <w:t>Trained from scratch</w:t>
            </w:r>
          </w:p>
        </w:tc>
        <w:tc>
          <w:tcPr>
            <w:tcW w:type="dxa" w:w="3168"/>
            <w:shd w:val="clear" w:color="auto" w:fill="F2F7FF"/>
          </w:tcPr>
          <w:p>
            <w:r>
              <w:rPr>
                <w:color w:val="595959"/>
                <w:sz w:val="20"/>
              </w:rPr>
              <w:t>Optionally frozen for first 10 epochs</w:t>
            </w:r>
          </w:p>
        </w:tc>
      </w:tr>
    </w:tbl>
    <w:p/>
    <w:p>
      <w:pPr>
        <w:spacing w:before="240" w:after="40"/>
      </w:pPr>
      <w:r>
        <w:rPr>
          <w:b/>
          <w:color w:val="007078"/>
          <w:sz w:val="26"/>
        </w:rPr>
        <w:t>5.6  Experimental Design</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440"/>
            <w:shd w:val="clear" w:color="auto" w:fill="1F497D"/>
          </w:tcPr>
          <w:p>
            <w:r>
              <w:rPr>
                <w:b/>
                <w:color w:val="FFFFFF"/>
                <w:sz w:val="20"/>
              </w:rPr>
              <w:t>Experiment ID</w:t>
            </w:r>
          </w:p>
        </w:tc>
        <w:tc>
          <w:tcPr>
            <w:tcW w:type="dxa" w:w="2160"/>
            <w:shd w:val="clear" w:color="auto" w:fill="1F497D"/>
          </w:tcPr>
          <w:p>
            <w:r>
              <w:rPr>
                <w:b/>
                <w:color w:val="FFFFFF"/>
                <w:sz w:val="20"/>
              </w:rPr>
              <w:t>Pretrain Strategy</w:t>
            </w:r>
          </w:p>
        </w:tc>
        <w:tc>
          <w:tcPr>
            <w:tcW w:type="dxa" w:w="1872"/>
            <w:shd w:val="clear" w:color="auto" w:fill="1F497D"/>
          </w:tcPr>
          <w:p>
            <w:r>
              <w:rPr>
                <w:b/>
                <w:color w:val="FFFFFF"/>
                <w:sz w:val="20"/>
              </w:rPr>
              <w:t>Pretrain Data</w:t>
            </w:r>
          </w:p>
        </w:tc>
        <w:tc>
          <w:tcPr>
            <w:tcW w:type="dxa" w:w="2016"/>
            <w:shd w:val="clear" w:color="auto" w:fill="1F497D"/>
          </w:tcPr>
          <w:p>
            <w:r>
              <w:rPr>
                <w:b/>
                <w:color w:val="FFFFFF"/>
                <w:sz w:val="20"/>
              </w:rPr>
              <w:t>Fine-tune On</w:t>
            </w:r>
          </w:p>
        </w:tc>
        <w:tc>
          <w:tcPr>
            <w:tcW w:type="dxa" w:w="2592"/>
            <w:shd w:val="clear" w:color="auto" w:fill="1F497D"/>
          </w:tcPr>
          <w:p>
            <w:r>
              <w:rPr>
                <w:b/>
                <w:color w:val="FFFFFF"/>
                <w:sz w:val="20"/>
              </w:rPr>
              <w:t>Comparison</w:t>
            </w:r>
          </w:p>
        </w:tc>
      </w:tr>
      <w:tr>
        <w:tc>
          <w:tcPr>
            <w:tcW w:type="dxa" w:w="1440"/>
            <w:shd w:val="clear" w:color="auto" w:fill="F2F7FF"/>
          </w:tcPr>
          <w:p>
            <w:r>
              <w:rPr>
                <w:color w:val="595959"/>
                <w:sz w:val="20"/>
              </w:rPr>
              <w:t>P3-A (baseline)</w:t>
            </w:r>
          </w:p>
        </w:tc>
        <w:tc>
          <w:tcPr>
            <w:tcW w:type="dxa" w:w="2160"/>
            <w:shd w:val="clear" w:color="auto" w:fill="F2F7FF"/>
          </w:tcPr>
          <w:p>
            <w:r>
              <w:rPr>
                <w:color w:val="595959"/>
                <w:sz w:val="20"/>
              </w:rPr>
              <w:t>None (from scratch)</w:t>
            </w:r>
          </w:p>
        </w:tc>
        <w:tc>
          <w:tcPr>
            <w:tcW w:type="dxa" w:w="1872"/>
            <w:shd w:val="clear" w:color="auto" w:fill="F2F7FF"/>
          </w:tcPr>
          <w:p>
            <w:r>
              <w:rPr>
                <w:color w:val="595959"/>
                <w:sz w:val="20"/>
              </w:rPr>
              <w:t>—</w:t>
            </w:r>
          </w:p>
        </w:tc>
        <w:tc>
          <w:tcPr>
            <w:tcW w:type="dxa" w:w="2016"/>
            <w:shd w:val="clear" w:color="auto" w:fill="F2F7FF"/>
          </w:tcPr>
          <w:p>
            <w:r>
              <w:rPr>
                <w:color w:val="595959"/>
                <w:sz w:val="20"/>
              </w:rPr>
              <w:t>yamanishi_e, luo_17</w:t>
            </w:r>
          </w:p>
        </w:tc>
        <w:tc>
          <w:tcPr>
            <w:tcW w:type="dxa" w:w="2592"/>
            <w:shd w:val="clear" w:color="auto" w:fill="F2F7FF"/>
          </w:tcPr>
          <w:p>
            <w:r>
              <w:rPr>
                <w:color w:val="595959"/>
                <w:sz w:val="20"/>
              </w:rPr>
              <w:t>vs. P3-B, P3-C</w:t>
            </w:r>
          </w:p>
        </w:tc>
      </w:tr>
      <w:tr>
        <w:tc>
          <w:tcPr>
            <w:tcW w:type="dxa" w:w="1440"/>
            <w:shd w:val="clear" w:color="auto" w:fill="FFFFFF"/>
          </w:tcPr>
          <w:p>
            <w:r>
              <w:rPr>
                <w:color w:val="595959"/>
                <w:sz w:val="20"/>
              </w:rPr>
              <w:t>P3-B</w:t>
            </w:r>
          </w:p>
        </w:tc>
        <w:tc>
          <w:tcPr>
            <w:tcW w:type="dxa" w:w="2160"/>
            <w:shd w:val="clear" w:color="auto" w:fill="FFFFFF"/>
          </w:tcPr>
          <w:p>
            <w:r>
              <w:rPr>
                <w:color w:val="595959"/>
                <w:sz w:val="20"/>
              </w:rPr>
              <w:t>Supervised (Strategy A)</w:t>
            </w:r>
          </w:p>
        </w:tc>
        <w:tc>
          <w:tcPr>
            <w:tcW w:type="dxa" w:w="1872"/>
            <w:shd w:val="clear" w:color="auto" w:fill="FFFFFF"/>
          </w:tcPr>
          <w:p>
            <w:r>
              <w:rPr>
                <w:color w:val="595959"/>
                <w:sz w:val="20"/>
              </w:rPr>
              <w:t>BindingDB</w:t>
            </w:r>
          </w:p>
        </w:tc>
        <w:tc>
          <w:tcPr>
            <w:tcW w:type="dxa" w:w="2016"/>
            <w:shd w:val="clear" w:color="auto" w:fill="FFFFFF"/>
          </w:tcPr>
          <w:p>
            <w:r>
              <w:rPr>
                <w:color w:val="595959"/>
                <w:sz w:val="20"/>
              </w:rPr>
              <w:t>yamanishi_e, luo_17</w:t>
            </w:r>
          </w:p>
        </w:tc>
        <w:tc>
          <w:tcPr>
            <w:tcW w:type="dxa" w:w="2592"/>
            <w:shd w:val="clear" w:color="auto" w:fill="FFFFFF"/>
          </w:tcPr>
          <w:p>
            <w:r>
              <w:rPr>
                <w:color w:val="595959"/>
                <w:sz w:val="20"/>
              </w:rPr>
              <w:t>vs. P3-A (does pretraining help?)</w:t>
            </w:r>
          </w:p>
        </w:tc>
      </w:tr>
      <w:tr>
        <w:tc>
          <w:tcPr>
            <w:tcW w:type="dxa" w:w="1440"/>
            <w:shd w:val="clear" w:color="auto" w:fill="F2F7FF"/>
          </w:tcPr>
          <w:p>
            <w:r>
              <w:rPr>
                <w:color w:val="595959"/>
                <w:sz w:val="20"/>
              </w:rPr>
              <w:t>P3-C</w:t>
            </w:r>
          </w:p>
        </w:tc>
        <w:tc>
          <w:tcPr>
            <w:tcW w:type="dxa" w:w="2160"/>
            <w:shd w:val="clear" w:color="auto" w:fill="F2F7FF"/>
          </w:tcPr>
          <w:p>
            <w:r>
              <w:rPr>
                <w:color w:val="595959"/>
                <w:sz w:val="20"/>
              </w:rPr>
              <w:t>Supervised (Strategy A)</w:t>
            </w:r>
          </w:p>
        </w:tc>
        <w:tc>
          <w:tcPr>
            <w:tcW w:type="dxa" w:w="1872"/>
            <w:shd w:val="clear" w:color="auto" w:fill="F2F7FF"/>
          </w:tcPr>
          <w:p>
            <w:r>
              <w:rPr>
                <w:color w:val="595959"/>
                <w:sz w:val="20"/>
              </w:rPr>
              <w:t>ChEMBL</w:t>
            </w:r>
          </w:p>
        </w:tc>
        <w:tc>
          <w:tcPr>
            <w:tcW w:type="dxa" w:w="2016"/>
            <w:shd w:val="clear" w:color="auto" w:fill="F2F7FF"/>
          </w:tcPr>
          <w:p>
            <w:r>
              <w:rPr>
                <w:color w:val="595959"/>
                <w:sz w:val="20"/>
              </w:rPr>
              <w:t>yamanishi_e</w:t>
            </w:r>
          </w:p>
        </w:tc>
        <w:tc>
          <w:tcPr>
            <w:tcW w:type="dxa" w:w="2592"/>
            <w:shd w:val="clear" w:color="auto" w:fill="F2F7FF"/>
          </w:tcPr>
          <w:p>
            <w:r>
              <w:rPr>
                <w:color w:val="595959"/>
                <w:sz w:val="20"/>
              </w:rPr>
              <w:t>vs. P3-B (which source is better?)</w:t>
            </w:r>
          </w:p>
        </w:tc>
      </w:tr>
      <w:tr>
        <w:tc>
          <w:tcPr>
            <w:tcW w:type="dxa" w:w="1440"/>
            <w:shd w:val="clear" w:color="auto" w:fill="FFFFFF"/>
          </w:tcPr>
          <w:p>
            <w:r>
              <w:rPr>
                <w:color w:val="595959"/>
                <w:sz w:val="20"/>
              </w:rPr>
              <w:t>P3-D</w:t>
            </w:r>
          </w:p>
        </w:tc>
        <w:tc>
          <w:tcPr>
            <w:tcW w:type="dxa" w:w="2160"/>
            <w:shd w:val="clear" w:color="auto" w:fill="FFFFFF"/>
          </w:tcPr>
          <w:p>
            <w:r>
              <w:rPr>
                <w:color w:val="595959"/>
                <w:sz w:val="20"/>
              </w:rPr>
              <w:t>Supervised (Strategy A)</w:t>
            </w:r>
          </w:p>
        </w:tc>
        <w:tc>
          <w:tcPr>
            <w:tcW w:type="dxa" w:w="1872"/>
            <w:shd w:val="clear" w:color="auto" w:fill="FFFFFF"/>
          </w:tcPr>
          <w:p>
            <w:r>
              <w:rPr>
                <w:color w:val="595959"/>
                <w:sz w:val="20"/>
              </w:rPr>
              <w:t>BindingDB</w:t>
            </w:r>
          </w:p>
        </w:tc>
        <w:tc>
          <w:tcPr>
            <w:tcW w:type="dxa" w:w="2016"/>
            <w:shd w:val="clear" w:color="auto" w:fill="FFFFFF"/>
          </w:tcPr>
          <w:p>
            <w:r>
              <w:rPr>
                <w:color w:val="595959"/>
                <w:sz w:val="20"/>
              </w:rPr>
              <w:t>Davis, KIBA</w:t>
            </w:r>
          </w:p>
        </w:tc>
        <w:tc>
          <w:tcPr>
            <w:tcW w:type="dxa" w:w="2592"/>
            <w:shd w:val="clear" w:color="auto" w:fill="FFFFFF"/>
          </w:tcPr>
          <w:p>
            <w:r>
              <w:rPr>
                <w:color w:val="595959"/>
                <w:sz w:val="20"/>
              </w:rPr>
              <w:t>vs. P3-A (does pretraining help on DTA?)</w:t>
            </w:r>
          </w:p>
        </w:tc>
      </w:tr>
      <w:tr>
        <w:tc>
          <w:tcPr>
            <w:tcW w:type="dxa" w:w="1440"/>
            <w:shd w:val="clear" w:color="auto" w:fill="F2F7FF"/>
          </w:tcPr>
          <w:p>
            <w:r>
              <w:rPr>
                <w:color w:val="595959"/>
                <w:sz w:val="20"/>
              </w:rPr>
              <w:t>P3-E (cross-dataset)</w:t>
            </w:r>
          </w:p>
        </w:tc>
        <w:tc>
          <w:tcPr>
            <w:tcW w:type="dxa" w:w="2160"/>
            <w:shd w:val="clear" w:color="auto" w:fill="F2F7FF"/>
          </w:tcPr>
          <w:p>
            <w:r>
              <w:rPr>
                <w:color w:val="595959"/>
                <w:sz w:val="20"/>
              </w:rPr>
              <w:t>BindingDB fine-tune</w:t>
            </w:r>
          </w:p>
        </w:tc>
        <w:tc>
          <w:tcPr>
            <w:tcW w:type="dxa" w:w="1872"/>
            <w:shd w:val="clear" w:color="auto" w:fill="F2F7FF"/>
          </w:tcPr>
          <w:p>
            <w:r>
              <w:rPr>
                <w:color w:val="595959"/>
                <w:sz w:val="20"/>
              </w:rPr>
              <w:t>BindingDB → yamanishi_e</w:t>
            </w:r>
          </w:p>
        </w:tc>
        <w:tc>
          <w:tcPr>
            <w:tcW w:type="dxa" w:w="2016"/>
            <w:shd w:val="clear" w:color="auto" w:fill="F2F7FF"/>
          </w:tcPr>
          <w:p>
            <w:r>
              <w:rPr>
                <w:color w:val="595959"/>
                <w:sz w:val="20"/>
              </w:rPr>
              <w:t>yamanishi_e</w:t>
            </w:r>
          </w:p>
        </w:tc>
        <w:tc>
          <w:tcPr>
            <w:tcW w:type="dxa" w:w="2592"/>
            <w:shd w:val="clear" w:color="auto" w:fill="F2F7FF"/>
          </w:tcPr>
          <w:p>
            <w:r>
              <w:rPr>
                <w:color w:val="595959"/>
                <w:sz w:val="20"/>
              </w:rPr>
              <w:t>vs. Obj 1 baseline (0.508 AUROC cross-dataset)</w:t>
            </w:r>
          </w:p>
        </w:tc>
      </w:tr>
      <w:tr>
        <w:tc>
          <w:tcPr>
            <w:tcW w:type="dxa" w:w="1440"/>
            <w:shd w:val="clear" w:color="auto" w:fill="FFFFFF"/>
          </w:tcPr>
          <w:p>
            <w:r>
              <w:rPr>
                <w:color w:val="595959"/>
                <w:sz w:val="20"/>
              </w:rPr>
              <w:t>P3-F (optional)</w:t>
            </w:r>
          </w:p>
        </w:tc>
        <w:tc>
          <w:tcPr>
            <w:tcW w:type="dxa" w:w="2160"/>
            <w:shd w:val="clear" w:color="auto" w:fill="FFFFFF"/>
          </w:tcPr>
          <w:p>
            <w:r>
              <w:rPr>
                <w:color w:val="595959"/>
                <w:sz w:val="20"/>
              </w:rPr>
              <w:t>Contrastive drug (B)</w:t>
            </w:r>
          </w:p>
        </w:tc>
        <w:tc>
          <w:tcPr>
            <w:tcW w:type="dxa" w:w="1872"/>
            <w:shd w:val="clear" w:color="auto" w:fill="FFFFFF"/>
          </w:tcPr>
          <w:p>
            <w:r>
              <w:rPr>
                <w:color w:val="595959"/>
                <w:sz w:val="20"/>
              </w:rPr>
              <w:t>BindingDB drug graphs</w:t>
            </w:r>
          </w:p>
        </w:tc>
        <w:tc>
          <w:tcPr>
            <w:tcW w:type="dxa" w:w="2016"/>
            <w:shd w:val="clear" w:color="auto" w:fill="FFFFFF"/>
          </w:tcPr>
          <w:p>
            <w:r>
              <w:rPr>
                <w:color w:val="595959"/>
                <w:sz w:val="20"/>
              </w:rPr>
              <w:t>yamanishi_e</w:t>
            </w:r>
          </w:p>
        </w:tc>
        <w:tc>
          <w:tcPr>
            <w:tcW w:type="dxa" w:w="2592"/>
            <w:shd w:val="clear" w:color="auto" w:fill="FFFFFF"/>
          </w:tcPr>
          <w:p>
            <w:r>
              <w:rPr>
                <w:color w:val="595959"/>
                <w:sz w:val="20"/>
              </w:rPr>
              <w:t>vs. P3-A (contrastive vs. supervised pretraining)</w:t>
            </w:r>
          </w:p>
        </w:tc>
      </w:tr>
    </w:tbl>
    <w:p/>
    <w:p>
      <w:pPr>
        <w:spacing w:before="120" w:after="120"/>
        <w:ind w:left="567"/>
        <w:pBdr>
          <w:left w:val="single" w:sz="12" w:space="6" w:color="19762E"/>
        </w:pBdr>
      </w:pPr>
      <w:r>
        <w:rPr>
          <w:i/>
          <w:color w:val="595959"/>
          <w:sz w:val="21"/>
        </w:rPr>
        <w:t>The most important experiment is P3-E: training on BindingDB and directly evaluating on yamanishi_e (no fine-tuning on yamanishi_e). The Objective 1 baseline (luo_17 → yamanishi_e) gave AUROC 0.508. If BindingDB pretraining raises this above 0.6 or 0.7, it demonstrates meaningful transfer learning.</w:t>
      </w:r>
    </w:p>
    <w:p>
      <w:pPr>
        <w:spacing w:before="240" w:after="40"/>
      </w:pPr>
      <w:r>
        <w:rPr>
          <w:b/>
          <w:color w:val="007078"/>
          <w:sz w:val="26"/>
        </w:rPr>
        <w:t>5.7  Infrastructure Steps</w:t>
      </w:r>
    </w:p>
    <w:p>
      <w:pPr>
        <w:spacing w:before="20" w:after="20"/>
        <w:ind w:left="454"/>
      </w:pPr>
      <w:r>
        <w:rPr>
          <w:b/>
          <w:color w:val="C55A11"/>
          <w:sz w:val="22"/>
        </w:rPr>
        <w:t xml:space="preserve">○  </w:t>
      </w:r>
      <w:r>
        <w:rPr>
          <w:color w:val="595959"/>
          <w:sz w:val="22"/>
        </w:rPr>
        <w:t>Run 10b_preprocess_large_drugs.py on BindingDB (chunked drug graph generation — GPU recommended).</w:t>
      </w:r>
    </w:p>
    <w:p>
      <w:pPr>
        <w:spacing w:before="20" w:after="20"/>
        <w:ind w:left="454"/>
      </w:pPr>
      <w:r>
        <w:rPr>
          <w:b/>
          <w:color w:val="C55A11"/>
          <w:sz w:val="22"/>
        </w:rPr>
        <w:t xml:space="preserve">○  </w:t>
      </w:r>
      <w:r>
        <w:rPr>
          <w:color w:val="595959"/>
          <w:sz w:val="22"/>
        </w:rPr>
        <w:t>Run 11_preprocess_proteins.py on BindingDB protein sequences with ESM-2 (GPU recommended).</w:t>
      </w:r>
    </w:p>
    <w:p>
      <w:pPr>
        <w:spacing w:before="20" w:after="20"/>
        <w:ind w:left="454"/>
      </w:pPr>
      <w:r>
        <w:rPr>
          <w:b/>
          <w:color w:val="C55A11"/>
          <w:sz w:val="22"/>
        </w:rPr>
        <w:t xml:space="preserve">○  </w:t>
      </w:r>
      <w:r>
        <w:rPr>
          <w:color w:val="595959"/>
          <w:sz w:val="22"/>
        </w:rPr>
        <w:t>Run 12_preprocess_labels.py and 13_preprocess_splits.py for BindingDB.</w:t>
      </w:r>
    </w:p>
    <w:p>
      <w:pPr>
        <w:spacing w:before="20" w:after="20"/>
        <w:ind w:left="454"/>
      </w:pPr>
      <w:r>
        <w:rPr>
          <w:b/>
          <w:color w:val="C55A11"/>
          <w:sz w:val="22"/>
        </w:rPr>
        <w:t xml:space="preserve">○  </w:t>
      </w:r>
      <w:r>
        <w:rPr>
          <w:color w:val="595959"/>
          <w:sz w:val="22"/>
        </w:rPr>
        <w:t>Modify train.py to accept --pretrain_checkpoint argument for loading encoder weights before fine-tuning.</w:t>
      </w:r>
    </w:p>
    <w:p>
      <w:pPr>
        <w:spacing w:before="20" w:after="20"/>
        <w:ind w:left="454"/>
      </w:pPr>
      <w:r>
        <w:rPr>
          <w:b/>
          <w:color w:val="C55A11"/>
          <w:sz w:val="22"/>
        </w:rPr>
        <w:t xml:space="preserve">○  </w:t>
      </w:r>
      <w:r>
        <w:rPr>
          <w:color w:val="595959"/>
          <w:sz w:val="22"/>
        </w:rPr>
        <w:t>Add a --freeze_encoders N flag to optionally freeze encoder for the first N epochs of fine-tuning.</w:t>
      </w:r>
    </w:p>
    <w:p>
      <w:pPr>
        <w:spacing w:before="20" w:after="20"/>
        <w:ind w:left="454"/>
      </w:pPr>
      <w:r>
        <w:rPr>
          <w:b/>
          <w:color w:val="C55A11"/>
          <w:sz w:val="22"/>
        </w:rPr>
        <w:t xml:space="preserve">○  </w:t>
      </w:r>
      <w:r>
        <w:rPr>
          <w:color w:val="595959"/>
          <w:sz w:val="22"/>
        </w:rPr>
        <w:t>Save pretrained encoder checkpoints separately so they can be reused across multiple fine-tuning runs.</w:t>
      </w:r>
    </w:p>
    <w:p>
      <w:r>
        <w:br w:type="page"/>
      </w:r>
    </w:p>
    <w:p>
      <w:pPr>
        <w:spacing w:before="360" w:after="80"/>
        <w:pBdr>
          <w:bottom w:val="single" w:sz="6" w:space="1" w:color="1F497D"/>
        </w:pBdr>
      </w:pPr>
      <w:r>
        <w:rPr>
          <w:b/>
          <w:color w:val="1F497D"/>
          <w:sz w:val="32"/>
        </w:rPr>
        <w:t>6.  Phase 4 — Cold-Start and Cross-Dataset Evaluation</w:t>
      </w:r>
    </w:p>
    <w:p>
      <w:pPr>
        <w:spacing w:before="40" w:after="80"/>
      </w:pPr>
      <w:r>
        <w:rPr>
          <w:color w:val="595959"/>
          <w:sz w:val="22"/>
        </w:rPr>
        <w:t>Phase 4 brings together the best settings from Phases 1, 2, and 3 and runs the comprehensive cold-start and cross-dataset evaluation specified in the proposal. The goal is to demonstrate that the Objective 2 improvements produce statistically significant gains on unseen drugs, unseen targets, and across-distribution scenarios.</w:t>
      </w:r>
    </w:p>
    <w:p>
      <w:pPr>
        <w:spacing w:before="240" w:after="40"/>
      </w:pPr>
      <w:r>
        <w:rPr>
          <w:b/>
          <w:color w:val="007078"/>
          <w:sz w:val="26"/>
        </w:rPr>
        <w:t>6.1  Research Question</w:t>
      </w:r>
    </w:p>
    <w:p>
      <w:pPr>
        <w:spacing w:before="120" w:after="120"/>
        <w:ind w:left="567"/>
        <w:pBdr>
          <w:left w:val="single" w:sz="12" w:space="6" w:color="007078"/>
        </w:pBdr>
      </w:pPr>
      <w:r>
        <w:rPr>
          <w:i/>
          <w:color w:val="595959"/>
          <w:sz w:val="21"/>
        </w:rPr>
        <w:t>Do the combined improvements from Phase 1–3 (best embedding + best imbalance strategy + pretraining) produce a significantly better model than the Objective 1 baseline on cold-start and cross-dataset metrics?</w:t>
      </w:r>
    </w:p>
    <w:p>
      <w:pPr>
        <w:spacing w:before="240" w:after="40"/>
      </w:pPr>
      <w:r>
        <w:rPr>
          <w:b/>
          <w:color w:val="007078"/>
          <w:sz w:val="26"/>
        </w:rPr>
        <w:t>6.2  Cold-Start Evaluation Protocol</w:t>
      </w:r>
    </w:p>
    <w:p>
      <w:pPr>
        <w:spacing w:before="40" w:after="80"/>
      </w:pPr>
      <w:r>
        <w:rPr>
          <w:color w:val="595959"/>
          <w:sz w:val="22"/>
        </w:rPr>
        <w:t>The same four split types used in Objective 1 are reused, following the DTKGIN protocol (Luo et al., 2024) described in the proposal:</w:t>
      </w:r>
    </w:p>
    <w:tbl>
      <w:tblPr>
        <w:tblStyle w:val="TableGrid"/>
        <w:tblW w:type="auto" w:w="0"/>
        <w:tblLook w:firstColumn="1" w:firstRow="1" w:lastColumn="0" w:lastRow="0" w:noHBand="0" w:noVBand="1" w:val="04A0"/>
      </w:tblPr>
      <w:tblGrid>
        <w:gridCol w:w="2280"/>
        <w:gridCol w:w="2280"/>
        <w:gridCol w:w="2280"/>
        <w:gridCol w:w="2280"/>
      </w:tblGrid>
      <w:tr>
        <w:tc>
          <w:tcPr>
            <w:tcW w:type="dxa" w:w="2304"/>
            <w:shd w:val="clear" w:color="auto" w:fill="1F497D"/>
          </w:tcPr>
          <w:p>
            <w:r>
              <w:rPr>
                <w:b/>
                <w:color w:val="FFFFFF"/>
                <w:sz w:val="20"/>
              </w:rPr>
              <w:t>Setting</w:t>
            </w:r>
          </w:p>
        </w:tc>
        <w:tc>
          <w:tcPr>
            <w:tcW w:type="dxa" w:w="864"/>
            <w:shd w:val="clear" w:color="auto" w:fill="1F497D"/>
          </w:tcPr>
          <w:p>
            <w:r>
              <w:rPr>
                <w:b/>
                <w:color w:val="FFFFFF"/>
                <w:sz w:val="20"/>
              </w:rPr>
              <w:t>Label</w:t>
            </w:r>
          </w:p>
        </w:tc>
        <w:tc>
          <w:tcPr>
            <w:tcW w:type="dxa" w:w="3744"/>
            <w:shd w:val="clear" w:color="auto" w:fill="1F497D"/>
          </w:tcPr>
          <w:p>
            <w:r>
              <w:rPr>
                <w:b/>
                <w:color w:val="FFFFFF"/>
                <w:sz w:val="20"/>
              </w:rPr>
              <w:t>What the Model Faces</w:t>
            </w:r>
          </w:p>
        </w:tc>
        <w:tc>
          <w:tcPr>
            <w:tcW w:type="dxa" w:w="2736"/>
            <w:shd w:val="clear" w:color="auto" w:fill="1F497D"/>
          </w:tcPr>
          <w:p>
            <w:r>
              <w:rPr>
                <w:b/>
                <w:color w:val="FFFFFF"/>
                <w:sz w:val="20"/>
              </w:rPr>
              <w:t>Key Metric</w:t>
            </w:r>
          </w:p>
        </w:tc>
      </w:tr>
      <w:tr>
        <w:tc>
          <w:tcPr>
            <w:tcW w:type="dxa" w:w="2304"/>
            <w:shd w:val="clear" w:color="auto" w:fill="F2F7FF"/>
          </w:tcPr>
          <w:p>
            <w:r>
              <w:rPr>
                <w:color w:val="595959"/>
                <w:sz w:val="20"/>
              </w:rPr>
              <w:t>Warm-start (random)</w:t>
            </w:r>
          </w:p>
        </w:tc>
        <w:tc>
          <w:tcPr>
            <w:tcW w:type="dxa" w:w="864"/>
            <w:shd w:val="clear" w:color="auto" w:fill="F2F7FF"/>
          </w:tcPr>
          <w:p>
            <w:r>
              <w:rPr>
                <w:color w:val="595959"/>
                <w:sz w:val="20"/>
              </w:rPr>
              <w:t>S1</w:t>
            </w:r>
          </w:p>
        </w:tc>
        <w:tc>
          <w:tcPr>
            <w:tcW w:type="dxa" w:w="3744"/>
            <w:shd w:val="clear" w:color="auto" w:fill="F2F7FF"/>
          </w:tcPr>
          <w:p>
            <w:r>
              <w:rPr>
                <w:color w:val="595959"/>
                <w:sz w:val="20"/>
              </w:rPr>
              <w:t>Both drugs and proteins may appear in training.</w:t>
            </w:r>
          </w:p>
        </w:tc>
        <w:tc>
          <w:tcPr>
            <w:tcW w:type="dxa" w:w="2736"/>
            <w:shd w:val="clear" w:color="auto" w:fill="F2F7FF"/>
          </w:tcPr>
          <w:p>
            <w:r>
              <w:rPr>
                <w:color w:val="595959"/>
                <w:sz w:val="20"/>
              </w:rPr>
              <w:t>AUROC — general performance.</w:t>
            </w:r>
          </w:p>
        </w:tc>
      </w:tr>
      <w:tr>
        <w:tc>
          <w:tcPr>
            <w:tcW w:type="dxa" w:w="2304"/>
            <w:shd w:val="clear" w:color="auto" w:fill="FFFFFF"/>
          </w:tcPr>
          <w:p>
            <w:r>
              <w:rPr>
                <w:color w:val="595959"/>
                <w:sz w:val="20"/>
              </w:rPr>
              <w:t>Cold-drug</w:t>
            </w:r>
          </w:p>
        </w:tc>
        <w:tc>
          <w:tcPr>
            <w:tcW w:type="dxa" w:w="864"/>
            <w:shd w:val="clear" w:color="auto" w:fill="FFFFFF"/>
          </w:tcPr>
          <w:p>
            <w:r>
              <w:rPr>
                <w:color w:val="595959"/>
                <w:sz w:val="20"/>
              </w:rPr>
              <w:t>S2</w:t>
            </w:r>
          </w:p>
        </w:tc>
        <w:tc>
          <w:tcPr>
            <w:tcW w:type="dxa" w:w="3744"/>
            <w:shd w:val="clear" w:color="auto" w:fill="FFFFFF"/>
          </w:tcPr>
          <w:p>
            <w:r>
              <w:rPr>
                <w:color w:val="595959"/>
                <w:sz w:val="20"/>
              </w:rPr>
              <w:t>All test drugs are completely new; not seen during training.</w:t>
            </w:r>
          </w:p>
        </w:tc>
        <w:tc>
          <w:tcPr>
            <w:tcW w:type="dxa" w:w="2736"/>
            <w:shd w:val="clear" w:color="auto" w:fill="FFFFFF"/>
          </w:tcPr>
          <w:p>
            <w:r>
              <w:rPr>
                <w:color w:val="595959"/>
                <w:sz w:val="20"/>
              </w:rPr>
              <w:t>AUROC + AUPRC — key for drug discovery.</w:t>
            </w:r>
          </w:p>
        </w:tc>
      </w:tr>
      <w:tr>
        <w:tc>
          <w:tcPr>
            <w:tcW w:type="dxa" w:w="2304"/>
            <w:shd w:val="clear" w:color="auto" w:fill="F2F7FF"/>
          </w:tcPr>
          <w:p>
            <w:r>
              <w:rPr>
                <w:color w:val="595959"/>
                <w:sz w:val="20"/>
              </w:rPr>
              <w:t>Cold-target</w:t>
            </w:r>
          </w:p>
        </w:tc>
        <w:tc>
          <w:tcPr>
            <w:tcW w:type="dxa" w:w="864"/>
            <w:shd w:val="clear" w:color="auto" w:fill="F2F7FF"/>
          </w:tcPr>
          <w:p>
            <w:r>
              <w:rPr>
                <w:color w:val="595959"/>
                <w:sz w:val="20"/>
              </w:rPr>
              <w:t>S3</w:t>
            </w:r>
          </w:p>
        </w:tc>
        <w:tc>
          <w:tcPr>
            <w:tcW w:type="dxa" w:w="3744"/>
            <w:shd w:val="clear" w:color="auto" w:fill="F2F7FF"/>
          </w:tcPr>
          <w:p>
            <w:r>
              <w:rPr>
                <w:color w:val="595959"/>
                <w:sz w:val="20"/>
              </w:rPr>
              <w:t>All test proteins are completely new.</w:t>
            </w:r>
          </w:p>
        </w:tc>
        <w:tc>
          <w:tcPr>
            <w:tcW w:type="dxa" w:w="2736"/>
            <w:shd w:val="clear" w:color="auto" w:fill="F2F7FF"/>
          </w:tcPr>
          <w:p>
            <w:r>
              <w:rPr>
                <w:color w:val="595959"/>
                <w:sz w:val="20"/>
              </w:rPr>
              <w:t>AUROC + AUPRC — key for new disease targets.</w:t>
            </w:r>
          </w:p>
        </w:tc>
      </w:tr>
      <w:tr>
        <w:tc>
          <w:tcPr>
            <w:tcW w:type="dxa" w:w="2304"/>
            <w:shd w:val="clear" w:color="auto" w:fill="FFFFFF"/>
          </w:tcPr>
          <w:p>
            <w:r>
              <w:rPr>
                <w:color w:val="595959"/>
                <w:sz w:val="20"/>
              </w:rPr>
              <w:t>Cold-pair</w:t>
            </w:r>
          </w:p>
        </w:tc>
        <w:tc>
          <w:tcPr>
            <w:tcW w:type="dxa" w:w="864"/>
            <w:shd w:val="clear" w:color="auto" w:fill="FFFFFF"/>
          </w:tcPr>
          <w:p>
            <w:r>
              <w:rPr>
                <w:color w:val="595959"/>
                <w:sz w:val="20"/>
              </w:rPr>
              <w:t>S4</w:t>
            </w:r>
          </w:p>
        </w:tc>
        <w:tc>
          <w:tcPr>
            <w:tcW w:type="dxa" w:w="3744"/>
            <w:shd w:val="clear" w:color="auto" w:fill="FFFFFF"/>
          </w:tcPr>
          <w:p>
            <w:r>
              <w:rPr>
                <w:color w:val="595959"/>
                <w:sz w:val="20"/>
              </w:rPr>
              <w:t>Drug–target pair is new; individuals may appear.</w:t>
            </w:r>
          </w:p>
        </w:tc>
        <w:tc>
          <w:tcPr>
            <w:tcW w:type="dxa" w:w="2736"/>
            <w:shd w:val="clear" w:color="auto" w:fill="FFFFFF"/>
          </w:tcPr>
          <w:p>
            <w:r>
              <w:rPr>
                <w:color w:val="595959"/>
                <w:sz w:val="20"/>
              </w:rPr>
              <w:t>AUROC — hardest general setting.</w:t>
            </w:r>
          </w:p>
        </w:tc>
      </w:tr>
    </w:tbl>
    <w:p/>
    <w:p>
      <w:pPr>
        <w:spacing w:before="240" w:after="40"/>
      </w:pPr>
      <w:r>
        <w:rPr>
          <w:b/>
          <w:color w:val="007078"/>
          <w:sz w:val="26"/>
        </w:rPr>
        <w:t>6.3  Cross-Dataset Transfer Evaluation</w:t>
      </w:r>
    </w:p>
    <w:p>
      <w:pPr>
        <w:spacing w:before="40" w:after="80"/>
      </w:pPr>
      <w:r>
        <w:rPr>
          <w:color w:val="595959"/>
          <w:sz w:val="22"/>
        </w:rPr>
        <w:t>The proposal specifies: 'The model trained on one benchmark dataset (e.g., BindingDB) will be tested on another (e.g., DAVIS) to assess its ability to generalise across different experimental protocols and domain shifts.' The following transfer pairs are planned:</w:t>
      </w:r>
    </w:p>
    <w:tbl>
      <w:tblPr>
        <w:tblStyle w:val="TableGrid"/>
        <w:tblW w:type="auto" w:w="0"/>
        <w:tblLook w:firstColumn="1" w:firstRow="1" w:lastColumn="0" w:lastRow="0" w:noHBand="0" w:noVBand="1" w:val="04A0"/>
      </w:tblPr>
      <w:tblGrid>
        <w:gridCol w:w="2280"/>
        <w:gridCol w:w="2280"/>
        <w:gridCol w:w="2280"/>
        <w:gridCol w:w="2280"/>
      </w:tblGrid>
      <w:tr>
        <w:tc>
          <w:tcPr>
            <w:tcW w:type="dxa" w:w="2016"/>
            <w:shd w:val="clear" w:color="auto" w:fill="1F497D"/>
          </w:tcPr>
          <w:p>
            <w:r>
              <w:rPr>
                <w:b/>
                <w:color w:val="FFFFFF"/>
                <w:sz w:val="20"/>
              </w:rPr>
              <w:t>Source (train)</w:t>
            </w:r>
          </w:p>
        </w:tc>
        <w:tc>
          <w:tcPr>
            <w:tcW w:type="dxa" w:w="1872"/>
            <w:shd w:val="clear" w:color="auto" w:fill="1F497D"/>
          </w:tcPr>
          <w:p>
            <w:r>
              <w:rPr>
                <w:b/>
                <w:color w:val="FFFFFF"/>
                <w:sz w:val="20"/>
              </w:rPr>
              <w:t>Target (test)</w:t>
            </w:r>
          </w:p>
        </w:tc>
        <w:tc>
          <w:tcPr>
            <w:tcW w:type="dxa" w:w="2160"/>
            <w:shd w:val="clear" w:color="auto" w:fill="1F497D"/>
          </w:tcPr>
          <w:p>
            <w:r>
              <w:rPr>
                <w:b/>
                <w:color w:val="FFFFFF"/>
                <w:sz w:val="20"/>
              </w:rPr>
              <w:t>Baseline AUROC</w:t>
            </w:r>
          </w:p>
        </w:tc>
        <w:tc>
          <w:tcPr>
            <w:tcW w:type="dxa" w:w="3600"/>
            <w:shd w:val="clear" w:color="auto" w:fill="1F497D"/>
          </w:tcPr>
          <w:p>
            <w:r>
              <w:rPr>
                <w:b/>
                <w:color w:val="FFFFFF"/>
                <w:sz w:val="20"/>
              </w:rPr>
              <w:t>Expected After Pretraining</w:t>
            </w:r>
          </w:p>
        </w:tc>
      </w:tr>
      <w:tr>
        <w:tc>
          <w:tcPr>
            <w:tcW w:type="dxa" w:w="2016"/>
            <w:shd w:val="clear" w:color="auto" w:fill="F2F7FF"/>
          </w:tcPr>
          <w:p>
            <w:r>
              <w:rPr>
                <w:color w:val="595959"/>
                <w:sz w:val="20"/>
              </w:rPr>
              <w:t>luo_17</w:t>
            </w:r>
          </w:p>
        </w:tc>
        <w:tc>
          <w:tcPr>
            <w:tcW w:type="dxa" w:w="1872"/>
            <w:shd w:val="clear" w:color="auto" w:fill="F2F7FF"/>
          </w:tcPr>
          <w:p>
            <w:r>
              <w:rPr>
                <w:color w:val="595959"/>
                <w:sz w:val="20"/>
              </w:rPr>
              <w:t>yamanishi_e</w:t>
            </w:r>
          </w:p>
        </w:tc>
        <w:tc>
          <w:tcPr>
            <w:tcW w:type="dxa" w:w="2160"/>
            <w:shd w:val="clear" w:color="auto" w:fill="F2F7FF"/>
          </w:tcPr>
          <w:p>
            <w:r>
              <w:rPr>
                <w:color w:val="595959"/>
                <w:sz w:val="20"/>
              </w:rPr>
              <w:t>0.508 ± 0.020</w:t>
            </w:r>
          </w:p>
        </w:tc>
        <w:tc>
          <w:tcPr>
            <w:tcW w:type="dxa" w:w="3600"/>
            <w:shd w:val="clear" w:color="auto" w:fill="F2F7FF"/>
          </w:tcPr>
          <w:p>
            <w:r>
              <w:rPr>
                <w:color w:val="595959"/>
                <w:sz w:val="20"/>
              </w:rPr>
              <w:t>Target: &gt; 0.65</w:t>
            </w:r>
          </w:p>
        </w:tc>
      </w:tr>
      <w:tr>
        <w:tc>
          <w:tcPr>
            <w:tcW w:type="dxa" w:w="2016"/>
            <w:shd w:val="clear" w:color="auto" w:fill="FFFFFF"/>
          </w:tcPr>
          <w:p>
            <w:r>
              <w:rPr>
                <w:color w:val="595959"/>
                <w:sz w:val="20"/>
              </w:rPr>
              <w:t>BindingDB</w:t>
            </w:r>
          </w:p>
        </w:tc>
        <w:tc>
          <w:tcPr>
            <w:tcW w:type="dxa" w:w="1872"/>
            <w:shd w:val="clear" w:color="auto" w:fill="FFFFFF"/>
          </w:tcPr>
          <w:p>
            <w:r>
              <w:rPr>
                <w:color w:val="595959"/>
                <w:sz w:val="20"/>
              </w:rPr>
              <w:t>yamanishi_e</w:t>
            </w:r>
          </w:p>
        </w:tc>
        <w:tc>
          <w:tcPr>
            <w:tcW w:type="dxa" w:w="2160"/>
            <w:shd w:val="clear" w:color="auto" w:fill="FFFFFF"/>
          </w:tcPr>
          <w:p>
            <w:r>
              <w:rPr>
                <w:color w:val="595959"/>
                <w:sz w:val="20"/>
              </w:rPr>
              <w:t>—  (new)</w:t>
            </w:r>
          </w:p>
        </w:tc>
        <w:tc>
          <w:tcPr>
            <w:tcW w:type="dxa" w:w="3600"/>
            <w:shd w:val="clear" w:color="auto" w:fill="FFFFFF"/>
          </w:tcPr>
          <w:p>
            <w:r>
              <w:rPr>
                <w:color w:val="595959"/>
                <w:sz w:val="20"/>
              </w:rPr>
              <w:t>Target: &gt; 0.70</w:t>
            </w:r>
          </w:p>
        </w:tc>
      </w:tr>
      <w:tr>
        <w:tc>
          <w:tcPr>
            <w:tcW w:type="dxa" w:w="2016"/>
            <w:shd w:val="clear" w:color="auto" w:fill="F2F7FF"/>
          </w:tcPr>
          <w:p>
            <w:r>
              <w:rPr>
                <w:color w:val="595959"/>
                <w:sz w:val="20"/>
              </w:rPr>
              <w:t>BindingDB</w:t>
            </w:r>
          </w:p>
        </w:tc>
        <w:tc>
          <w:tcPr>
            <w:tcW w:type="dxa" w:w="1872"/>
            <w:shd w:val="clear" w:color="auto" w:fill="F2F7FF"/>
          </w:tcPr>
          <w:p>
            <w:r>
              <w:rPr>
                <w:color w:val="595959"/>
                <w:sz w:val="20"/>
              </w:rPr>
              <w:t>luo_17</w:t>
            </w:r>
          </w:p>
        </w:tc>
        <w:tc>
          <w:tcPr>
            <w:tcW w:type="dxa" w:w="2160"/>
            <w:shd w:val="clear" w:color="auto" w:fill="F2F7FF"/>
          </w:tcPr>
          <w:p>
            <w:r>
              <w:rPr>
                <w:color w:val="595959"/>
                <w:sz w:val="20"/>
              </w:rPr>
              <w:t>—  (new)</w:t>
            </w:r>
          </w:p>
        </w:tc>
        <w:tc>
          <w:tcPr>
            <w:tcW w:type="dxa" w:w="3600"/>
            <w:shd w:val="clear" w:color="auto" w:fill="F2F7FF"/>
          </w:tcPr>
          <w:p>
            <w:r>
              <w:rPr>
                <w:color w:val="595959"/>
                <w:sz w:val="20"/>
              </w:rPr>
              <w:t>Target: &gt; 0.85</w:t>
            </w:r>
          </w:p>
        </w:tc>
      </w:tr>
      <w:tr>
        <w:tc>
          <w:tcPr>
            <w:tcW w:type="dxa" w:w="2016"/>
            <w:shd w:val="clear" w:color="auto" w:fill="FFFFFF"/>
          </w:tcPr>
          <w:p>
            <w:r>
              <w:rPr>
                <w:color w:val="595959"/>
                <w:sz w:val="20"/>
              </w:rPr>
              <w:t>BindingDB</w:t>
            </w:r>
          </w:p>
        </w:tc>
        <w:tc>
          <w:tcPr>
            <w:tcW w:type="dxa" w:w="1872"/>
            <w:shd w:val="clear" w:color="auto" w:fill="FFFFFF"/>
          </w:tcPr>
          <w:p>
            <w:r>
              <w:rPr>
                <w:color w:val="595959"/>
                <w:sz w:val="20"/>
              </w:rPr>
              <w:t>Davis</w:t>
            </w:r>
          </w:p>
        </w:tc>
        <w:tc>
          <w:tcPr>
            <w:tcW w:type="dxa" w:w="2160"/>
            <w:shd w:val="clear" w:color="auto" w:fill="FFFFFF"/>
          </w:tcPr>
          <w:p>
            <w:r>
              <w:rPr>
                <w:color w:val="595959"/>
                <w:sz w:val="20"/>
              </w:rPr>
              <w:t>—  (new)</w:t>
            </w:r>
          </w:p>
        </w:tc>
        <w:tc>
          <w:tcPr>
            <w:tcW w:type="dxa" w:w="3600"/>
            <w:shd w:val="clear" w:color="auto" w:fill="FFFFFF"/>
          </w:tcPr>
          <w:p>
            <w:r>
              <w:rPr>
                <w:color w:val="595959"/>
                <w:sz w:val="20"/>
              </w:rPr>
              <w:t>Target: Pearson r &gt; 0.65</w:t>
            </w:r>
          </w:p>
        </w:tc>
      </w:tr>
      <w:tr>
        <w:tc>
          <w:tcPr>
            <w:tcW w:type="dxa" w:w="2016"/>
            <w:shd w:val="clear" w:color="auto" w:fill="F2F7FF"/>
          </w:tcPr>
          <w:p>
            <w:r>
              <w:rPr>
                <w:color w:val="595959"/>
                <w:sz w:val="20"/>
              </w:rPr>
              <w:t>BindingDB</w:t>
            </w:r>
          </w:p>
        </w:tc>
        <w:tc>
          <w:tcPr>
            <w:tcW w:type="dxa" w:w="1872"/>
            <w:shd w:val="clear" w:color="auto" w:fill="F2F7FF"/>
          </w:tcPr>
          <w:p>
            <w:r>
              <w:rPr>
                <w:color w:val="595959"/>
                <w:sz w:val="20"/>
              </w:rPr>
              <w:t>KIBA</w:t>
            </w:r>
          </w:p>
        </w:tc>
        <w:tc>
          <w:tcPr>
            <w:tcW w:type="dxa" w:w="2160"/>
            <w:shd w:val="clear" w:color="auto" w:fill="F2F7FF"/>
          </w:tcPr>
          <w:p>
            <w:r>
              <w:rPr>
                <w:color w:val="595959"/>
                <w:sz w:val="20"/>
              </w:rPr>
              <w:t>—  (new)</w:t>
            </w:r>
          </w:p>
        </w:tc>
        <w:tc>
          <w:tcPr>
            <w:tcW w:type="dxa" w:w="3600"/>
            <w:shd w:val="clear" w:color="auto" w:fill="F2F7FF"/>
          </w:tcPr>
          <w:p>
            <w:r>
              <w:rPr>
                <w:color w:val="595959"/>
                <w:sz w:val="20"/>
              </w:rPr>
              <w:t>Target: Pearson r &gt; 0.70</w:t>
            </w:r>
          </w:p>
        </w:tc>
      </w:tr>
    </w:tbl>
    <w:p/>
    <w:p>
      <w:pPr>
        <w:spacing w:before="120" w:after="120"/>
        <w:ind w:left="567"/>
        <w:pBdr>
          <w:left w:val="single" w:sz="12" w:space="6" w:color="C55A11"/>
        </w:pBdr>
      </w:pPr>
      <w:r>
        <w:rPr>
          <w:i/>
          <w:color w:val="595959"/>
          <w:sz w:val="21"/>
        </w:rPr>
        <w:t>These are aspirational targets based on transfer learning improvements reported in the literature (e.g., iNGNN-DTI, MutualDTA). Actual results may differ. Even a result of AUROC 0.60 cross-dataset would be publishable progress over the near-random 0.508 baseline.</w:t>
      </w:r>
    </w:p>
    <w:p>
      <w:pPr>
        <w:spacing w:before="240" w:after="40"/>
      </w:pPr>
      <w:r>
        <w:rPr>
          <w:b/>
          <w:color w:val="007078"/>
          <w:sz w:val="26"/>
        </w:rPr>
        <w:t>6.4  Slice-Aware Benchmarking</w:t>
      </w:r>
    </w:p>
    <w:p>
      <w:pPr>
        <w:spacing w:before="40" w:after="80"/>
      </w:pPr>
      <w:r>
        <w:rPr>
          <w:color w:val="595959"/>
          <w:sz w:val="22"/>
        </w:rPr>
        <w:t>The proposal introduces 'slice-aware benchmarking' — evaluating performance across biologically meaningful subgroups rather than just overall metrics. This is done post-hoc: after evaluating the best model, stratify the test set and compute metrics within each slice.</w:t>
      </w:r>
    </w:p>
    <w:tbl>
      <w:tblPr>
        <w:tblStyle w:val="TableGrid"/>
        <w:tblW w:type="auto" w:w="0"/>
        <w:tblLook w:firstColumn="1" w:firstRow="1" w:lastColumn="0" w:lastRow="0" w:noHBand="0" w:noVBand="1" w:val="04A0"/>
      </w:tblPr>
      <w:tblGrid>
        <w:gridCol w:w="3041"/>
        <w:gridCol w:w="3041"/>
        <w:gridCol w:w="3041"/>
      </w:tblGrid>
      <w:tr>
        <w:tc>
          <w:tcPr>
            <w:tcW w:type="dxa" w:w="2160"/>
            <w:shd w:val="clear" w:color="auto" w:fill="1F497D"/>
          </w:tcPr>
          <w:p>
            <w:r>
              <w:rPr>
                <w:b/>
                <w:color w:val="FFFFFF"/>
                <w:sz w:val="20"/>
              </w:rPr>
              <w:t>Slice Dimension</w:t>
            </w:r>
          </w:p>
        </w:tc>
        <w:tc>
          <w:tcPr>
            <w:tcW w:type="dxa" w:w="2880"/>
            <w:shd w:val="clear" w:color="auto" w:fill="1F497D"/>
          </w:tcPr>
          <w:p>
            <w:r>
              <w:rPr>
                <w:b/>
                <w:color w:val="FFFFFF"/>
                <w:sz w:val="20"/>
              </w:rPr>
              <w:t>How to Partition</w:t>
            </w:r>
          </w:p>
        </w:tc>
        <w:tc>
          <w:tcPr>
            <w:tcW w:type="dxa" w:w="3888"/>
            <w:shd w:val="clear" w:color="auto" w:fill="1F497D"/>
          </w:tcPr>
          <w:p>
            <w:r>
              <w:rPr>
                <w:b/>
                <w:color w:val="FFFFFF"/>
                <w:sz w:val="20"/>
              </w:rPr>
              <w:t>Why It Matters</w:t>
            </w:r>
          </w:p>
        </w:tc>
      </w:tr>
      <w:tr>
        <w:tc>
          <w:tcPr>
            <w:tcW w:type="dxa" w:w="2160"/>
            <w:shd w:val="clear" w:color="auto" w:fill="F2F7FF"/>
          </w:tcPr>
          <w:p>
            <w:r>
              <w:rPr>
                <w:color w:val="595959"/>
                <w:sz w:val="20"/>
              </w:rPr>
              <w:t>Drug scaffold family</w:t>
            </w:r>
          </w:p>
        </w:tc>
        <w:tc>
          <w:tcPr>
            <w:tcW w:type="dxa" w:w="2880"/>
            <w:shd w:val="clear" w:color="auto" w:fill="F2F7FF"/>
          </w:tcPr>
          <w:p>
            <w:r>
              <w:rPr>
                <w:color w:val="595959"/>
                <w:sz w:val="20"/>
              </w:rPr>
              <w:t>Use RDKit Murcko scaffold clustering</w:t>
            </w:r>
          </w:p>
        </w:tc>
        <w:tc>
          <w:tcPr>
            <w:tcW w:type="dxa" w:w="3888"/>
            <w:shd w:val="clear" w:color="auto" w:fill="F2F7FF"/>
          </w:tcPr>
          <w:p>
            <w:r>
              <w:rPr>
                <w:color w:val="595959"/>
                <w:sz w:val="20"/>
              </w:rPr>
              <w:t>Reveals if model generalises to novel chemical scaffolds or memorises known ones.</w:t>
            </w:r>
          </w:p>
        </w:tc>
      </w:tr>
      <w:tr>
        <w:tc>
          <w:tcPr>
            <w:tcW w:type="dxa" w:w="2160"/>
            <w:shd w:val="clear" w:color="auto" w:fill="FFFFFF"/>
          </w:tcPr>
          <w:p>
            <w:r>
              <w:rPr>
                <w:color w:val="595959"/>
                <w:sz w:val="20"/>
              </w:rPr>
              <w:t>Protein family</w:t>
            </w:r>
          </w:p>
        </w:tc>
        <w:tc>
          <w:tcPr>
            <w:tcW w:type="dxa" w:w="2880"/>
            <w:shd w:val="clear" w:color="auto" w:fill="FFFFFF"/>
          </w:tcPr>
          <w:p>
            <w:r>
              <w:rPr>
                <w:color w:val="595959"/>
                <w:sz w:val="20"/>
              </w:rPr>
              <w:t>Use UniProt protein family annotations</w:t>
            </w:r>
          </w:p>
        </w:tc>
        <w:tc>
          <w:tcPr>
            <w:tcW w:type="dxa" w:w="3888"/>
            <w:shd w:val="clear" w:color="auto" w:fill="FFFFFF"/>
          </w:tcPr>
          <w:p>
            <w:r>
              <w:rPr>
                <w:color w:val="595959"/>
                <w:sz w:val="20"/>
              </w:rPr>
              <w:t>Shows if model performs equally on kinases, GPCRs, enzymes, etc.</w:t>
            </w:r>
          </w:p>
        </w:tc>
      </w:tr>
      <w:tr>
        <w:tc>
          <w:tcPr>
            <w:tcW w:type="dxa" w:w="2160"/>
            <w:shd w:val="clear" w:color="auto" w:fill="F2F7FF"/>
          </w:tcPr>
          <w:p>
            <w:r>
              <w:rPr>
                <w:color w:val="595959"/>
                <w:sz w:val="20"/>
              </w:rPr>
              <w:t>Binding affinity range</w:t>
            </w:r>
          </w:p>
        </w:tc>
        <w:tc>
          <w:tcPr>
            <w:tcW w:type="dxa" w:w="2880"/>
            <w:shd w:val="clear" w:color="auto" w:fill="F2F7FF"/>
          </w:tcPr>
          <w:p>
            <w:r>
              <w:rPr>
                <w:color w:val="595959"/>
                <w:sz w:val="20"/>
              </w:rPr>
              <w:t>pKd bins: weak (≤5), moderate (5–7), strong (&gt;7)</w:t>
            </w:r>
          </w:p>
        </w:tc>
        <w:tc>
          <w:tcPr>
            <w:tcW w:type="dxa" w:w="3888"/>
            <w:shd w:val="clear" w:color="auto" w:fill="F2F7FF"/>
          </w:tcPr>
          <w:p>
            <w:r>
              <w:rPr>
                <w:color w:val="595959"/>
                <w:sz w:val="20"/>
              </w:rPr>
              <w:t>Identifies if model struggles with high-affinity predictions.</w:t>
            </w:r>
          </w:p>
        </w:tc>
      </w:tr>
      <w:tr>
        <w:tc>
          <w:tcPr>
            <w:tcW w:type="dxa" w:w="2160"/>
            <w:shd w:val="clear" w:color="auto" w:fill="FFFFFF"/>
          </w:tcPr>
          <w:p>
            <w:r>
              <w:rPr>
                <w:color w:val="595959"/>
                <w:sz w:val="20"/>
              </w:rPr>
              <w:t>Dataset split origin</w:t>
            </w:r>
          </w:p>
        </w:tc>
        <w:tc>
          <w:tcPr>
            <w:tcW w:type="dxa" w:w="2880"/>
            <w:shd w:val="clear" w:color="auto" w:fill="FFFFFF"/>
          </w:tcPr>
          <w:p>
            <w:r>
              <w:rPr>
                <w:color w:val="595959"/>
                <w:sz w:val="20"/>
              </w:rPr>
              <w:t>cold_drug vs. cold_target vs. cold_pair</w:t>
            </w:r>
          </w:p>
        </w:tc>
        <w:tc>
          <w:tcPr>
            <w:tcW w:type="dxa" w:w="3888"/>
            <w:shd w:val="clear" w:color="auto" w:fill="FFFFFF"/>
          </w:tcPr>
          <w:p>
            <w:r>
              <w:rPr>
                <w:color w:val="595959"/>
                <w:sz w:val="20"/>
              </w:rPr>
              <w:t>Already implemented — confirms cold split trends hold post-Objective 2.</w:t>
            </w:r>
          </w:p>
        </w:tc>
      </w:tr>
    </w:tbl>
    <w:p/>
    <w:p>
      <w:pPr>
        <w:spacing w:before="240" w:after="40"/>
      </w:pPr>
      <w:r>
        <w:rPr>
          <w:b/>
          <w:color w:val="007078"/>
          <w:sz w:val="26"/>
        </w:rPr>
        <w:t>6.5  Final Comprehensive Comparison Table</w:t>
      </w:r>
    </w:p>
    <w:p>
      <w:pPr>
        <w:spacing w:before="40" w:after="80"/>
      </w:pPr>
      <w:r>
        <w:rPr>
          <w:color w:val="595959"/>
          <w:sz w:val="22"/>
        </w:rPr>
        <w:t>At the end of Phase 4, all results are assembled into a single comparison table covering all four main baselines and the best Objective 2 model:</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3168"/>
            <w:shd w:val="clear" w:color="auto" w:fill="1F497D"/>
          </w:tcPr>
          <w:p>
            <w:r>
              <w:rPr>
                <w:b/>
                <w:color w:val="FFFFFF"/>
                <w:sz w:val="20"/>
              </w:rPr>
              <w:t>Model</w:t>
            </w:r>
          </w:p>
        </w:tc>
        <w:tc>
          <w:tcPr>
            <w:tcW w:type="dxa" w:w="1296"/>
            <w:shd w:val="clear" w:color="auto" w:fill="1F497D"/>
          </w:tcPr>
          <w:p>
            <w:r>
              <w:rPr>
                <w:b/>
                <w:color w:val="FFFFFF"/>
                <w:sz w:val="20"/>
              </w:rPr>
              <w:t>Random</w:t>
            </w:r>
          </w:p>
        </w:tc>
        <w:tc>
          <w:tcPr>
            <w:tcW w:type="dxa" w:w="1296"/>
            <w:shd w:val="clear" w:color="auto" w:fill="1F497D"/>
          </w:tcPr>
          <w:p>
            <w:r>
              <w:rPr>
                <w:b/>
                <w:color w:val="FFFFFF"/>
                <w:sz w:val="20"/>
              </w:rPr>
              <w:t>Cold-Drug</w:t>
            </w:r>
          </w:p>
        </w:tc>
        <w:tc>
          <w:tcPr>
            <w:tcW w:type="dxa" w:w="1296"/>
            <w:shd w:val="clear" w:color="auto" w:fill="1F497D"/>
          </w:tcPr>
          <w:p>
            <w:r>
              <w:rPr>
                <w:b/>
                <w:color w:val="FFFFFF"/>
                <w:sz w:val="20"/>
              </w:rPr>
              <w:t>Cold-Target</w:t>
            </w:r>
          </w:p>
        </w:tc>
        <w:tc>
          <w:tcPr>
            <w:tcW w:type="dxa" w:w="1296"/>
            <w:shd w:val="clear" w:color="auto" w:fill="1F497D"/>
          </w:tcPr>
          <w:p>
            <w:r>
              <w:rPr>
                <w:b/>
                <w:color w:val="FFFFFF"/>
                <w:sz w:val="20"/>
              </w:rPr>
              <w:t>Cold-Pair</w:t>
            </w:r>
          </w:p>
        </w:tc>
        <w:tc>
          <w:tcPr>
            <w:tcW w:type="dxa" w:w="1728"/>
            <w:shd w:val="clear" w:color="auto" w:fill="1F497D"/>
          </w:tcPr>
          <w:p>
            <w:r>
              <w:rPr>
                <w:b/>
                <w:color w:val="FFFFFF"/>
                <w:sz w:val="20"/>
              </w:rPr>
              <w:t>Cross-Dataset</w:t>
            </w:r>
          </w:p>
        </w:tc>
      </w:tr>
      <w:tr>
        <w:tc>
          <w:tcPr>
            <w:tcW w:type="dxa" w:w="3168"/>
            <w:shd w:val="clear" w:color="auto" w:fill="F2F7FF"/>
          </w:tcPr>
          <w:p>
            <w:r>
              <w:rPr>
                <w:color w:val="595959"/>
                <w:sz w:val="20"/>
              </w:rPr>
              <w:t>GSRF-DTI (Zhu et al., 2024)</w:t>
            </w:r>
          </w:p>
        </w:tc>
        <w:tc>
          <w:tcPr>
            <w:tcW w:type="dxa" w:w="1296"/>
            <w:shd w:val="clear" w:color="auto" w:fill="F2F7FF"/>
          </w:tcPr>
          <w:p>
            <w:r>
              <w:rPr>
                <w:color w:val="595959"/>
                <w:sz w:val="20"/>
              </w:rPr>
              <w:t>0.767</w:t>
            </w:r>
          </w:p>
        </w:tc>
        <w:tc>
          <w:tcPr>
            <w:tcW w:type="dxa" w:w="1296"/>
            <w:shd w:val="clear" w:color="auto" w:fill="F2F7FF"/>
          </w:tcPr>
          <w:p>
            <w:r>
              <w:rPr>
                <w:color w:val="595959"/>
                <w:sz w:val="20"/>
              </w:rPr>
              <w:t>0.775</w:t>
            </w:r>
          </w:p>
        </w:tc>
        <w:tc>
          <w:tcPr>
            <w:tcW w:type="dxa" w:w="1296"/>
            <w:shd w:val="clear" w:color="auto" w:fill="F2F7FF"/>
          </w:tcPr>
          <w:p>
            <w:r>
              <w:rPr>
                <w:color w:val="595959"/>
                <w:sz w:val="20"/>
              </w:rPr>
              <w:t>0.362 ‼</w:t>
            </w:r>
          </w:p>
        </w:tc>
        <w:tc>
          <w:tcPr>
            <w:tcW w:type="dxa" w:w="1296"/>
            <w:shd w:val="clear" w:color="auto" w:fill="F2F7FF"/>
          </w:tcPr>
          <w:p>
            <w:r>
              <w:rPr>
                <w:color w:val="595959"/>
                <w:sz w:val="20"/>
              </w:rPr>
              <w:t>0.859</w:t>
            </w:r>
          </w:p>
        </w:tc>
        <w:tc>
          <w:tcPr>
            <w:tcW w:type="dxa" w:w="1728"/>
            <w:shd w:val="clear" w:color="auto" w:fill="F2F7FF"/>
          </w:tcPr>
          <w:p>
            <w:r>
              <w:rPr>
                <w:color w:val="595959"/>
                <w:sz w:val="20"/>
              </w:rPr>
              <w:t>N/A</w:t>
            </w:r>
          </w:p>
        </w:tc>
      </w:tr>
      <w:tr>
        <w:tc>
          <w:tcPr>
            <w:tcW w:type="dxa" w:w="3168"/>
            <w:shd w:val="clear" w:color="auto" w:fill="FFFFFF"/>
          </w:tcPr>
          <w:p>
            <w:r>
              <w:rPr>
                <w:color w:val="595959"/>
                <w:sz w:val="20"/>
              </w:rPr>
              <w:t>DTKGIN (Luo et al., 2024)</w:t>
            </w:r>
          </w:p>
        </w:tc>
        <w:tc>
          <w:tcPr>
            <w:tcW w:type="dxa" w:w="1296"/>
            <w:shd w:val="clear" w:color="auto" w:fill="FFFFFF"/>
          </w:tcPr>
          <w:p>
            <w:r>
              <w:rPr>
                <w:color w:val="595959"/>
                <w:sz w:val="20"/>
              </w:rPr>
              <w:t>0.869</w:t>
            </w:r>
          </w:p>
        </w:tc>
        <w:tc>
          <w:tcPr>
            <w:tcW w:type="dxa" w:w="1296"/>
            <w:shd w:val="clear" w:color="auto" w:fill="FFFFFF"/>
          </w:tcPr>
          <w:p>
            <w:r>
              <w:rPr>
                <w:color w:val="595959"/>
                <w:sz w:val="20"/>
              </w:rPr>
              <w:t>0.747</w:t>
            </w:r>
          </w:p>
        </w:tc>
        <w:tc>
          <w:tcPr>
            <w:tcW w:type="dxa" w:w="1296"/>
            <w:shd w:val="clear" w:color="auto" w:fill="FFFFFF"/>
          </w:tcPr>
          <w:p>
            <w:r>
              <w:rPr>
                <w:color w:val="595959"/>
                <w:sz w:val="20"/>
              </w:rPr>
              <w:t>0.557</w:t>
            </w:r>
          </w:p>
        </w:tc>
        <w:tc>
          <w:tcPr>
            <w:tcW w:type="dxa" w:w="1296"/>
            <w:shd w:val="clear" w:color="auto" w:fill="FFFFFF"/>
          </w:tcPr>
          <w:p>
            <w:r>
              <w:rPr>
                <w:color w:val="595959"/>
                <w:sz w:val="20"/>
              </w:rPr>
              <w:t>0.863</w:t>
            </w:r>
          </w:p>
        </w:tc>
        <w:tc>
          <w:tcPr>
            <w:tcW w:type="dxa" w:w="1728"/>
            <w:shd w:val="clear" w:color="auto" w:fill="FFFFFF"/>
          </w:tcPr>
          <w:p>
            <w:r>
              <w:rPr>
                <w:color w:val="595959"/>
                <w:sz w:val="20"/>
              </w:rPr>
              <w:t>N/A</w:t>
            </w:r>
          </w:p>
        </w:tc>
      </w:tr>
      <w:tr>
        <w:tc>
          <w:tcPr>
            <w:tcW w:type="dxa" w:w="3168"/>
            <w:shd w:val="clear" w:color="auto" w:fill="F2F7FF"/>
          </w:tcPr>
          <w:p>
            <w:r>
              <w:rPr>
                <w:color w:val="595959"/>
                <w:sz w:val="20"/>
              </w:rPr>
              <w:t>H-GNN-RNN-DTI (Obj. 1)</w:t>
            </w:r>
          </w:p>
        </w:tc>
        <w:tc>
          <w:tcPr>
            <w:tcW w:type="dxa" w:w="1296"/>
            <w:shd w:val="clear" w:color="auto" w:fill="F2F7FF"/>
          </w:tcPr>
          <w:p>
            <w:r>
              <w:rPr>
                <w:color w:val="595959"/>
                <w:sz w:val="20"/>
              </w:rPr>
              <w:t>0.756</w:t>
            </w:r>
          </w:p>
        </w:tc>
        <w:tc>
          <w:tcPr>
            <w:tcW w:type="dxa" w:w="1296"/>
            <w:shd w:val="clear" w:color="auto" w:fill="F2F7FF"/>
          </w:tcPr>
          <w:p>
            <w:r>
              <w:rPr>
                <w:color w:val="595959"/>
                <w:sz w:val="20"/>
              </w:rPr>
              <w:t>0.774</w:t>
            </w:r>
          </w:p>
        </w:tc>
        <w:tc>
          <w:tcPr>
            <w:tcW w:type="dxa" w:w="1296"/>
            <w:shd w:val="clear" w:color="auto" w:fill="F2F7FF"/>
          </w:tcPr>
          <w:p>
            <w:r>
              <w:rPr>
                <w:color w:val="595959"/>
                <w:sz w:val="20"/>
              </w:rPr>
              <w:t>0.438</w:t>
            </w:r>
          </w:p>
        </w:tc>
        <w:tc>
          <w:tcPr>
            <w:tcW w:type="dxa" w:w="1296"/>
            <w:shd w:val="clear" w:color="auto" w:fill="F2F7FF"/>
          </w:tcPr>
          <w:p>
            <w:r>
              <w:rPr>
                <w:color w:val="595959"/>
                <w:sz w:val="20"/>
              </w:rPr>
              <w:t>0.746</w:t>
            </w:r>
          </w:p>
        </w:tc>
        <w:tc>
          <w:tcPr>
            <w:tcW w:type="dxa" w:w="1728"/>
            <w:shd w:val="clear" w:color="auto" w:fill="F2F7FF"/>
          </w:tcPr>
          <w:p>
            <w:r>
              <w:rPr>
                <w:color w:val="595959"/>
                <w:sz w:val="20"/>
              </w:rPr>
              <w:t>0.508</w:t>
            </w:r>
          </w:p>
        </w:tc>
      </w:tr>
      <w:tr>
        <w:tc>
          <w:tcPr>
            <w:tcW w:type="dxa" w:w="3168"/>
            <w:shd w:val="clear" w:color="auto" w:fill="FFFFFF"/>
          </w:tcPr>
          <w:p>
            <w:r>
              <w:rPr>
                <w:color w:val="595959"/>
                <w:sz w:val="20"/>
              </w:rPr>
              <w:t>H-GNN-RNN-DTI + Obj. 2 best</w:t>
            </w:r>
          </w:p>
        </w:tc>
        <w:tc>
          <w:tcPr>
            <w:tcW w:type="dxa" w:w="1296"/>
            <w:shd w:val="clear" w:color="auto" w:fill="FFFFFF"/>
          </w:tcPr>
          <w:p>
            <w:r>
              <w:rPr>
                <w:color w:val="595959"/>
                <w:sz w:val="20"/>
              </w:rPr>
              <w:t>TBD</w:t>
            </w:r>
          </w:p>
        </w:tc>
        <w:tc>
          <w:tcPr>
            <w:tcW w:type="dxa" w:w="1296"/>
            <w:shd w:val="clear" w:color="auto" w:fill="FFFFFF"/>
          </w:tcPr>
          <w:p>
            <w:r>
              <w:rPr>
                <w:color w:val="595959"/>
                <w:sz w:val="20"/>
              </w:rPr>
              <w:t>TBD</w:t>
            </w:r>
          </w:p>
        </w:tc>
        <w:tc>
          <w:tcPr>
            <w:tcW w:type="dxa" w:w="1296"/>
            <w:shd w:val="clear" w:color="auto" w:fill="FFFFFF"/>
          </w:tcPr>
          <w:p>
            <w:r>
              <w:rPr>
                <w:color w:val="595959"/>
                <w:sz w:val="20"/>
              </w:rPr>
              <w:t>TBD</w:t>
            </w:r>
          </w:p>
        </w:tc>
        <w:tc>
          <w:tcPr>
            <w:tcW w:type="dxa" w:w="1296"/>
            <w:shd w:val="clear" w:color="auto" w:fill="FFFFFF"/>
          </w:tcPr>
          <w:p>
            <w:r>
              <w:rPr>
                <w:color w:val="595959"/>
                <w:sz w:val="20"/>
              </w:rPr>
              <w:t>TBD</w:t>
            </w:r>
          </w:p>
        </w:tc>
        <w:tc>
          <w:tcPr>
            <w:tcW w:type="dxa" w:w="1728"/>
            <w:shd w:val="clear" w:color="auto" w:fill="FFFFFF"/>
          </w:tcPr>
          <w:p>
            <w:r>
              <w:rPr>
                <w:color w:val="595959"/>
                <w:sz w:val="20"/>
              </w:rPr>
              <w:t>TBD</w:t>
            </w:r>
          </w:p>
        </w:tc>
      </w:tr>
    </w:tbl>
    <w:p/>
    <w:p>
      <w:pPr>
        <w:spacing w:before="40" w:after="80"/>
      </w:pPr>
      <w:r>
        <w:rPr>
          <w:color w:val="595959"/>
          <w:sz w:val="22"/>
        </w:rPr>
        <w:t>Yamanishi_e AUROC shown. Cross-dataset = luo_17 → yamanishi_e.</w:t>
      </w:r>
    </w:p>
    <w:p>
      <w:r>
        <w:br w:type="page"/>
      </w:r>
    </w:p>
    <w:p>
      <w:pPr>
        <w:spacing w:before="360" w:after="80"/>
        <w:pBdr>
          <w:bottom w:val="single" w:sz="6" w:space="1" w:color="1F497D"/>
        </w:pBdr>
      </w:pPr>
      <w:r>
        <w:rPr>
          <w:b/>
          <w:color w:val="1F497D"/>
          <w:sz w:val="32"/>
        </w:rPr>
        <w:t>7.  Phase 5 — Statistical Analysis and Full Ablation</w:t>
      </w:r>
    </w:p>
    <w:p>
      <w:pPr>
        <w:spacing w:before="40" w:after="80"/>
      </w:pPr>
      <w:r>
        <w:rPr>
          <w:color w:val="595959"/>
          <w:sz w:val="22"/>
        </w:rPr>
        <w:t>Phase 5 quantifies the isolated contribution of each Objective 2 component and tests whether improvements are statistically significant. This is required for the research paper to claim that each component adds value independently.</w:t>
      </w:r>
    </w:p>
    <w:p>
      <w:pPr>
        <w:spacing w:before="240" w:after="40"/>
      </w:pPr>
      <w:r>
        <w:rPr>
          <w:b/>
          <w:color w:val="007078"/>
          <w:sz w:val="26"/>
        </w:rPr>
        <w:t>7.1  Ablation Matrix</w:t>
      </w:r>
    </w:p>
    <w:p>
      <w:pPr>
        <w:spacing w:before="40" w:after="80"/>
      </w:pPr>
      <w:r>
        <w:rPr>
          <w:color w:val="595959"/>
          <w:sz w:val="22"/>
        </w:rPr>
        <w:t>Run the following six model configurations for 5 seeds each, on yamanishi_e (all 4 splits) and luo_17 (all 4 splits). Each configuration adds one component over the previous row:</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2160"/>
            <w:shd w:val="clear" w:color="auto" w:fill="1F497D"/>
          </w:tcPr>
          <w:p>
            <w:r>
              <w:rPr>
                <w:b/>
                <w:color w:val="FFFFFF"/>
                <w:sz w:val="20"/>
              </w:rPr>
              <w:t>Config</w:t>
            </w:r>
          </w:p>
        </w:tc>
        <w:tc>
          <w:tcPr>
            <w:tcW w:type="dxa" w:w="2448"/>
            <w:shd w:val="clear" w:color="auto" w:fill="1F497D"/>
          </w:tcPr>
          <w:p>
            <w:r>
              <w:rPr>
                <w:b/>
                <w:color w:val="FFFFFF"/>
                <w:sz w:val="20"/>
              </w:rPr>
              <w:t>Embedding</w:t>
            </w:r>
          </w:p>
        </w:tc>
        <w:tc>
          <w:tcPr>
            <w:tcW w:type="dxa" w:w="2160"/>
            <w:shd w:val="clear" w:color="auto" w:fill="1F497D"/>
          </w:tcPr>
          <w:p>
            <w:r>
              <w:rPr>
                <w:b/>
                <w:color w:val="FFFFFF"/>
                <w:sz w:val="20"/>
              </w:rPr>
              <w:t>Loss / Ratio</w:t>
            </w:r>
          </w:p>
        </w:tc>
        <w:tc>
          <w:tcPr>
            <w:tcW w:type="dxa" w:w="1872"/>
            <w:shd w:val="clear" w:color="auto" w:fill="1F497D"/>
          </w:tcPr>
          <w:p>
            <w:r>
              <w:rPr>
                <w:b/>
                <w:color w:val="FFFFFF"/>
                <w:sz w:val="20"/>
              </w:rPr>
              <w:t>Pretraining</w:t>
            </w:r>
          </w:p>
        </w:tc>
        <w:tc>
          <w:tcPr>
            <w:tcW w:type="dxa" w:w="1728"/>
            <w:shd w:val="clear" w:color="auto" w:fill="1F497D"/>
          </w:tcPr>
          <w:p>
            <w:r>
              <w:rPr>
                <w:b/>
                <w:color w:val="FFFFFF"/>
                <w:sz w:val="20"/>
              </w:rPr>
              <w:t>Expected vs. Baseline</w:t>
            </w:r>
          </w:p>
        </w:tc>
      </w:tr>
      <w:tr>
        <w:tc>
          <w:tcPr>
            <w:tcW w:type="dxa" w:w="2160"/>
            <w:shd w:val="clear" w:color="auto" w:fill="F2F7FF"/>
          </w:tcPr>
          <w:p>
            <w:r>
              <w:rPr>
                <w:color w:val="595959"/>
                <w:sz w:val="20"/>
              </w:rPr>
              <w:t>C0 — Obj. 1 baseline</w:t>
            </w:r>
          </w:p>
        </w:tc>
        <w:tc>
          <w:tcPr>
            <w:tcW w:type="dxa" w:w="2448"/>
            <w:shd w:val="clear" w:color="auto" w:fill="F2F7FF"/>
          </w:tcPr>
          <w:p>
            <w:r>
              <w:rPr>
                <w:color w:val="595959"/>
                <w:sz w:val="20"/>
              </w:rPr>
              <w:t>ChemBERTa + ESM-2 8M</w:t>
            </w:r>
          </w:p>
        </w:tc>
        <w:tc>
          <w:tcPr>
            <w:tcW w:type="dxa" w:w="2160"/>
            <w:shd w:val="clear" w:color="auto" w:fill="F2F7FF"/>
          </w:tcPr>
          <w:p>
            <w:r>
              <w:rPr>
                <w:color w:val="595959"/>
                <w:sz w:val="20"/>
              </w:rPr>
              <w:t>Focal γ=2 / 1:1</w:t>
            </w:r>
          </w:p>
        </w:tc>
        <w:tc>
          <w:tcPr>
            <w:tcW w:type="dxa" w:w="1872"/>
            <w:shd w:val="clear" w:color="auto" w:fill="F2F7FF"/>
          </w:tcPr>
          <w:p>
            <w:r>
              <w:rPr>
                <w:color w:val="595959"/>
                <w:sz w:val="20"/>
              </w:rPr>
              <w:t>None</w:t>
            </w:r>
          </w:p>
        </w:tc>
        <w:tc>
          <w:tcPr>
            <w:tcW w:type="dxa" w:w="1728"/>
            <w:shd w:val="clear" w:color="auto" w:fill="F2F7FF"/>
          </w:tcPr>
          <w:p>
            <w:r>
              <w:rPr>
                <w:color w:val="595959"/>
                <w:sz w:val="20"/>
              </w:rPr>
              <w:t>—</w:t>
            </w:r>
          </w:p>
        </w:tc>
      </w:tr>
      <w:tr>
        <w:tc>
          <w:tcPr>
            <w:tcW w:type="dxa" w:w="2160"/>
            <w:shd w:val="clear" w:color="auto" w:fill="FFFFFF"/>
          </w:tcPr>
          <w:p>
            <w:r>
              <w:rPr>
                <w:color w:val="595959"/>
                <w:sz w:val="20"/>
              </w:rPr>
              <w:t>C1 — Better embedding</w:t>
            </w:r>
          </w:p>
        </w:tc>
        <w:tc>
          <w:tcPr>
            <w:tcW w:type="dxa" w:w="2448"/>
            <w:shd w:val="clear" w:color="auto" w:fill="FFFFFF"/>
          </w:tcPr>
          <w:p>
            <w:r>
              <w:rPr>
                <w:color w:val="595959"/>
                <w:sz w:val="20"/>
              </w:rPr>
              <w:t>Best from Phase 1</w:t>
            </w:r>
          </w:p>
        </w:tc>
        <w:tc>
          <w:tcPr>
            <w:tcW w:type="dxa" w:w="2160"/>
            <w:shd w:val="clear" w:color="auto" w:fill="FFFFFF"/>
          </w:tcPr>
          <w:p>
            <w:r>
              <w:rPr>
                <w:color w:val="595959"/>
                <w:sz w:val="20"/>
              </w:rPr>
              <w:t>Focal γ=2 / 1:1</w:t>
            </w:r>
          </w:p>
        </w:tc>
        <w:tc>
          <w:tcPr>
            <w:tcW w:type="dxa" w:w="1872"/>
            <w:shd w:val="clear" w:color="auto" w:fill="FFFFFF"/>
          </w:tcPr>
          <w:p>
            <w:r>
              <w:rPr>
                <w:color w:val="595959"/>
                <w:sz w:val="20"/>
              </w:rPr>
              <w:t>None</w:t>
            </w:r>
          </w:p>
        </w:tc>
        <w:tc>
          <w:tcPr>
            <w:tcW w:type="dxa" w:w="1728"/>
            <w:shd w:val="clear" w:color="auto" w:fill="FFFFFF"/>
          </w:tcPr>
          <w:p>
            <w:r>
              <w:rPr>
                <w:color w:val="595959"/>
                <w:sz w:val="20"/>
              </w:rPr>
              <w:t>+Δ_embed</w:t>
            </w:r>
          </w:p>
        </w:tc>
      </w:tr>
      <w:tr>
        <w:tc>
          <w:tcPr>
            <w:tcW w:type="dxa" w:w="2160"/>
            <w:shd w:val="clear" w:color="auto" w:fill="F2F7FF"/>
          </w:tcPr>
          <w:p>
            <w:r>
              <w:rPr>
                <w:color w:val="595959"/>
                <w:sz w:val="20"/>
              </w:rPr>
              <w:t>C2 — Better imbalance</w:t>
            </w:r>
          </w:p>
        </w:tc>
        <w:tc>
          <w:tcPr>
            <w:tcW w:type="dxa" w:w="2448"/>
            <w:shd w:val="clear" w:color="auto" w:fill="F2F7FF"/>
          </w:tcPr>
          <w:p>
            <w:r>
              <w:rPr>
                <w:color w:val="595959"/>
                <w:sz w:val="20"/>
              </w:rPr>
              <w:t>Best from Phase 1</w:t>
            </w:r>
          </w:p>
        </w:tc>
        <w:tc>
          <w:tcPr>
            <w:tcW w:type="dxa" w:w="2160"/>
            <w:shd w:val="clear" w:color="auto" w:fill="F2F7FF"/>
          </w:tcPr>
          <w:p>
            <w:r>
              <w:rPr>
                <w:color w:val="595959"/>
                <w:sz w:val="20"/>
              </w:rPr>
              <w:t>Best from Phase 2</w:t>
            </w:r>
          </w:p>
        </w:tc>
        <w:tc>
          <w:tcPr>
            <w:tcW w:type="dxa" w:w="1872"/>
            <w:shd w:val="clear" w:color="auto" w:fill="F2F7FF"/>
          </w:tcPr>
          <w:p>
            <w:r>
              <w:rPr>
                <w:color w:val="595959"/>
                <w:sz w:val="20"/>
              </w:rPr>
              <w:t>None</w:t>
            </w:r>
          </w:p>
        </w:tc>
        <w:tc>
          <w:tcPr>
            <w:tcW w:type="dxa" w:w="1728"/>
            <w:shd w:val="clear" w:color="auto" w:fill="F2F7FF"/>
          </w:tcPr>
          <w:p>
            <w:r>
              <w:rPr>
                <w:color w:val="595959"/>
                <w:sz w:val="20"/>
              </w:rPr>
              <w:t>+Δ_imbal</w:t>
            </w:r>
          </w:p>
        </w:tc>
      </w:tr>
      <w:tr>
        <w:tc>
          <w:tcPr>
            <w:tcW w:type="dxa" w:w="2160"/>
            <w:shd w:val="clear" w:color="auto" w:fill="FFFFFF"/>
          </w:tcPr>
          <w:p>
            <w:r>
              <w:rPr>
                <w:color w:val="595959"/>
                <w:sz w:val="20"/>
              </w:rPr>
              <w:t>C3 — Pretraining</w:t>
            </w:r>
          </w:p>
        </w:tc>
        <w:tc>
          <w:tcPr>
            <w:tcW w:type="dxa" w:w="2448"/>
            <w:shd w:val="clear" w:color="auto" w:fill="FFFFFF"/>
          </w:tcPr>
          <w:p>
            <w:r>
              <w:rPr>
                <w:color w:val="595959"/>
                <w:sz w:val="20"/>
              </w:rPr>
              <w:t>Best from Phase 1</w:t>
            </w:r>
          </w:p>
        </w:tc>
        <w:tc>
          <w:tcPr>
            <w:tcW w:type="dxa" w:w="2160"/>
            <w:shd w:val="clear" w:color="auto" w:fill="FFFFFF"/>
          </w:tcPr>
          <w:p>
            <w:r>
              <w:rPr>
                <w:color w:val="595959"/>
                <w:sz w:val="20"/>
              </w:rPr>
              <w:t>Best from Phase 2</w:t>
            </w:r>
          </w:p>
        </w:tc>
        <w:tc>
          <w:tcPr>
            <w:tcW w:type="dxa" w:w="1872"/>
            <w:shd w:val="clear" w:color="auto" w:fill="FFFFFF"/>
          </w:tcPr>
          <w:p>
            <w:r>
              <w:rPr>
                <w:color w:val="595959"/>
                <w:sz w:val="20"/>
              </w:rPr>
              <w:t>BindingDB</w:t>
            </w:r>
          </w:p>
        </w:tc>
        <w:tc>
          <w:tcPr>
            <w:tcW w:type="dxa" w:w="1728"/>
            <w:shd w:val="clear" w:color="auto" w:fill="FFFFFF"/>
          </w:tcPr>
          <w:p>
            <w:r>
              <w:rPr>
                <w:color w:val="595959"/>
                <w:sz w:val="20"/>
              </w:rPr>
              <w:t>Best overall</w:t>
            </w:r>
          </w:p>
        </w:tc>
      </w:tr>
      <w:tr>
        <w:tc>
          <w:tcPr>
            <w:tcW w:type="dxa" w:w="2160"/>
            <w:shd w:val="clear" w:color="auto" w:fill="F2F7FF"/>
          </w:tcPr>
          <w:p>
            <w:r>
              <w:rPr>
                <w:color w:val="595959"/>
                <w:sz w:val="20"/>
              </w:rPr>
              <w:t>C4 — Contrastive (opt.)</w:t>
            </w:r>
          </w:p>
        </w:tc>
        <w:tc>
          <w:tcPr>
            <w:tcW w:type="dxa" w:w="2448"/>
            <w:shd w:val="clear" w:color="auto" w:fill="F2F7FF"/>
          </w:tcPr>
          <w:p>
            <w:r>
              <w:rPr>
                <w:color w:val="595959"/>
                <w:sz w:val="20"/>
              </w:rPr>
              <w:t>Best from Phase 1</w:t>
            </w:r>
          </w:p>
        </w:tc>
        <w:tc>
          <w:tcPr>
            <w:tcW w:type="dxa" w:w="2160"/>
            <w:shd w:val="clear" w:color="auto" w:fill="F2F7FF"/>
          </w:tcPr>
          <w:p>
            <w:r>
              <w:rPr>
                <w:color w:val="595959"/>
                <w:sz w:val="20"/>
              </w:rPr>
              <w:t>Best from Phase 2</w:t>
            </w:r>
          </w:p>
        </w:tc>
        <w:tc>
          <w:tcPr>
            <w:tcW w:type="dxa" w:w="1872"/>
            <w:shd w:val="clear" w:color="auto" w:fill="F2F7FF"/>
          </w:tcPr>
          <w:p>
            <w:r>
              <w:rPr>
                <w:color w:val="595959"/>
                <w:sz w:val="20"/>
              </w:rPr>
              <w:t>Contrastive</w:t>
            </w:r>
          </w:p>
        </w:tc>
        <w:tc>
          <w:tcPr>
            <w:tcW w:type="dxa" w:w="1728"/>
            <w:shd w:val="clear" w:color="auto" w:fill="F2F7FF"/>
          </w:tcPr>
          <w:p>
            <w:r>
              <w:rPr>
                <w:color w:val="595959"/>
                <w:sz w:val="20"/>
              </w:rPr>
              <w:t>vs. C3</w:t>
            </w:r>
          </w:p>
        </w:tc>
      </w:tr>
      <w:tr>
        <w:tc>
          <w:tcPr>
            <w:tcW w:type="dxa" w:w="2160"/>
            <w:shd w:val="clear" w:color="auto" w:fill="FFFFFF"/>
          </w:tcPr>
          <w:p>
            <w:r>
              <w:rPr>
                <w:color w:val="595959"/>
                <w:sz w:val="20"/>
              </w:rPr>
              <w:t>C5 — All components</w:t>
            </w:r>
          </w:p>
        </w:tc>
        <w:tc>
          <w:tcPr>
            <w:tcW w:type="dxa" w:w="2448"/>
            <w:shd w:val="clear" w:color="auto" w:fill="FFFFFF"/>
          </w:tcPr>
          <w:p>
            <w:r>
              <w:rPr>
                <w:color w:val="595959"/>
                <w:sz w:val="20"/>
              </w:rPr>
              <w:t>Best from Phase 1</w:t>
            </w:r>
          </w:p>
        </w:tc>
        <w:tc>
          <w:tcPr>
            <w:tcW w:type="dxa" w:w="2160"/>
            <w:shd w:val="clear" w:color="auto" w:fill="FFFFFF"/>
          </w:tcPr>
          <w:p>
            <w:r>
              <w:rPr>
                <w:color w:val="595959"/>
                <w:sz w:val="20"/>
              </w:rPr>
              <w:t>Best from Phase 2</w:t>
            </w:r>
          </w:p>
        </w:tc>
        <w:tc>
          <w:tcPr>
            <w:tcW w:type="dxa" w:w="1872"/>
            <w:shd w:val="clear" w:color="auto" w:fill="FFFFFF"/>
          </w:tcPr>
          <w:p>
            <w:r>
              <w:rPr>
                <w:color w:val="595959"/>
                <w:sz w:val="20"/>
              </w:rPr>
              <w:t>BindingDB + contrastive</w:t>
            </w:r>
          </w:p>
        </w:tc>
        <w:tc>
          <w:tcPr>
            <w:tcW w:type="dxa" w:w="1728"/>
            <w:shd w:val="clear" w:color="auto" w:fill="FFFFFF"/>
          </w:tcPr>
          <w:p>
            <w:r>
              <w:rPr>
                <w:color w:val="595959"/>
                <w:sz w:val="20"/>
              </w:rPr>
              <w:t>Ceiling</w:t>
            </w:r>
          </w:p>
        </w:tc>
      </w:tr>
    </w:tbl>
    <w:p/>
    <w:p>
      <w:pPr>
        <w:spacing w:before="240" w:after="40"/>
      </w:pPr>
      <w:r>
        <w:rPr>
          <w:b/>
          <w:color w:val="007078"/>
          <w:sz w:val="26"/>
        </w:rPr>
        <w:t>7.2  Statistical Testing Protocol</w:t>
      </w:r>
    </w:p>
    <w:p>
      <w:pPr>
        <w:spacing w:before="40" w:after="80"/>
      </w:pPr>
      <w:r>
        <w:rPr>
          <w:color w:val="595959"/>
          <w:sz w:val="22"/>
        </w:rPr>
        <w:t>The same paired t-test framework used in Objective 1 applies:</w:t>
      </w:r>
    </w:p>
    <w:p>
      <w:pPr>
        <w:pStyle w:val="ListBullet"/>
        <w:spacing w:before="20" w:after="20"/>
        <w:ind w:left="454"/>
      </w:pPr>
      <w:r>
        <w:rPr>
          <w:color w:val="595959"/>
          <w:sz w:val="22"/>
        </w:rPr>
        <w:t>n = 5 seeds per configuration (same seeds as Obj. 1: seeds 1–5).</w:t>
      </w:r>
    </w:p>
    <w:p>
      <w:pPr>
        <w:pStyle w:val="ListBullet"/>
        <w:spacing w:before="20" w:after="20"/>
        <w:ind w:left="454"/>
      </w:pPr>
      <w:r>
        <w:rPr>
          <w:color w:val="595959"/>
          <w:sz w:val="22"/>
        </w:rPr>
        <w:t>Test: scipy.stats.ttest_rel(config_X, config_0) for each metric and split.</w:t>
      </w:r>
    </w:p>
    <w:p>
      <w:pPr>
        <w:pStyle w:val="ListBullet"/>
        <w:spacing w:before="20" w:after="20"/>
        <w:ind w:left="454"/>
      </w:pPr>
      <w:r>
        <w:rPr>
          <w:color w:val="595959"/>
          <w:sz w:val="22"/>
        </w:rPr>
        <w:t>α = 0.05 two-tailed; df = 4. Report t-statistic and p-value.</w:t>
      </w:r>
    </w:p>
    <w:p>
      <w:pPr>
        <w:pStyle w:val="ListBullet"/>
        <w:spacing w:before="20" w:after="20"/>
        <w:ind w:left="454"/>
      </w:pPr>
      <w:r>
        <w:rPr>
          <w:color w:val="595959"/>
          <w:sz w:val="22"/>
        </w:rPr>
        <w:t>Significance indicators: ✓✓ p &lt; 0.01,  ✓ p &lt; 0.05,  n.s. not significant.</w:t>
      </w:r>
    </w:p>
    <w:p>
      <w:pPr>
        <w:pStyle w:val="ListBullet"/>
        <w:spacing w:before="20" w:after="20"/>
        <w:ind w:left="454"/>
      </w:pPr>
      <w:r>
        <w:rPr>
          <w:color w:val="595959"/>
          <w:sz w:val="22"/>
        </w:rPr>
        <w:t>Metrics: AUROC and AUPRC for DTI; MSE and Pearson r for DTA.</w:t>
      </w:r>
    </w:p>
    <w:p>
      <w:pPr>
        <w:spacing w:before="240" w:after="40"/>
      </w:pPr>
      <w:r>
        <w:rPr>
          <w:b/>
          <w:color w:val="007078"/>
          <w:sz w:val="26"/>
        </w:rPr>
        <w:t>7.3  Reporting Format</w:t>
      </w:r>
    </w:p>
    <w:p>
      <w:pPr>
        <w:spacing w:before="40" w:after="80"/>
      </w:pPr>
      <w:r>
        <w:rPr>
          <w:color w:val="595959"/>
          <w:sz w:val="22"/>
        </w:rPr>
        <w:t>For each dataset and split, produce a table with all six configurations and their statistical significance relative to C0 (Objective 1 baseline). This directly answers Objective 2's research question: which combination most significantly improves cold-start generalisation?</w:t>
      </w:r>
    </w:p>
    <w:p>
      <w:pPr>
        <w:spacing w:before="120" w:after="120"/>
        <w:ind w:left="567"/>
        <w:pBdr>
          <w:left w:val="single" w:sz="12" w:space="6" w:color="007078"/>
        </w:pBdr>
      </w:pPr>
      <w:r>
        <w:rPr>
          <w:i/>
          <w:color w:val="595959"/>
          <w:sz w:val="21"/>
        </w:rPr>
        <w:t>If C1 alone (better embedding) already gives p &lt; 0.05 improvement, report that as the minimum viable Objective 2 result. Each additional component (C2, C3) either adds further improvement or confirms that its contribution is marginal.</w:t>
      </w:r>
    </w:p>
    <w:p>
      <w:pPr>
        <w:spacing w:before="240" w:after="40"/>
      </w:pPr>
      <w:r>
        <w:rPr>
          <w:b/>
          <w:color w:val="007078"/>
          <w:sz w:val="26"/>
        </w:rPr>
        <w:t>7.4  Analysis Script</w:t>
      </w:r>
    </w:p>
    <w:p>
      <w:pPr>
        <w:spacing w:before="40" w:after="80"/>
      </w:pPr>
      <w:r>
        <w:rPr>
          <w:color w:val="595959"/>
          <w:sz w:val="22"/>
        </w:rPr>
        <w:t>Extend compute_dta_stats.py into a new script compute_objective2_stats.py that:</w:t>
      </w:r>
    </w:p>
    <w:p>
      <w:pPr>
        <w:pStyle w:val="ListBullet"/>
        <w:spacing w:before="20" w:after="20"/>
        <w:ind w:left="454"/>
      </w:pPr>
      <w:r>
        <w:rPr>
          <w:color w:val="595959"/>
          <w:sz w:val="22"/>
        </w:rPr>
        <w:t>Loads results for all six configurations (each has 5 seed JSON files).</w:t>
      </w:r>
    </w:p>
    <w:p>
      <w:pPr>
        <w:pStyle w:val="ListBullet"/>
        <w:spacing w:before="20" w:after="20"/>
        <w:ind w:left="454"/>
      </w:pPr>
      <w:r>
        <w:rPr>
          <w:color w:val="595959"/>
          <w:sz w:val="22"/>
        </w:rPr>
        <w:t>Computes mean ± std (ddof=1) for all metrics across seeds.</w:t>
      </w:r>
    </w:p>
    <w:p>
      <w:pPr>
        <w:pStyle w:val="ListBullet"/>
        <w:spacing w:before="20" w:after="20"/>
        <w:ind w:left="454"/>
      </w:pPr>
      <w:r>
        <w:rPr>
          <w:color w:val="595959"/>
          <w:sz w:val="22"/>
        </w:rPr>
        <w:t>Runs paired t-tests for each configuration vs. C0 on each metric and split.</w:t>
      </w:r>
    </w:p>
    <w:p>
      <w:pPr>
        <w:pStyle w:val="ListBullet"/>
        <w:spacing w:before="20" w:after="20"/>
        <w:ind w:left="454"/>
      </w:pPr>
      <w:r>
        <w:rPr>
          <w:color w:val="595959"/>
          <w:sz w:val="22"/>
        </w:rPr>
        <w:t>Outputs a formatted LaTeX-ready table for the research paper.</w:t>
      </w:r>
    </w:p>
    <w:p>
      <w:pPr>
        <w:spacing w:before="20" w:after="20"/>
        <w:ind w:left="454"/>
      </w:pPr>
      <w:r>
        <w:rPr>
          <w:b/>
          <w:color w:val="C55A11"/>
          <w:sz w:val="22"/>
        </w:rPr>
        <w:t xml:space="preserve">○  </w:t>
      </w:r>
      <w:r>
        <w:rPr>
          <w:color w:val="595959"/>
          <w:sz w:val="22"/>
        </w:rPr>
        <w:t>Write compute_objective2_stats.py after all Phase 1–4 results are collected.</w:t>
      </w:r>
    </w:p>
    <w:p>
      <w:r>
        <w:br w:type="page"/>
      </w:r>
    </w:p>
    <w:p>
      <w:pPr>
        <w:spacing w:before="360" w:after="80"/>
        <w:pBdr>
          <w:bottom w:val="single" w:sz="6" w:space="1" w:color="1F497D"/>
        </w:pBdr>
      </w:pPr>
      <w:r>
        <w:rPr>
          <w:b/>
          <w:color w:val="1F497D"/>
          <w:sz w:val="32"/>
        </w:rPr>
        <w:t>8.  Execution Roadmap</w:t>
      </w:r>
    </w:p>
    <w:p>
      <w:pPr>
        <w:spacing w:before="40" w:after="80"/>
      </w:pPr>
      <w:r>
        <w:rPr>
          <w:color w:val="595959"/>
          <w:sz w:val="22"/>
        </w:rPr>
        <w:t>The phases can be partially parallelised. The dependency chain is: Phase 1 must complete before Phase 5 (which requires knowing the best embedding). Phase 2 and Phase 1 can run in parallel since they only share the embedding preprocessing. Phase 3 depends on BindingDB preprocessing, which requires GPU access.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864"/>
            <w:shd w:val="clear" w:color="auto" w:fill="1F497D"/>
          </w:tcPr>
          <w:p>
            <w:r>
              <w:rPr>
                <w:b/>
                <w:color w:val="FFFFFF"/>
                <w:sz w:val="20"/>
              </w:rPr>
              <w:t>Phase</w:t>
            </w:r>
          </w:p>
        </w:tc>
        <w:tc>
          <w:tcPr>
            <w:tcW w:type="dxa" w:w="3168"/>
            <w:shd w:val="clear" w:color="auto" w:fill="1F497D"/>
          </w:tcPr>
          <w:p>
            <w:r>
              <w:rPr>
                <w:b/>
                <w:color w:val="FFFFFF"/>
                <w:sz w:val="20"/>
              </w:rPr>
              <w:t>Task</w:t>
            </w:r>
          </w:p>
        </w:tc>
        <w:tc>
          <w:tcPr>
            <w:tcW w:type="dxa" w:w="2160"/>
            <w:shd w:val="clear" w:color="auto" w:fill="1F497D"/>
          </w:tcPr>
          <w:p>
            <w:r>
              <w:rPr>
                <w:b/>
                <w:color w:val="FFFFFF"/>
                <w:sz w:val="20"/>
              </w:rPr>
              <w:t>Prerequisite</w:t>
            </w:r>
          </w:p>
        </w:tc>
        <w:tc>
          <w:tcPr>
            <w:tcW w:type="dxa" w:w="1872"/>
            <w:shd w:val="clear" w:color="auto" w:fill="1F497D"/>
          </w:tcPr>
          <w:p>
            <w:r>
              <w:rPr>
                <w:b/>
                <w:color w:val="FFFFFF"/>
                <w:sz w:val="20"/>
              </w:rPr>
              <w:t>Estimated Effort</w:t>
            </w:r>
          </w:p>
        </w:tc>
        <w:tc>
          <w:tcPr>
            <w:tcW w:type="dxa" w:w="1440"/>
            <w:shd w:val="clear" w:color="auto" w:fill="1F497D"/>
          </w:tcPr>
          <w:p>
            <w:r>
              <w:rPr>
                <w:b/>
                <w:color w:val="FFFFFF"/>
                <w:sz w:val="20"/>
              </w:rPr>
              <w:t>GPU Needed?</w:t>
            </w:r>
          </w:p>
        </w:tc>
      </w:tr>
      <w:tr>
        <w:tc>
          <w:tcPr>
            <w:tcW w:type="dxa" w:w="864"/>
            <w:shd w:val="clear" w:color="auto" w:fill="F2F7FF"/>
          </w:tcPr>
          <w:p>
            <w:r>
              <w:rPr>
                <w:color w:val="595959"/>
                <w:sz w:val="20"/>
              </w:rPr>
              <w:t>1A</w:t>
            </w:r>
          </w:p>
        </w:tc>
        <w:tc>
          <w:tcPr>
            <w:tcW w:type="dxa" w:w="3168"/>
            <w:shd w:val="clear" w:color="auto" w:fill="F2F7FF"/>
          </w:tcPr>
          <w:p>
            <w:r>
              <w:rPr>
                <w:color w:val="595959"/>
                <w:sz w:val="20"/>
              </w:rPr>
              <w:t>Re-preprocess proteins with ESM-2 150M</w:t>
            </w:r>
          </w:p>
        </w:tc>
        <w:tc>
          <w:tcPr>
            <w:tcW w:type="dxa" w:w="2160"/>
            <w:shd w:val="clear" w:color="auto" w:fill="F2F7FF"/>
          </w:tcPr>
          <w:p>
            <w:r>
              <w:rPr>
                <w:color w:val="595959"/>
                <w:sz w:val="20"/>
              </w:rPr>
              <w:t>None</w:t>
            </w:r>
          </w:p>
        </w:tc>
        <w:tc>
          <w:tcPr>
            <w:tcW w:type="dxa" w:w="1872"/>
            <w:shd w:val="clear" w:color="auto" w:fill="F2F7FF"/>
          </w:tcPr>
          <w:p>
            <w:r>
              <w:rPr>
                <w:color w:val="595959"/>
                <w:sz w:val="20"/>
              </w:rPr>
              <w:t>~2–4h CPU</w:t>
            </w:r>
          </w:p>
        </w:tc>
        <w:tc>
          <w:tcPr>
            <w:tcW w:type="dxa" w:w="1440"/>
            <w:shd w:val="clear" w:color="auto" w:fill="F2F7FF"/>
          </w:tcPr>
          <w:p>
            <w:r>
              <w:rPr>
                <w:color w:val="595959"/>
                <w:sz w:val="20"/>
              </w:rPr>
              <w:t>No</w:t>
            </w:r>
          </w:p>
        </w:tc>
      </w:tr>
      <w:tr>
        <w:tc>
          <w:tcPr>
            <w:tcW w:type="dxa" w:w="864"/>
            <w:shd w:val="clear" w:color="auto" w:fill="FFFFFF"/>
          </w:tcPr>
          <w:p>
            <w:r>
              <w:rPr>
                <w:color w:val="595959"/>
                <w:sz w:val="20"/>
              </w:rPr>
              <w:t>1B</w:t>
            </w:r>
          </w:p>
        </w:tc>
        <w:tc>
          <w:tcPr>
            <w:tcW w:type="dxa" w:w="3168"/>
            <w:shd w:val="clear" w:color="auto" w:fill="FFFFFF"/>
          </w:tcPr>
          <w:p>
            <w:r>
              <w:rPr>
                <w:color w:val="595959"/>
                <w:sz w:val="20"/>
              </w:rPr>
              <w:t>Re-preprocess proteins with ESM-2 650M (yamanishi_e)</w:t>
            </w:r>
          </w:p>
        </w:tc>
        <w:tc>
          <w:tcPr>
            <w:tcW w:type="dxa" w:w="2160"/>
            <w:shd w:val="clear" w:color="auto" w:fill="FFFFFF"/>
          </w:tcPr>
          <w:p>
            <w:r>
              <w:rPr>
                <w:color w:val="595959"/>
                <w:sz w:val="20"/>
              </w:rPr>
              <w:t>None</w:t>
            </w:r>
          </w:p>
        </w:tc>
        <w:tc>
          <w:tcPr>
            <w:tcW w:type="dxa" w:w="1872"/>
            <w:shd w:val="clear" w:color="auto" w:fill="FFFFFF"/>
          </w:tcPr>
          <w:p>
            <w:r>
              <w:rPr>
                <w:color w:val="595959"/>
                <w:sz w:val="20"/>
              </w:rPr>
              <w:t>~4–8h CPU</w:t>
            </w:r>
          </w:p>
        </w:tc>
        <w:tc>
          <w:tcPr>
            <w:tcW w:type="dxa" w:w="1440"/>
            <w:shd w:val="clear" w:color="auto" w:fill="FFFFFF"/>
          </w:tcPr>
          <w:p>
            <w:r>
              <w:rPr>
                <w:color w:val="595959"/>
                <w:sz w:val="20"/>
              </w:rPr>
              <w:t>Recommended</w:t>
            </w:r>
          </w:p>
        </w:tc>
      </w:tr>
      <w:tr>
        <w:tc>
          <w:tcPr>
            <w:tcW w:type="dxa" w:w="864"/>
            <w:shd w:val="clear" w:color="auto" w:fill="F2F7FF"/>
          </w:tcPr>
          <w:p>
            <w:r>
              <w:rPr>
                <w:color w:val="595959"/>
                <w:sz w:val="20"/>
              </w:rPr>
              <w:t>1C</w:t>
            </w:r>
          </w:p>
        </w:tc>
        <w:tc>
          <w:tcPr>
            <w:tcW w:type="dxa" w:w="3168"/>
            <w:shd w:val="clear" w:color="auto" w:fill="F2F7FF"/>
          </w:tcPr>
          <w:p>
            <w:r>
              <w:rPr>
                <w:color w:val="595959"/>
                <w:sz w:val="20"/>
              </w:rPr>
              <w:t>Train P1-B, P1-C configs (5 seeds × 2 datasets × 4 splits)</w:t>
            </w:r>
          </w:p>
        </w:tc>
        <w:tc>
          <w:tcPr>
            <w:tcW w:type="dxa" w:w="2160"/>
            <w:shd w:val="clear" w:color="auto" w:fill="F2F7FF"/>
          </w:tcPr>
          <w:p>
            <w:r>
              <w:rPr>
                <w:color w:val="595959"/>
                <w:sz w:val="20"/>
              </w:rPr>
              <w:t>Phase 1A/1B</w:t>
            </w:r>
          </w:p>
        </w:tc>
        <w:tc>
          <w:tcPr>
            <w:tcW w:type="dxa" w:w="1872"/>
            <w:shd w:val="clear" w:color="auto" w:fill="F2F7FF"/>
          </w:tcPr>
          <w:p>
            <w:r>
              <w:rPr>
                <w:color w:val="595959"/>
                <w:sz w:val="20"/>
              </w:rPr>
              <w:t>~2–4 days CPU</w:t>
            </w:r>
          </w:p>
        </w:tc>
        <w:tc>
          <w:tcPr>
            <w:tcW w:type="dxa" w:w="1440"/>
            <w:shd w:val="clear" w:color="auto" w:fill="F2F7FF"/>
          </w:tcPr>
          <w:p>
            <w:r>
              <w:rPr>
                <w:color w:val="595959"/>
                <w:sz w:val="20"/>
              </w:rPr>
              <w:t>Strongly recommended</w:t>
            </w:r>
          </w:p>
        </w:tc>
      </w:tr>
      <w:tr>
        <w:tc>
          <w:tcPr>
            <w:tcW w:type="dxa" w:w="864"/>
            <w:shd w:val="clear" w:color="auto" w:fill="FFFFFF"/>
          </w:tcPr>
          <w:p>
            <w:r>
              <w:rPr>
                <w:color w:val="595959"/>
                <w:sz w:val="20"/>
              </w:rPr>
              <w:t>1D</w:t>
            </w:r>
          </w:p>
        </w:tc>
        <w:tc>
          <w:tcPr>
            <w:tcW w:type="dxa" w:w="3168"/>
            <w:shd w:val="clear" w:color="auto" w:fill="FFFFFF"/>
          </w:tcPr>
          <w:p>
            <w:r>
              <w:rPr>
                <w:color w:val="595959"/>
                <w:sz w:val="20"/>
              </w:rPr>
              <w:t>Install ProtT5; preprocess proteins; train P1-D</w:t>
            </w:r>
          </w:p>
        </w:tc>
        <w:tc>
          <w:tcPr>
            <w:tcW w:type="dxa" w:w="2160"/>
            <w:shd w:val="clear" w:color="auto" w:fill="FFFFFF"/>
          </w:tcPr>
          <w:p>
            <w:r>
              <w:rPr>
                <w:color w:val="595959"/>
                <w:sz w:val="20"/>
              </w:rPr>
              <w:t>Phase 1C</w:t>
            </w:r>
          </w:p>
        </w:tc>
        <w:tc>
          <w:tcPr>
            <w:tcW w:type="dxa" w:w="1872"/>
            <w:shd w:val="clear" w:color="auto" w:fill="FFFFFF"/>
          </w:tcPr>
          <w:p>
            <w:r>
              <w:rPr>
                <w:color w:val="595959"/>
                <w:sz w:val="20"/>
              </w:rPr>
              <w:t>~1 week CPU</w:t>
            </w:r>
          </w:p>
        </w:tc>
        <w:tc>
          <w:tcPr>
            <w:tcW w:type="dxa" w:w="1440"/>
            <w:shd w:val="clear" w:color="auto" w:fill="FFFFFF"/>
          </w:tcPr>
          <w:p>
            <w:r>
              <w:rPr>
                <w:color w:val="595959"/>
                <w:sz w:val="20"/>
              </w:rPr>
              <w:t>Yes (ProtT5 inference)</w:t>
            </w:r>
          </w:p>
        </w:tc>
      </w:tr>
      <w:tr>
        <w:tc>
          <w:tcPr>
            <w:tcW w:type="dxa" w:w="864"/>
            <w:shd w:val="clear" w:color="auto" w:fill="F2F7FF"/>
          </w:tcPr>
          <w:p>
            <w:r>
              <w:rPr>
                <w:color w:val="595959"/>
                <w:sz w:val="20"/>
              </w:rPr>
              <w:t>2A</w:t>
            </w:r>
          </w:p>
        </w:tc>
        <w:tc>
          <w:tcPr>
            <w:tcW w:type="dxa" w:w="3168"/>
            <w:shd w:val="clear" w:color="auto" w:fill="F2F7FF"/>
          </w:tcPr>
          <w:p>
            <w:r>
              <w:rPr>
                <w:color w:val="595959"/>
                <w:sz w:val="20"/>
              </w:rPr>
              <w:t>Modify label sampling ratio; train P2-F, P2-G (1:5, 1:10)</w:t>
            </w:r>
          </w:p>
        </w:tc>
        <w:tc>
          <w:tcPr>
            <w:tcW w:type="dxa" w:w="2160"/>
            <w:shd w:val="clear" w:color="auto" w:fill="F2F7FF"/>
          </w:tcPr>
          <w:p>
            <w:r>
              <w:rPr>
                <w:color w:val="595959"/>
                <w:sz w:val="20"/>
              </w:rPr>
              <w:t>Phase 1 results</w:t>
            </w:r>
          </w:p>
        </w:tc>
        <w:tc>
          <w:tcPr>
            <w:tcW w:type="dxa" w:w="1872"/>
            <w:shd w:val="clear" w:color="auto" w:fill="F2F7FF"/>
          </w:tcPr>
          <w:p>
            <w:r>
              <w:rPr>
                <w:color w:val="595959"/>
                <w:sz w:val="20"/>
              </w:rPr>
              <w:t>~1–2 days CPU</w:t>
            </w:r>
          </w:p>
        </w:tc>
        <w:tc>
          <w:tcPr>
            <w:tcW w:type="dxa" w:w="1440"/>
            <w:shd w:val="clear" w:color="auto" w:fill="F2F7FF"/>
          </w:tcPr>
          <w:p>
            <w:r>
              <w:rPr>
                <w:color w:val="595959"/>
                <w:sz w:val="20"/>
              </w:rPr>
              <w:t>No</w:t>
            </w:r>
          </w:p>
        </w:tc>
      </w:tr>
      <w:tr>
        <w:tc>
          <w:tcPr>
            <w:tcW w:type="dxa" w:w="864"/>
            <w:shd w:val="clear" w:color="auto" w:fill="FFFFFF"/>
          </w:tcPr>
          <w:p>
            <w:r>
              <w:rPr>
                <w:color w:val="595959"/>
                <w:sz w:val="20"/>
              </w:rPr>
              <w:t>2B</w:t>
            </w:r>
          </w:p>
        </w:tc>
        <w:tc>
          <w:tcPr>
            <w:tcW w:type="dxa" w:w="3168"/>
            <w:shd w:val="clear" w:color="auto" w:fill="FFFFFF"/>
          </w:tcPr>
          <w:p>
            <w:r>
              <w:rPr>
                <w:color w:val="595959"/>
                <w:sz w:val="20"/>
              </w:rPr>
              <w:t>Implement Weighted BCE; train P2-B</w:t>
            </w:r>
          </w:p>
        </w:tc>
        <w:tc>
          <w:tcPr>
            <w:tcW w:type="dxa" w:w="2160"/>
            <w:shd w:val="clear" w:color="auto" w:fill="FFFFFF"/>
          </w:tcPr>
          <w:p>
            <w:r>
              <w:rPr>
                <w:color w:val="595959"/>
                <w:sz w:val="20"/>
              </w:rPr>
              <w:t>None</w:t>
            </w:r>
          </w:p>
        </w:tc>
        <w:tc>
          <w:tcPr>
            <w:tcW w:type="dxa" w:w="1872"/>
            <w:shd w:val="clear" w:color="auto" w:fill="FFFFFF"/>
          </w:tcPr>
          <w:p>
            <w:r>
              <w:rPr>
                <w:color w:val="595959"/>
                <w:sz w:val="20"/>
              </w:rPr>
              <w:t>~1 day CPU</w:t>
            </w:r>
          </w:p>
        </w:tc>
        <w:tc>
          <w:tcPr>
            <w:tcW w:type="dxa" w:w="1440"/>
            <w:shd w:val="clear" w:color="auto" w:fill="FFFFFF"/>
          </w:tcPr>
          <w:p>
            <w:r>
              <w:rPr>
                <w:color w:val="595959"/>
                <w:sz w:val="20"/>
              </w:rPr>
              <w:t>No</w:t>
            </w:r>
          </w:p>
        </w:tc>
      </w:tr>
      <w:tr>
        <w:tc>
          <w:tcPr>
            <w:tcW w:type="dxa" w:w="864"/>
            <w:shd w:val="clear" w:color="auto" w:fill="F2F7FF"/>
          </w:tcPr>
          <w:p>
            <w:r>
              <w:rPr>
                <w:color w:val="595959"/>
                <w:sz w:val="20"/>
              </w:rPr>
              <w:t>3A</w:t>
            </w:r>
          </w:p>
        </w:tc>
        <w:tc>
          <w:tcPr>
            <w:tcW w:type="dxa" w:w="3168"/>
            <w:shd w:val="clear" w:color="auto" w:fill="F2F7FF"/>
          </w:tcPr>
          <w:p>
            <w:r>
              <w:rPr>
                <w:color w:val="595959"/>
                <w:sz w:val="20"/>
              </w:rPr>
              <w:t>Preprocess BindingDB drug graphs and proteins</w:t>
            </w:r>
          </w:p>
        </w:tc>
        <w:tc>
          <w:tcPr>
            <w:tcW w:type="dxa" w:w="2160"/>
            <w:shd w:val="clear" w:color="auto" w:fill="F2F7FF"/>
          </w:tcPr>
          <w:p>
            <w:r>
              <w:rPr>
                <w:color w:val="595959"/>
                <w:sz w:val="20"/>
              </w:rPr>
              <w:t>GPU access</w:t>
            </w:r>
          </w:p>
        </w:tc>
        <w:tc>
          <w:tcPr>
            <w:tcW w:type="dxa" w:w="1872"/>
            <w:shd w:val="clear" w:color="auto" w:fill="F2F7FF"/>
          </w:tcPr>
          <w:p>
            <w:r>
              <w:rPr>
                <w:color w:val="595959"/>
                <w:sz w:val="20"/>
              </w:rPr>
              <w:t>~1–2 days GPU</w:t>
            </w:r>
          </w:p>
        </w:tc>
        <w:tc>
          <w:tcPr>
            <w:tcW w:type="dxa" w:w="1440"/>
            <w:shd w:val="clear" w:color="auto" w:fill="F2F7FF"/>
          </w:tcPr>
          <w:p>
            <w:r>
              <w:rPr>
                <w:color w:val="595959"/>
                <w:sz w:val="20"/>
              </w:rPr>
              <w:t>Yes</w:t>
            </w:r>
          </w:p>
        </w:tc>
      </w:tr>
      <w:tr>
        <w:tc>
          <w:tcPr>
            <w:tcW w:type="dxa" w:w="864"/>
            <w:shd w:val="clear" w:color="auto" w:fill="FFFFFF"/>
          </w:tcPr>
          <w:p>
            <w:r>
              <w:rPr>
                <w:color w:val="595959"/>
                <w:sz w:val="20"/>
              </w:rPr>
              <w:t>3B</w:t>
            </w:r>
          </w:p>
        </w:tc>
        <w:tc>
          <w:tcPr>
            <w:tcW w:type="dxa" w:w="3168"/>
            <w:shd w:val="clear" w:color="auto" w:fill="FFFFFF"/>
          </w:tcPr>
          <w:p>
            <w:r>
              <w:rPr>
                <w:color w:val="595959"/>
                <w:sz w:val="20"/>
              </w:rPr>
              <w:t>Pretrain H-GNN-RNN-DTI on BindingDB (supervised)</w:t>
            </w:r>
          </w:p>
        </w:tc>
        <w:tc>
          <w:tcPr>
            <w:tcW w:type="dxa" w:w="2160"/>
            <w:shd w:val="clear" w:color="auto" w:fill="FFFFFF"/>
          </w:tcPr>
          <w:p>
            <w:r>
              <w:rPr>
                <w:color w:val="595959"/>
                <w:sz w:val="20"/>
              </w:rPr>
              <w:t>Phase 3A</w:t>
            </w:r>
          </w:p>
        </w:tc>
        <w:tc>
          <w:tcPr>
            <w:tcW w:type="dxa" w:w="1872"/>
            <w:shd w:val="clear" w:color="auto" w:fill="FFFFFF"/>
          </w:tcPr>
          <w:p>
            <w:r>
              <w:rPr>
                <w:color w:val="595959"/>
                <w:sz w:val="20"/>
              </w:rPr>
              <w:t>~1–3 days GPU</w:t>
            </w:r>
          </w:p>
        </w:tc>
        <w:tc>
          <w:tcPr>
            <w:tcW w:type="dxa" w:w="1440"/>
            <w:shd w:val="clear" w:color="auto" w:fill="FFFFFF"/>
          </w:tcPr>
          <w:p>
            <w:r>
              <w:rPr>
                <w:color w:val="595959"/>
                <w:sz w:val="20"/>
              </w:rPr>
              <w:t>Yes</w:t>
            </w:r>
          </w:p>
        </w:tc>
      </w:tr>
      <w:tr>
        <w:tc>
          <w:tcPr>
            <w:tcW w:type="dxa" w:w="864"/>
            <w:shd w:val="clear" w:color="auto" w:fill="F2F7FF"/>
          </w:tcPr>
          <w:p>
            <w:r>
              <w:rPr>
                <w:color w:val="595959"/>
                <w:sz w:val="20"/>
              </w:rPr>
              <w:t>3C</w:t>
            </w:r>
          </w:p>
        </w:tc>
        <w:tc>
          <w:tcPr>
            <w:tcW w:type="dxa" w:w="3168"/>
            <w:shd w:val="clear" w:color="auto" w:fill="F2F7FF"/>
          </w:tcPr>
          <w:p>
            <w:r>
              <w:rPr>
                <w:color w:val="595959"/>
                <w:sz w:val="20"/>
              </w:rPr>
              <w:t>Fine-tune on yamanishi_e, luo_17, Davis, KIBA (P3-B/D/E)</w:t>
            </w:r>
          </w:p>
        </w:tc>
        <w:tc>
          <w:tcPr>
            <w:tcW w:type="dxa" w:w="2160"/>
            <w:shd w:val="clear" w:color="auto" w:fill="F2F7FF"/>
          </w:tcPr>
          <w:p>
            <w:r>
              <w:rPr>
                <w:color w:val="595959"/>
                <w:sz w:val="20"/>
              </w:rPr>
              <w:t>Phase 3B</w:t>
            </w:r>
          </w:p>
        </w:tc>
        <w:tc>
          <w:tcPr>
            <w:tcW w:type="dxa" w:w="1872"/>
            <w:shd w:val="clear" w:color="auto" w:fill="F2F7FF"/>
          </w:tcPr>
          <w:p>
            <w:r>
              <w:rPr>
                <w:color w:val="595959"/>
                <w:sz w:val="20"/>
              </w:rPr>
              <w:t>~2–4 days CPU/GPU</w:t>
            </w:r>
          </w:p>
        </w:tc>
        <w:tc>
          <w:tcPr>
            <w:tcW w:type="dxa" w:w="1440"/>
            <w:shd w:val="clear" w:color="auto" w:fill="F2F7FF"/>
          </w:tcPr>
          <w:p>
            <w:r>
              <w:rPr>
                <w:color w:val="595959"/>
                <w:sz w:val="20"/>
              </w:rPr>
              <w:t>Recommended</w:t>
            </w:r>
          </w:p>
        </w:tc>
      </w:tr>
      <w:tr>
        <w:tc>
          <w:tcPr>
            <w:tcW w:type="dxa" w:w="864"/>
            <w:shd w:val="clear" w:color="auto" w:fill="FFFFFF"/>
          </w:tcPr>
          <w:p>
            <w:r>
              <w:rPr>
                <w:color w:val="595959"/>
                <w:sz w:val="20"/>
              </w:rPr>
              <w:t>4</w:t>
            </w:r>
          </w:p>
        </w:tc>
        <w:tc>
          <w:tcPr>
            <w:tcW w:type="dxa" w:w="3168"/>
            <w:shd w:val="clear" w:color="auto" w:fill="FFFFFF"/>
          </w:tcPr>
          <w:p>
            <w:r>
              <w:rPr>
                <w:color w:val="595959"/>
                <w:sz w:val="20"/>
              </w:rPr>
              <w:t>Slice-aware benchmarking and cross-dataset table</w:t>
            </w:r>
          </w:p>
        </w:tc>
        <w:tc>
          <w:tcPr>
            <w:tcW w:type="dxa" w:w="2160"/>
            <w:shd w:val="clear" w:color="auto" w:fill="FFFFFF"/>
          </w:tcPr>
          <w:p>
            <w:r>
              <w:rPr>
                <w:color w:val="595959"/>
                <w:sz w:val="20"/>
              </w:rPr>
              <w:t>Phases 1–3 complete</w:t>
            </w:r>
          </w:p>
        </w:tc>
        <w:tc>
          <w:tcPr>
            <w:tcW w:type="dxa" w:w="1872"/>
            <w:shd w:val="clear" w:color="auto" w:fill="FFFFFF"/>
          </w:tcPr>
          <w:p>
            <w:r>
              <w:rPr>
                <w:color w:val="595959"/>
                <w:sz w:val="20"/>
              </w:rPr>
              <w:t>~1 day</w:t>
            </w:r>
          </w:p>
        </w:tc>
        <w:tc>
          <w:tcPr>
            <w:tcW w:type="dxa" w:w="1440"/>
            <w:shd w:val="clear" w:color="auto" w:fill="FFFFFF"/>
          </w:tcPr>
          <w:p>
            <w:r>
              <w:rPr>
                <w:color w:val="595959"/>
                <w:sz w:val="20"/>
              </w:rPr>
              <w:t>No</w:t>
            </w:r>
          </w:p>
        </w:tc>
      </w:tr>
      <w:tr>
        <w:tc>
          <w:tcPr>
            <w:tcW w:type="dxa" w:w="864"/>
            <w:shd w:val="clear" w:color="auto" w:fill="F2F7FF"/>
          </w:tcPr>
          <w:p>
            <w:r>
              <w:rPr>
                <w:color w:val="595959"/>
                <w:sz w:val="20"/>
              </w:rPr>
              <w:t>5</w:t>
            </w:r>
          </w:p>
        </w:tc>
        <w:tc>
          <w:tcPr>
            <w:tcW w:type="dxa" w:w="3168"/>
            <w:shd w:val="clear" w:color="auto" w:fill="F2F7FF"/>
          </w:tcPr>
          <w:p>
            <w:r>
              <w:rPr>
                <w:color w:val="595959"/>
                <w:sz w:val="20"/>
              </w:rPr>
              <w:t>Statistical ablation and final tables</w:t>
            </w:r>
          </w:p>
        </w:tc>
        <w:tc>
          <w:tcPr>
            <w:tcW w:type="dxa" w:w="2160"/>
            <w:shd w:val="clear" w:color="auto" w:fill="F2F7FF"/>
          </w:tcPr>
          <w:p>
            <w:r>
              <w:rPr>
                <w:color w:val="595959"/>
                <w:sz w:val="20"/>
              </w:rPr>
              <w:t>All phases complete</w:t>
            </w:r>
          </w:p>
        </w:tc>
        <w:tc>
          <w:tcPr>
            <w:tcW w:type="dxa" w:w="1872"/>
            <w:shd w:val="clear" w:color="auto" w:fill="F2F7FF"/>
          </w:tcPr>
          <w:p>
            <w:r>
              <w:rPr>
                <w:color w:val="595959"/>
                <w:sz w:val="20"/>
              </w:rPr>
              <w:t>~1 day (scripting)</w:t>
            </w:r>
          </w:p>
        </w:tc>
        <w:tc>
          <w:tcPr>
            <w:tcW w:type="dxa" w:w="1440"/>
            <w:shd w:val="clear" w:color="auto" w:fill="F2F7FF"/>
          </w:tcPr>
          <w:p>
            <w:r>
              <w:rPr>
                <w:color w:val="595959"/>
                <w:sz w:val="20"/>
              </w:rPr>
              <w:t>No</w:t>
            </w:r>
          </w:p>
        </w:tc>
      </w:tr>
    </w:tbl>
    <w:p/>
    <w:p>
      <w:pPr>
        <w:spacing w:before="120" w:after="120"/>
        <w:ind w:left="567"/>
        <w:pBdr>
          <w:left w:val="single" w:sz="12" w:space="6" w:color="C55A11"/>
        </w:pBdr>
      </w:pPr>
      <w:r>
        <w:rPr>
          <w:i/>
          <w:color w:val="595959"/>
          <w:sz w:val="21"/>
        </w:rPr>
        <w:t>The single most important accelerator: GPU access. Phases 1D, 3A, and 3B all require GPU. Without GPU, ProtT5 and BindingDB preprocessing are impractical. Request access to USM HPC cluster or use Google Colab Pro before starting Phase 3.</w:t>
      </w:r>
    </w:p>
    <w:p>
      <w:pPr>
        <w:spacing w:before="240" w:after="40"/>
      </w:pPr>
      <w:r>
        <w:rPr>
          <w:b/>
          <w:color w:val="007078"/>
          <w:sz w:val="26"/>
        </w:rPr>
        <w:t>8.1  Minimum Viable Objective 2</w:t>
      </w:r>
    </w:p>
    <w:p>
      <w:pPr>
        <w:spacing w:before="40" w:after="80"/>
      </w:pPr>
      <w:r>
        <w:rPr>
          <w:color w:val="595959"/>
          <w:sz w:val="22"/>
        </w:rPr>
        <w:t>If GPU access is delayed, the following experiments can be completed on CPU and still constitute a publishable Objective 2 result:</w:t>
      </w:r>
    </w:p>
    <w:p>
      <w:pPr>
        <w:pStyle w:val="ListBullet"/>
        <w:spacing w:before="20" w:after="20"/>
        <w:ind w:left="454"/>
      </w:pPr>
      <w:r>
        <w:rPr>
          <w:color w:val="595959"/>
          <w:sz w:val="22"/>
        </w:rPr>
        <w:t>Phase 1: ESM-2 8M vs. ESM-2 150M vs. ESM-2 650M comparison on yamanishi_e (ESM-2 650M inference is slow but feasible on CPU for small datasets).</w:t>
      </w:r>
    </w:p>
    <w:p>
      <w:pPr>
        <w:pStyle w:val="ListBullet"/>
        <w:spacing w:before="20" w:after="20"/>
        <w:ind w:left="454"/>
      </w:pPr>
      <w:r>
        <w:rPr>
          <w:color w:val="595959"/>
          <w:sz w:val="22"/>
        </w:rPr>
        <w:t>Phase 2: Negative sampling ratio comparison (1:1 vs. 1:5 vs. 1:10) — no GPU required, just relabelling.</w:t>
      </w:r>
    </w:p>
    <w:p>
      <w:pPr>
        <w:pStyle w:val="ListBullet"/>
        <w:spacing w:before="20" w:after="20"/>
        <w:ind w:left="454"/>
      </w:pPr>
      <w:r>
        <w:rPr>
          <w:color w:val="595959"/>
          <w:sz w:val="22"/>
        </w:rPr>
        <w:t>Phase 5: Ablation of embedding size + imbalance strategy — two components, both testable without BindingDB.</w:t>
      </w:r>
    </w:p>
    <w:p>
      <w:pPr>
        <w:spacing w:before="120" w:after="120"/>
        <w:ind w:left="567"/>
        <w:pBdr>
          <w:left w:val="single" w:sz="12" w:space="6" w:color="007078"/>
        </w:pBdr>
      </w:pPr>
      <w:r>
        <w:rPr>
          <w:i/>
          <w:color w:val="595959"/>
          <w:sz w:val="21"/>
        </w:rPr>
        <w:t>Minimum viable Objective 2: ESM-2 size sweep + negative ratio sweep + statistical testing = 3 × 2 × 5 seeds × 2 datasets × 4 splits. This is ~240 training runs, roughly 8–12 days on CPU.</w:t>
      </w:r>
    </w:p>
    <w:p>
      <w:r>
        <w:br w:type="page"/>
      </w:r>
    </w:p>
    <w:p>
      <w:pPr>
        <w:spacing w:before="360" w:after="80"/>
        <w:pBdr>
          <w:bottom w:val="single" w:sz="6" w:space="1" w:color="1F497D"/>
        </w:pBdr>
      </w:pPr>
      <w:r>
        <w:rPr>
          <w:b/>
          <w:color w:val="1F497D"/>
          <w:sz w:val="32"/>
        </w:rPr>
        <w:t>9.  Current Status</w:t>
      </w:r>
    </w:p>
    <w:p>
      <w:pPr>
        <w:spacing w:before="40" w:after="80"/>
      </w:pPr>
      <w:r>
        <w:rPr>
          <w:color w:val="595959"/>
          <w:sz w:val="22"/>
        </w:rPr>
        <w:t>The following status reflects the state of the project at the time this document was written (July 2026). All Phase 1–5 items for Objective 2 are yet to be run.</w:t>
      </w:r>
    </w:p>
    <w:p>
      <w:pPr>
        <w:spacing w:before="240" w:after="40"/>
      </w:pPr>
      <w:r>
        <w:rPr>
          <w:b/>
          <w:color w:val="007078"/>
          <w:sz w:val="26"/>
        </w:rPr>
        <w:t>9.1  Completed (From Objective 1)</w:t>
      </w:r>
    </w:p>
    <w:p>
      <w:pPr>
        <w:spacing w:before="20" w:after="20"/>
        <w:ind w:left="454"/>
      </w:pPr>
      <w:r>
        <w:rPr>
          <w:b/>
          <w:color w:val="19762E"/>
          <w:sz w:val="22"/>
        </w:rPr>
        <w:t xml:space="preserve">✓  </w:t>
      </w:r>
      <w:r>
        <w:rPr>
          <w:color w:val="595959"/>
          <w:sz w:val="22"/>
        </w:rPr>
        <w:t>H-GNN-RNN-DTI model architecture fully implemented and tested.</w:t>
      </w:r>
    </w:p>
    <w:p>
      <w:pPr>
        <w:spacing w:before="20" w:after="20"/>
        <w:ind w:left="454"/>
      </w:pPr>
      <w:r>
        <w:rPr>
          <w:b/>
          <w:color w:val="19762E"/>
          <w:sz w:val="22"/>
        </w:rPr>
        <w:t xml:space="preserve">✓  </w:t>
      </w:r>
      <w:r>
        <w:rPr>
          <w:color w:val="595959"/>
          <w:sz w:val="22"/>
        </w:rPr>
        <w:t>All four datasets preprocessed with ESM-2 8M and ChemBERTa: Davis, KIBA, Luo_17, Yamanishi_e.</w:t>
      </w:r>
    </w:p>
    <w:p>
      <w:pPr>
        <w:spacing w:before="20" w:after="20"/>
        <w:ind w:left="454"/>
      </w:pPr>
      <w:r>
        <w:rPr>
          <w:b/>
          <w:color w:val="19762E"/>
          <w:sz w:val="22"/>
        </w:rPr>
        <w:t xml:space="preserve">✓  </w:t>
      </w:r>
      <w:r>
        <w:rPr>
          <w:color w:val="595959"/>
          <w:sz w:val="22"/>
        </w:rPr>
        <w:t>All four split types generated and tested (random, cold_drug, cold_target, cold_pair).</w:t>
      </w:r>
    </w:p>
    <w:p>
      <w:pPr>
        <w:spacing w:before="20" w:after="20"/>
        <w:ind w:left="454"/>
      </w:pPr>
      <w:r>
        <w:rPr>
          <w:b/>
          <w:color w:val="19762E"/>
          <w:sz w:val="22"/>
        </w:rPr>
        <w:t xml:space="preserve">✓  </w:t>
      </w:r>
      <w:r>
        <w:rPr>
          <w:color w:val="595959"/>
          <w:sz w:val="22"/>
        </w:rPr>
        <w:t>Focal Loss (γ=2, α=0.25) at 1:1 ratio implemented and evaluated.</w:t>
      </w:r>
    </w:p>
    <w:p>
      <w:pPr>
        <w:spacing w:before="20" w:after="20"/>
        <w:ind w:left="454"/>
      </w:pPr>
      <w:r>
        <w:rPr>
          <w:b/>
          <w:color w:val="19762E"/>
          <w:sz w:val="22"/>
        </w:rPr>
        <w:t xml:space="preserve">✓  </w:t>
      </w:r>
      <w:r>
        <w:rPr>
          <w:color w:val="595959"/>
          <w:sz w:val="22"/>
        </w:rPr>
        <w:t>Baseline AUROC/AUPRC/F1 results for all 8 DTI configurations (5 seeds each).</w:t>
      </w:r>
    </w:p>
    <w:p>
      <w:pPr>
        <w:spacing w:before="20" w:after="20"/>
        <w:ind w:left="454"/>
      </w:pPr>
      <w:r>
        <w:rPr>
          <w:b/>
          <w:color w:val="19762E"/>
          <w:sz w:val="22"/>
        </w:rPr>
        <w:t xml:space="preserve">✓  </w:t>
      </w:r>
      <w:r>
        <w:rPr>
          <w:color w:val="595959"/>
          <w:sz w:val="22"/>
        </w:rPr>
        <w:t>Baseline MSE/MAE/RMSE/R²/Pearson/Spearman for Davis and KIBA DTA (5 seeds each).</w:t>
      </w:r>
    </w:p>
    <w:p>
      <w:pPr>
        <w:spacing w:before="20" w:after="20"/>
        <w:ind w:left="454"/>
      </w:pPr>
      <w:r>
        <w:rPr>
          <w:b/>
          <w:color w:val="19762E"/>
          <w:sz w:val="22"/>
        </w:rPr>
        <w:t xml:space="preserve">✓  </w:t>
      </w:r>
      <w:r>
        <w:rPr>
          <w:color w:val="595959"/>
          <w:sz w:val="22"/>
        </w:rPr>
        <w:t>Cross-dataset baseline: luo_17 → yamanishi_e AUROC 0.508 ± 0.020.</w:t>
      </w:r>
    </w:p>
    <w:p>
      <w:pPr>
        <w:spacing w:before="20" w:after="20"/>
        <w:ind w:left="454"/>
      </w:pPr>
      <w:r>
        <w:rPr>
          <w:b/>
          <w:color w:val="19762E"/>
          <w:sz w:val="22"/>
        </w:rPr>
        <w:t xml:space="preserve">✓  </w:t>
      </w:r>
      <w:r>
        <w:rPr>
          <w:color w:val="595959"/>
          <w:sz w:val="22"/>
        </w:rPr>
        <w:t>Statistical testing framework (paired t-test, ddof=1) implemented in compute_dta_stats.py.</w:t>
      </w:r>
    </w:p>
    <w:p>
      <w:pPr>
        <w:spacing w:before="20" w:after="20"/>
        <w:ind w:left="454"/>
      </w:pPr>
      <w:r>
        <w:rPr>
          <w:b/>
          <w:color w:val="19762E"/>
          <w:sz w:val="22"/>
        </w:rPr>
        <w:t xml:space="preserve">✓  </w:t>
      </w:r>
      <w:r>
        <w:rPr>
          <w:color w:val="595959"/>
          <w:sz w:val="22"/>
        </w:rPr>
        <w:t>BindingDB and ChEMBL label files and split files generated (preprocessing not yet run).</w:t>
      </w:r>
    </w:p>
    <w:p>
      <w:pPr>
        <w:spacing w:before="20" w:after="20"/>
        <w:ind w:left="454"/>
      </w:pPr>
      <w:r>
        <w:rPr>
          <w:b/>
          <w:color w:val="19762E"/>
          <w:sz w:val="22"/>
        </w:rPr>
        <w:t xml:space="preserve">✓  </w:t>
      </w:r>
      <w:r>
        <w:rPr>
          <w:color w:val="595959"/>
          <w:sz w:val="22"/>
        </w:rPr>
        <w:t>Evaluation report (paper/evaluation_report.md) with all Objective 1 results.</w:t>
      </w:r>
    </w:p>
    <w:p>
      <w:pPr>
        <w:spacing w:before="240" w:after="40"/>
      </w:pPr>
      <w:r>
        <w:rPr>
          <w:b/>
          <w:color w:val="007078"/>
          <w:sz w:val="26"/>
        </w:rPr>
        <w:t>9.2  Not Yet Started (Objective 2)</w:t>
      </w:r>
    </w:p>
    <w:p>
      <w:pPr>
        <w:spacing w:before="20" w:after="20"/>
        <w:ind w:left="454"/>
      </w:pPr>
      <w:r>
        <w:rPr>
          <w:b/>
          <w:color w:val="C55A11"/>
          <w:sz w:val="22"/>
        </w:rPr>
        <w:t xml:space="preserve">○  </w:t>
      </w:r>
      <w:r>
        <w:rPr>
          <w:color w:val="595959"/>
          <w:sz w:val="22"/>
        </w:rPr>
        <w:t>Phase 1: ESM-2 150M protein preprocessing.</w:t>
      </w:r>
    </w:p>
    <w:p>
      <w:pPr>
        <w:spacing w:before="20" w:after="20"/>
        <w:ind w:left="454"/>
      </w:pPr>
      <w:r>
        <w:rPr>
          <w:b/>
          <w:color w:val="C55A11"/>
          <w:sz w:val="22"/>
        </w:rPr>
        <w:t xml:space="preserve">○  </w:t>
      </w:r>
      <w:r>
        <w:rPr>
          <w:color w:val="595959"/>
          <w:sz w:val="22"/>
        </w:rPr>
        <w:t>Phase 1: ESM-2 650M protein preprocessing for yamanishi_e (only Luo_17 has it currently).</w:t>
      </w:r>
    </w:p>
    <w:p>
      <w:pPr>
        <w:spacing w:before="20" w:after="20"/>
        <w:ind w:left="454"/>
      </w:pPr>
      <w:r>
        <w:rPr>
          <w:b/>
          <w:color w:val="C55A11"/>
          <w:sz w:val="22"/>
        </w:rPr>
        <w:t xml:space="preserve">○  </w:t>
      </w:r>
      <w:r>
        <w:rPr>
          <w:color w:val="595959"/>
          <w:sz w:val="22"/>
        </w:rPr>
        <w:t>Phase 1: ProtT5 protein preprocessing (requires GPU).</w:t>
      </w:r>
    </w:p>
    <w:p>
      <w:pPr>
        <w:spacing w:before="20" w:after="20"/>
        <w:ind w:left="454"/>
      </w:pPr>
      <w:r>
        <w:rPr>
          <w:b/>
          <w:color w:val="C55A11"/>
          <w:sz w:val="22"/>
        </w:rPr>
        <w:t xml:space="preserve">○  </w:t>
      </w:r>
      <w:r>
        <w:rPr>
          <w:color w:val="595959"/>
          <w:sz w:val="22"/>
        </w:rPr>
        <w:t>Phase 1: MoLFormer drug preprocessing and comparison.</w:t>
      </w:r>
    </w:p>
    <w:p>
      <w:pPr>
        <w:spacing w:before="20" w:after="20"/>
        <w:ind w:left="454"/>
      </w:pPr>
      <w:r>
        <w:rPr>
          <w:b/>
          <w:color w:val="C55A11"/>
          <w:sz w:val="22"/>
        </w:rPr>
        <w:t xml:space="preserve">○  </w:t>
      </w:r>
      <w:r>
        <w:rPr>
          <w:color w:val="595959"/>
          <w:sz w:val="22"/>
        </w:rPr>
        <w:t>Phase 1: Training all P1-B through P1-G configurations.</w:t>
      </w:r>
    </w:p>
    <w:p>
      <w:pPr>
        <w:spacing w:before="20" w:after="20"/>
        <w:ind w:left="454"/>
      </w:pPr>
      <w:r>
        <w:rPr>
          <w:b/>
          <w:color w:val="C55A11"/>
          <w:sz w:val="22"/>
        </w:rPr>
        <w:t xml:space="preserve">○  </w:t>
      </w:r>
      <w:r>
        <w:rPr>
          <w:color w:val="595959"/>
          <w:sz w:val="22"/>
        </w:rPr>
        <w:t>Phase 2: Negative sampling ratio experiments (1:5, 1:10).</w:t>
      </w:r>
    </w:p>
    <w:p>
      <w:pPr>
        <w:spacing w:before="20" w:after="20"/>
        <w:ind w:left="454"/>
      </w:pPr>
      <w:r>
        <w:rPr>
          <w:b/>
          <w:color w:val="C55A11"/>
          <w:sz w:val="22"/>
        </w:rPr>
        <w:t xml:space="preserve">○  </w:t>
      </w:r>
      <w:r>
        <w:rPr>
          <w:color w:val="595959"/>
          <w:sz w:val="22"/>
        </w:rPr>
        <w:t>Phase 2: Weighted BCE loss comparison.</w:t>
      </w:r>
    </w:p>
    <w:p>
      <w:pPr>
        <w:spacing w:before="20" w:after="20"/>
        <w:ind w:left="454"/>
      </w:pPr>
      <w:r>
        <w:rPr>
          <w:b/>
          <w:color w:val="C55A11"/>
          <w:sz w:val="22"/>
        </w:rPr>
        <w:t xml:space="preserve">○  </w:t>
      </w:r>
      <w:r>
        <w:rPr>
          <w:color w:val="595959"/>
          <w:sz w:val="22"/>
        </w:rPr>
        <w:t>Phase 2: Focal Loss γ-sweep (γ ∈ {1, 3, 5}).</w:t>
      </w:r>
    </w:p>
    <w:p>
      <w:pPr>
        <w:spacing w:before="20" w:after="20"/>
        <w:ind w:left="454"/>
      </w:pPr>
      <w:r>
        <w:rPr>
          <w:b/>
          <w:color w:val="C55A11"/>
          <w:sz w:val="22"/>
        </w:rPr>
        <w:t xml:space="preserve">○  </w:t>
      </w:r>
      <w:r>
        <w:rPr>
          <w:color w:val="595959"/>
          <w:sz w:val="22"/>
        </w:rPr>
        <w:t>Phase 3: BindingDB drug graph preprocessing (10b_preprocess_large_drugs.py).</w:t>
      </w:r>
    </w:p>
    <w:p>
      <w:pPr>
        <w:spacing w:before="20" w:after="20"/>
        <w:ind w:left="454"/>
      </w:pPr>
      <w:r>
        <w:rPr>
          <w:b/>
          <w:color w:val="C55A11"/>
          <w:sz w:val="22"/>
        </w:rPr>
        <w:t xml:space="preserve">○  </w:t>
      </w:r>
      <w:r>
        <w:rPr>
          <w:color w:val="595959"/>
          <w:sz w:val="22"/>
        </w:rPr>
        <w:t>Phase 3: BindingDB protein embedding generation (11_preprocess_proteins.py).</w:t>
      </w:r>
    </w:p>
    <w:p>
      <w:pPr>
        <w:spacing w:before="20" w:after="20"/>
        <w:ind w:left="454"/>
      </w:pPr>
      <w:r>
        <w:rPr>
          <w:b/>
          <w:color w:val="C55A11"/>
          <w:sz w:val="22"/>
        </w:rPr>
        <w:t xml:space="preserve">○  </w:t>
      </w:r>
      <w:r>
        <w:rPr>
          <w:color w:val="595959"/>
          <w:sz w:val="22"/>
        </w:rPr>
        <w:t>Phase 3: Supervised pretraining on BindingDB.</w:t>
      </w:r>
    </w:p>
    <w:p>
      <w:pPr>
        <w:spacing w:before="20" w:after="20"/>
        <w:ind w:left="454"/>
      </w:pPr>
      <w:r>
        <w:rPr>
          <w:b/>
          <w:color w:val="C55A11"/>
          <w:sz w:val="22"/>
        </w:rPr>
        <w:t xml:space="preserve">○  </w:t>
      </w:r>
      <w:r>
        <w:rPr>
          <w:color w:val="595959"/>
          <w:sz w:val="22"/>
        </w:rPr>
        <w:t>Phase 3: Fine-tuning experiments (P3-B through P3-F).</w:t>
      </w:r>
    </w:p>
    <w:p>
      <w:pPr>
        <w:spacing w:before="20" w:after="20"/>
        <w:ind w:left="454"/>
      </w:pPr>
      <w:r>
        <w:rPr>
          <w:b/>
          <w:color w:val="C55A11"/>
          <w:sz w:val="22"/>
        </w:rPr>
        <w:t xml:space="preserve">○  </w:t>
      </w:r>
      <w:r>
        <w:rPr>
          <w:color w:val="595959"/>
          <w:sz w:val="22"/>
        </w:rPr>
        <w:t>Phase 4: Cross-dataset evaluation with BindingDB as source.</w:t>
      </w:r>
    </w:p>
    <w:p>
      <w:pPr>
        <w:spacing w:before="20" w:after="20"/>
        <w:ind w:left="454"/>
      </w:pPr>
      <w:r>
        <w:rPr>
          <w:b/>
          <w:color w:val="C55A11"/>
          <w:sz w:val="22"/>
        </w:rPr>
        <w:t xml:space="preserve">○  </w:t>
      </w:r>
      <w:r>
        <w:rPr>
          <w:color w:val="595959"/>
          <w:sz w:val="22"/>
        </w:rPr>
        <w:t>Phase 4: Slice-aware benchmarking.</w:t>
      </w:r>
    </w:p>
    <w:p>
      <w:pPr>
        <w:spacing w:before="20" w:after="20"/>
        <w:ind w:left="454"/>
      </w:pPr>
      <w:r>
        <w:rPr>
          <w:b/>
          <w:color w:val="C55A11"/>
          <w:sz w:val="22"/>
        </w:rPr>
        <w:t xml:space="preserve">○  </w:t>
      </w:r>
      <w:r>
        <w:rPr>
          <w:color w:val="595959"/>
          <w:sz w:val="22"/>
        </w:rPr>
        <w:t>Phase 5: Full ablation statistical table.</w:t>
      </w:r>
    </w:p>
    <w:p>
      <w:pPr>
        <w:spacing w:before="20" w:after="20"/>
        <w:ind w:left="454"/>
      </w:pPr>
      <w:r>
        <w:rPr>
          <w:b/>
          <w:color w:val="C55A11"/>
          <w:sz w:val="22"/>
        </w:rPr>
        <w:t xml:space="preserve">○  </w:t>
      </w:r>
      <w:r>
        <w:rPr>
          <w:color w:val="595959"/>
          <w:sz w:val="22"/>
        </w:rPr>
        <w:t>compute_objective2_stats.py — script to aggregate all Phase 1–4 results.</w:t>
      </w:r>
    </w:p>
    <w:p>
      <w:r>
        <w:br w:type="page"/>
      </w:r>
    </w:p>
    <w:p>
      <w:pPr>
        <w:spacing w:before="360" w:after="80"/>
        <w:pBdr>
          <w:bottom w:val="single" w:sz="6" w:space="1" w:color="1F497D"/>
        </w:pBdr>
      </w:pPr>
      <w:r>
        <w:rPr>
          <w:b/>
          <w:color w:val="1F497D"/>
          <w:sz w:val="32"/>
        </w:rPr>
        <w:t>10.  Gaps and Risks</w:t>
      </w:r>
    </w:p>
    <w:p>
      <w:pPr>
        <w:spacing w:before="240" w:after="40"/>
      </w:pPr>
      <w:r>
        <w:rPr>
          <w:b/>
          <w:color w:val="007078"/>
          <w:sz w:val="26"/>
        </w:rPr>
        <w:t>10.1  GPU Dependency</w:t>
      </w:r>
    </w:p>
    <w:p>
      <w:pPr>
        <w:spacing w:before="40" w:after="80"/>
      </w:pPr>
      <w:r>
        <w:rPr>
          <w:color w:val="595959"/>
          <w:sz w:val="22"/>
        </w:rPr>
        <w:t>Phase 3 (BindingDB pretraining) and Phase 1D (ProtT5) are GPU-dependent. On CPU, processing one million BindingDB drug graphs would take weeks. This is the largest risk to the Objective 2 timeline.</w:t>
      </w:r>
    </w:p>
    <w:p>
      <w:pPr>
        <w:pStyle w:val="ListBullet"/>
        <w:spacing w:before="20" w:after="20"/>
        <w:ind w:left="454"/>
      </w:pPr>
      <w:r>
        <w:rPr>
          <w:color w:val="595959"/>
          <w:sz w:val="22"/>
        </w:rPr>
        <w:t>Mitigation: apply for USM HPC cluster allocation early.</w:t>
      </w:r>
    </w:p>
    <w:p>
      <w:pPr>
        <w:pStyle w:val="ListBullet"/>
        <w:spacing w:before="20" w:after="20"/>
        <w:ind w:left="454"/>
      </w:pPr>
      <w:r>
        <w:rPr>
          <w:color w:val="595959"/>
          <w:sz w:val="22"/>
        </w:rPr>
        <w:t>Mitigation: use Google Colab Pro (A100 GPU, ~$10/month) for preprocessing batches.</w:t>
      </w:r>
    </w:p>
    <w:p>
      <w:pPr>
        <w:pStyle w:val="ListBullet"/>
        <w:spacing w:before="20" w:after="20"/>
        <w:ind w:left="454"/>
      </w:pPr>
      <w:r>
        <w:rPr>
          <w:color w:val="595959"/>
          <w:sz w:val="22"/>
        </w:rPr>
        <w:t>Mitigation: use the minimum viable plan (CPU-feasible experiments) while waiting for GPU access.</w:t>
      </w:r>
    </w:p>
    <w:p>
      <w:pPr>
        <w:spacing w:before="240" w:after="40"/>
      </w:pPr>
      <w:r>
        <w:rPr>
          <w:b/>
          <w:color w:val="007078"/>
          <w:sz w:val="26"/>
        </w:rPr>
        <w:t>10.2  BindingDB Data Quality</w:t>
      </w:r>
    </w:p>
    <w:p>
      <w:pPr>
        <w:spacing w:before="40" w:after="80"/>
      </w:pPr>
      <w:r>
        <w:rPr>
          <w:color w:val="595959"/>
          <w:sz w:val="22"/>
        </w:rPr>
        <w:t>BindingDB contains measurements from multiple assay types (Ki, Kd, IC50, EC50) with different units and scales. Mixing these without careful normalisation can introduce noise that harms pretraining.</w:t>
      </w:r>
    </w:p>
    <w:p>
      <w:pPr>
        <w:pStyle w:val="ListBullet"/>
        <w:spacing w:before="20" w:after="20"/>
        <w:ind w:left="454"/>
      </w:pPr>
      <w:r>
        <w:rPr>
          <w:color w:val="595959"/>
          <w:sz w:val="22"/>
        </w:rPr>
        <w:t>Mitigation: use only Kd and Ki measurements (most directly comparable to Davis/KIBA).</w:t>
      </w:r>
    </w:p>
    <w:p>
      <w:pPr>
        <w:pStyle w:val="ListBullet"/>
        <w:spacing w:before="20" w:after="20"/>
        <w:ind w:left="454"/>
      </w:pPr>
      <w:r>
        <w:rPr>
          <w:color w:val="595959"/>
          <w:sz w:val="22"/>
        </w:rPr>
        <w:t>Mitigation: convert all values to pKi/pKd using −log10 transformation.</w:t>
      </w:r>
    </w:p>
    <w:p>
      <w:pPr>
        <w:pStyle w:val="ListBullet"/>
        <w:spacing w:before="20" w:after="20"/>
        <w:ind w:left="454"/>
      </w:pPr>
      <w:r>
        <w:rPr>
          <w:color w:val="595959"/>
          <w:sz w:val="22"/>
        </w:rPr>
        <w:t>Mitigation: filter out entries with pIC50 &lt; 4 (very weak, likely false negatives).</w:t>
      </w:r>
    </w:p>
    <w:p>
      <w:pPr>
        <w:spacing w:before="240" w:after="40"/>
      </w:pPr>
      <w:r>
        <w:rPr>
          <w:b/>
          <w:color w:val="007078"/>
          <w:sz w:val="26"/>
        </w:rPr>
        <w:t>10.3  Catastrophic Forgetting During Fine-Tuning</w:t>
      </w:r>
    </w:p>
    <w:p>
      <w:pPr>
        <w:spacing w:before="40" w:after="80"/>
      </w:pPr>
      <w:r>
        <w:rPr>
          <w:color w:val="595959"/>
          <w:sz w:val="22"/>
        </w:rPr>
        <w:t>After pretraining on BindingDB, fine-tuning on a small dataset (e.g., yamanishi_e with 890 pairs) may overwrite the pretrained representations, losing the benefit of pretraining. This is the standard 'catastrophic forgetting' problem.</w:t>
      </w:r>
    </w:p>
    <w:p>
      <w:pPr>
        <w:pStyle w:val="ListBullet"/>
        <w:spacing w:before="20" w:after="20"/>
        <w:ind w:left="454"/>
      </w:pPr>
      <w:r>
        <w:rPr>
          <w:color w:val="595959"/>
          <w:sz w:val="22"/>
        </w:rPr>
        <w:t>Mitigation: use a lower learning rate for fine-tuning (1e-5 vs. 1e-4).</w:t>
      </w:r>
    </w:p>
    <w:p>
      <w:pPr>
        <w:pStyle w:val="ListBullet"/>
        <w:spacing w:before="20" w:after="20"/>
        <w:ind w:left="454"/>
      </w:pPr>
      <w:r>
        <w:rPr>
          <w:color w:val="595959"/>
          <w:sz w:val="22"/>
        </w:rPr>
        <w:t>Mitigation: freeze encoder layers for the first 10 epochs of fine-tuning.</w:t>
      </w:r>
    </w:p>
    <w:p>
      <w:pPr>
        <w:pStyle w:val="ListBullet"/>
        <w:spacing w:before="20" w:after="20"/>
        <w:ind w:left="454"/>
      </w:pPr>
      <w:r>
        <w:rPr>
          <w:color w:val="595959"/>
          <w:sz w:val="22"/>
        </w:rPr>
        <w:t>Mitigation: use learning rate warm-up over 5 epochs to allow gradual adaptation.</w:t>
      </w:r>
    </w:p>
    <w:p>
      <w:pPr>
        <w:spacing w:before="240" w:after="40"/>
      </w:pPr>
      <w:r>
        <w:rPr>
          <w:b/>
          <w:color w:val="007078"/>
          <w:sz w:val="26"/>
        </w:rPr>
        <w:t>10.4  Hyperparameter Proliferation</w:t>
      </w:r>
    </w:p>
    <w:p>
      <w:pPr>
        <w:spacing w:before="40" w:after="80"/>
      </w:pPr>
      <w:r>
        <w:rPr>
          <w:color w:val="595959"/>
          <w:sz w:val="22"/>
        </w:rPr>
        <w:t>Each phase introduces new hyperparameters (embedding dimension, γ, sampling ratio, fine-tuning LR). Running a full grid search across all combinations is infeasible. Use a sequential strategy: fix the best setting from each phase before tuning the next.</w:t>
      </w:r>
    </w:p>
    <w:p>
      <w:pPr>
        <w:pStyle w:val="ListBullet"/>
        <w:spacing w:before="20" w:after="20"/>
        <w:ind w:left="454"/>
      </w:pPr>
      <w:r>
        <w:rPr>
          <w:color w:val="595959"/>
          <w:sz w:val="22"/>
        </w:rPr>
        <w:t>Phase 1: fix the best embedding model.</w:t>
      </w:r>
    </w:p>
    <w:p>
      <w:pPr>
        <w:pStyle w:val="ListBullet"/>
        <w:spacing w:before="20" w:after="20"/>
        <w:ind w:left="454"/>
      </w:pPr>
      <w:r>
        <w:rPr>
          <w:color w:val="595959"/>
          <w:sz w:val="22"/>
        </w:rPr>
        <w:t>Phase 2: fix the best loss/ratio (using the Phase 1 embedding).</w:t>
      </w:r>
    </w:p>
    <w:p>
      <w:pPr>
        <w:pStyle w:val="ListBullet"/>
        <w:spacing w:before="20" w:after="20"/>
        <w:ind w:left="454"/>
      </w:pPr>
      <w:r>
        <w:rPr>
          <w:color w:val="595959"/>
          <w:sz w:val="22"/>
        </w:rPr>
        <w:t>Phase 3: fix the pretraining protocol (using Phase 1+2 settings).</w:t>
      </w:r>
    </w:p>
    <w:p>
      <w:r>
        <w:br w:type="page"/>
      </w:r>
    </w:p>
    <w:p>
      <w:pPr>
        <w:spacing w:before="360" w:after="80"/>
        <w:pBdr>
          <w:bottom w:val="single" w:sz="6" w:space="1" w:color="1F497D"/>
        </w:pBdr>
      </w:pPr>
      <w:r>
        <w:rPr>
          <w:b/>
          <w:color w:val="1F497D"/>
          <w:sz w:val="32"/>
        </w:rPr>
        <w:t>11.  Expected Outcomes</w:t>
      </w:r>
    </w:p>
    <w:p>
      <w:pPr>
        <w:spacing w:before="40" w:after="80"/>
      </w:pPr>
      <w:r>
        <w:rPr>
          <w:color w:val="595959"/>
          <w:sz w:val="22"/>
        </w:rPr>
        <w:t>Based on the literature and the Objective 1 results, the following outcomes are anticipated for each phase. These are hypotheses to test, not guarantees.</w:t>
      </w:r>
    </w:p>
    <w:p>
      <w:pPr>
        <w:spacing w:before="240" w:after="40"/>
      </w:pPr>
      <w:r>
        <w:rPr>
          <w:b/>
          <w:color w:val="007078"/>
          <w:sz w:val="26"/>
        </w:rPr>
        <w:t>11.1  Phase 1 — Embedding Comparison</w:t>
      </w:r>
    </w:p>
    <w:tbl>
      <w:tblPr>
        <w:tblStyle w:val="TableGrid"/>
        <w:tblW w:type="auto" w:w="0"/>
        <w:tblLook w:firstColumn="1" w:firstRow="1" w:lastColumn="0" w:lastRow="0" w:noHBand="0" w:noVBand="1" w:val="04A0"/>
      </w:tblPr>
      <w:tblGrid>
        <w:gridCol w:w="3041"/>
        <w:gridCol w:w="3041"/>
        <w:gridCol w:w="3041"/>
      </w:tblGrid>
      <w:tr>
        <w:tc>
          <w:tcPr>
            <w:tcW w:type="dxa" w:w="2880"/>
            <w:shd w:val="clear" w:color="auto" w:fill="1F497D"/>
          </w:tcPr>
          <w:p>
            <w:r>
              <w:rPr>
                <w:b/>
                <w:color w:val="FFFFFF"/>
                <w:sz w:val="20"/>
              </w:rPr>
              <w:t>Hypothesis</w:t>
            </w:r>
          </w:p>
        </w:tc>
        <w:tc>
          <w:tcPr>
            <w:tcW w:type="dxa" w:w="3600"/>
            <w:shd w:val="clear" w:color="auto" w:fill="1F497D"/>
          </w:tcPr>
          <w:p>
            <w:r>
              <w:rPr>
                <w:b/>
                <w:color w:val="FFFFFF"/>
                <w:sz w:val="20"/>
              </w:rPr>
              <w:t>Reasoning</w:t>
            </w:r>
          </w:p>
        </w:tc>
        <w:tc>
          <w:tcPr>
            <w:tcW w:type="dxa" w:w="2448"/>
            <w:shd w:val="clear" w:color="auto" w:fill="1F497D"/>
          </w:tcPr>
          <w:p>
            <w:r>
              <w:rPr>
                <w:b/>
                <w:color w:val="FFFFFF"/>
                <w:sz w:val="20"/>
              </w:rPr>
              <w:t>Risk</w:t>
            </w:r>
          </w:p>
        </w:tc>
      </w:tr>
      <w:tr>
        <w:tc>
          <w:tcPr>
            <w:tcW w:type="dxa" w:w="2880"/>
            <w:shd w:val="clear" w:color="auto" w:fill="F2F7FF"/>
          </w:tcPr>
          <w:p>
            <w:r>
              <w:rPr>
                <w:color w:val="595959"/>
                <w:sz w:val="20"/>
              </w:rPr>
              <w:t>ESM-2 150M or 650M will outperform ESM-2 8M on cold-target splits.</w:t>
            </w:r>
          </w:p>
        </w:tc>
        <w:tc>
          <w:tcPr>
            <w:tcW w:type="dxa" w:w="3600"/>
            <w:shd w:val="clear" w:color="auto" w:fill="F2F7FF"/>
          </w:tcPr>
          <w:p>
            <w:r>
              <w:rPr>
                <w:color w:val="595959"/>
                <w:sz w:val="20"/>
              </w:rPr>
              <w:t>Larger models capture more evolutionary information; cold-target relies entirely on the protein encoder's ability to generalise.</w:t>
            </w:r>
          </w:p>
        </w:tc>
        <w:tc>
          <w:tcPr>
            <w:tcW w:type="dxa" w:w="2448"/>
            <w:shd w:val="clear" w:color="auto" w:fill="F2F7FF"/>
          </w:tcPr>
          <w:p>
            <w:r>
              <w:rPr>
                <w:color w:val="595959"/>
                <w:sz w:val="20"/>
              </w:rPr>
              <w:t>Medium: ESM-2 8M may already capture enough for the small yamanishi_e proteins.</w:t>
            </w:r>
          </w:p>
        </w:tc>
      </w:tr>
      <w:tr>
        <w:tc>
          <w:tcPr>
            <w:tcW w:type="dxa" w:w="2880"/>
            <w:shd w:val="clear" w:color="auto" w:fill="FFFFFF"/>
          </w:tcPr>
          <w:p>
            <w:r>
              <w:rPr>
                <w:color w:val="595959"/>
                <w:sz w:val="20"/>
              </w:rPr>
              <w:t>ProtT5 will outperform ESM-2 on both cold-drug and cold-target.</w:t>
            </w:r>
          </w:p>
        </w:tc>
        <w:tc>
          <w:tcPr>
            <w:tcW w:type="dxa" w:w="3600"/>
            <w:shd w:val="clear" w:color="auto" w:fill="FFFFFF"/>
          </w:tcPr>
          <w:p>
            <w:r>
              <w:rPr>
                <w:color w:val="595959"/>
                <w:sz w:val="20"/>
              </w:rPr>
              <w:t>ProtT5 is specifically trained on protein sequences for downstream tasks; it may generalise better to unseen protein families.</w:t>
            </w:r>
          </w:p>
        </w:tc>
        <w:tc>
          <w:tcPr>
            <w:tcW w:type="dxa" w:w="2448"/>
            <w:shd w:val="clear" w:color="auto" w:fill="FFFFFF"/>
          </w:tcPr>
          <w:p>
            <w:r>
              <w:rPr>
                <w:color w:val="595959"/>
                <w:sz w:val="20"/>
              </w:rPr>
              <w:t>High: ProtT5 requires GPU; results are uncertain without empirical testing.</w:t>
            </w:r>
          </w:p>
        </w:tc>
      </w:tr>
      <w:tr>
        <w:tc>
          <w:tcPr>
            <w:tcW w:type="dxa" w:w="2880"/>
            <w:shd w:val="clear" w:color="auto" w:fill="F2F7FF"/>
          </w:tcPr>
          <w:p>
            <w:r>
              <w:rPr>
                <w:color w:val="595959"/>
                <w:sz w:val="20"/>
              </w:rPr>
              <w:t>MoLFormer will outperform ChemBERTa on cold-drug splits.</w:t>
            </w:r>
          </w:p>
        </w:tc>
        <w:tc>
          <w:tcPr>
            <w:tcW w:type="dxa" w:w="3600"/>
            <w:shd w:val="clear" w:color="auto" w:fill="F2F7FF"/>
          </w:tcPr>
          <w:p>
            <w:r>
              <w:rPr>
                <w:color w:val="595959"/>
                <w:sz w:val="20"/>
              </w:rPr>
              <w:t>MoLFormer is trained on 1.1B molecules vs. ChemBERTa's 77M; richer chemical knowledge should improve generalisation to new scaffolds.</w:t>
            </w:r>
          </w:p>
        </w:tc>
        <w:tc>
          <w:tcPr>
            <w:tcW w:type="dxa" w:w="2448"/>
            <w:shd w:val="clear" w:color="auto" w:fill="F2F7FF"/>
          </w:tcPr>
          <w:p>
            <w:r>
              <w:rPr>
                <w:color w:val="595959"/>
                <w:sz w:val="20"/>
              </w:rPr>
              <w:t>Medium: ChemBERTa may already be sufficient for the datasets tested.</w:t>
            </w:r>
          </w:p>
        </w:tc>
      </w:tr>
    </w:tbl>
    <w:p/>
    <w:p>
      <w:pPr>
        <w:spacing w:before="240" w:after="40"/>
      </w:pPr>
      <w:r>
        <w:rPr>
          <w:b/>
          <w:color w:val="007078"/>
          <w:sz w:val="26"/>
        </w:rPr>
        <w:t>11.2  Phase 2 — Imbalance-Aware Learning</w:t>
      </w:r>
    </w:p>
    <w:tbl>
      <w:tblPr>
        <w:tblStyle w:val="TableGrid"/>
        <w:tblW w:type="auto" w:w="0"/>
        <w:tblLook w:firstColumn="1" w:firstRow="1" w:lastColumn="0" w:lastRow="0" w:noHBand="0" w:noVBand="1" w:val="04A0"/>
      </w:tblPr>
      <w:tblGrid>
        <w:gridCol w:w="3041"/>
        <w:gridCol w:w="3041"/>
        <w:gridCol w:w="3041"/>
      </w:tblGrid>
      <w:tr>
        <w:tc>
          <w:tcPr>
            <w:tcW w:type="dxa" w:w="2880"/>
            <w:shd w:val="clear" w:color="auto" w:fill="1F497D"/>
          </w:tcPr>
          <w:p>
            <w:r>
              <w:rPr>
                <w:b/>
                <w:color w:val="FFFFFF"/>
                <w:sz w:val="20"/>
              </w:rPr>
              <w:t>Hypothesis</w:t>
            </w:r>
          </w:p>
        </w:tc>
        <w:tc>
          <w:tcPr>
            <w:tcW w:type="dxa" w:w="3600"/>
            <w:shd w:val="clear" w:color="auto" w:fill="1F497D"/>
          </w:tcPr>
          <w:p>
            <w:r>
              <w:rPr>
                <w:b/>
                <w:color w:val="FFFFFF"/>
                <w:sz w:val="20"/>
              </w:rPr>
              <w:t>Reasoning</w:t>
            </w:r>
          </w:p>
        </w:tc>
        <w:tc>
          <w:tcPr>
            <w:tcW w:type="dxa" w:w="2448"/>
            <w:shd w:val="clear" w:color="auto" w:fill="1F497D"/>
          </w:tcPr>
          <w:p>
            <w:r>
              <w:rPr>
                <w:b/>
                <w:color w:val="FFFFFF"/>
                <w:sz w:val="20"/>
              </w:rPr>
              <w:t>Risk</w:t>
            </w:r>
          </w:p>
        </w:tc>
      </w:tr>
      <w:tr>
        <w:tc>
          <w:tcPr>
            <w:tcW w:type="dxa" w:w="2880"/>
            <w:shd w:val="clear" w:color="auto" w:fill="F2F7FF"/>
          </w:tcPr>
          <w:p>
            <w:r>
              <w:rPr>
                <w:color w:val="595959"/>
                <w:sz w:val="20"/>
              </w:rPr>
              <w:t>1:5 or 1:10 negative sampling will improve AUPRC on cold-drug splits.</w:t>
            </w:r>
          </w:p>
        </w:tc>
        <w:tc>
          <w:tcPr>
            <w:tcW w:type="dxa" w:w="3600"/>
            <w:shd w:val="clear" w:color="auto" w:fill="F2F7FF"/>
          </w:tcPr>
          <w:p>
            <w:r>
              <w:rPr>
                <w:color w:val="595959"/>
                <w:sz w:val="20"/>
              </w:rPr>
              <w:t>A model trained on 1:1 data is not calibrated for realistic imbalance. More negatives during training should improve precision at low recall.</w:t>
            </w:r>
          </w:p>
        </w:tc>
        <w:tc>
          <w:tcPr>
            <w:tcW w:type="dxa" w:w="2448"/>
            <w:shd w:val="clear" w:color="auto" w:fill="F2F7FF"/>
          </w:tcPr>
          <w:p>
            <w:r>
              <w:rPr>
                <w:color w:val="595959"/>
                <w:sz w:val="20"/>
              </w:rPr>
              <w:t>Low: the proposal explicitly recommends these ratios.</w:t>
            </w:r>
          </w:p>
        </w:tc>
      </w:tr>
      <w:tr>
        <w:tc>
          <w:tcPr>
            <w:tcW w:type="dxa" w:w="2880"/>
            <w:shd w:val="clear" w:color="auto" w:fill="FFFFFF"/>
          </w:tcPr>
          <w:p>
            <w:r>
              <w:rPr>
                <w:color w:val="595959"/>
                <w:sz w:val="20"/>
              </w:rPr>
              <w:t>Focal Loss with γ=3 will outperform γ=2 on the most imbalanced splits.</w:t>
            </w:r>
          </w:p>
        </w:tc>
        <w:tc>
          <w:tcPr>
            <w:tcW w:type="dxa" w:w="3600"/>
            <w:shd w:val="clear" w:color="auto" w:fill="FFFFFF"/>
          </w:tcPr>
          <w:p>
            <w:r>
              <w:rPr>
                <w:color w:val="595959"/>
                <w:sz w:val="20"/>
              </w:rPr>
              <w:t>Higher γ focuses more strongly on hard-to-classify samples, which are more common under 1:10 sampling.</w:t>
            </w:r>
          </w:p>
        </w:tc>
        <w:tc>
          <w:tcPr>
            <w:tcW w:type="dxa" w:w="2448"/>
            <w:shd w:val="clear" w:color="auto" w:fill="FFFFFF"/>
          </w:tcPr>
          <w:p>
            <w:r>
              <w:rPr>
                <w:color w:val="595959"/>
                <w:sz w:val="20"/>
              </w:rPr>
              <w:t>Medium: optimal γ depends on the specific imbalance level.</w:t>
            </w:r>
          </w:p>
        </w:tc>
      </w:tr>
      <w:tr>
        <w:tc>
          <w:tcPr>
            <w:tcW w:type="dxa" w:w="2880"/>
            <w:shd w:val="clear" w:color="auto" w:fill="F2F7FF"/>
          </w:tcPr>
          <w:p>
            <w:r>
              <w:rPr>
                <w:color w:val="595959"/>
                <w:sz w:val="20"/>
              </w:rPr>
              <w:t>Weighted BCE will underperform Focal Loss when combined with 1:10 sampling.</w:t>
            </w:r>
          </w:p>
        </w:tc>
        <w:tc>
          <w:tcPr>
            <w:tcW w:type="dxa" w:w="3600"/>
            <w:shd w:val="clear" w:color="auto" w:fill="F2F7FF"/>
          </w:tcPr>
          <w:p>
            <w:r>
              <w:rPr>
                <w:color w:val="595959"/>
                <w:sz w:val="20"/>
              </w:rPr>
              <w:t>Focal Loss is specifically designed for extreme imbalance; BCE rebalancing is less adaptive.</w:t>
            </w:r>
          </w:p>
        </w:tc>
        <w:tc>
          <w:tcPr>
            <w:tcW w:type="dxa" w:w="2448"/>
            <w:shd w:val="clear" w:color="auto" w:fill="F2F7FF"/>
          </w:tcPr>
          <w:p>
            <w:r>
              <w:rPr>
                <w:color w:val="595959"/>
                <w:sz w:val="20"/>
              </w:rPr>
              <w:t>Low-medium: weighted BCE is a well-established strong baseline.</w:t>
            </w:r>
          </w:p>
        </w:tc>
      </w:tr>
    </w:tbl>
    <w:p/>
    <w:p>
      <w:pPr>
        <w:spacing w:before="240" w:after="40"/>
      </w:pPr>
      <w:r>
        <w:rPr>
          <w:b/>
          <w:color w:val="007078"/>
          <w:sz w:val="26"/>
        </w:rPr>
        <w:t>11.3  Phase 3 — Pretraining</w:t>
      </w:r>
    </w:p>
    <w:tbl>
      <w:tblPr>
        <w:tblStyle w:val="TableGrid"/>
        <w:tblW w:type="auto" w:w="0"/>
        <w:tblLook w:firstColumn="1" w:firstRow="1" w:lastColumn="0" w:lastRow="0" w:noHBand="0" w:noVBand="1" w:val="04A0"/>
      </w:tblPr>
      <w:tblGrid>
        <w:gridCol w:w="3041"/>
        <w:gridCol w:w="3041"/>
        <w:gridCol w:w="3041"/>
      </w:tblGrid>
      <w:tr>
        <w:tc>
          <w:tcPr>
            <w:tcW w:type="dxa" w:w="2880"/>
            <w:shd w:val="clear" w:color="auto" w:fill="1F497D"/>
          </w:tcPr>
          <w:p>
            <w:r>
              <w:rPr>
                <w:b/>
                <w:color w:val="FFFFFF"/>
                <w:sz w:val="20"/>
              </w:rPr>
              <w:t>Hypothesis</w:t>
            </w:r>
          </w:p>
        </w:tc>
        <w:tc>
          <w:tcPr>
            <w:tcW w:type="dxa" w:w="3600"/>
            <w:shd w:val="clear" w:color="auto" w:fill="1F497D"/>
          </w:tcPr>
          <w:p>
            <w:r>
              <w:rPr>
                <w:b/>
                <w:color w:val="FFFFFF"/>
                <w:sz w:val="20"/>
              </w:rPr>
              <w:t>Reasoning</w:t>
            </w:r>
          </w:p>
        </w:tc>
        <w:tc>
          <w:tcPr>
            <w:tcW w:type="dxa" w:w="2448"/>
            <w:shd w:val="clear" w:color="auto" w:fill="1F497D"/>
          </w:tcPr>
          <w:p>
            <w:r>
              <w:rPr>
                <w:b/>
                <w:color w:val="FFFFFF"/>
                <w:sz w:val="20"/>
              </w:rPr>
              <w:t>Risk</w:t>
            </w:r>
          </w:p>
        </w:tc>
      </w:tr>
      <w:tr>
        <w:tc>
          <w:tcPr>
            <w:tcW w:type="dxa" w:w="2880"/>
            <w:shd w:val="clear" w:color="auto" w:fill="F2F7FF"/>
          </w:tcPr>
          <w:p>
            <w:r>
              <w:rPr>
                <w:color w:val="595959"/>
                <w:sz w:val="20"/>
              </w:rPr>
              <w:t>Supervised pretraining on BindingDB will improve cold-drug AUROC on yamanishi_e by ≥ 0.05.</w:t>
            </w:r>
          </w:p>
        </w:tc>
        <w:tc>
          <w:tcPr>
            <w:tcW w:type="dxa" w:w="3600"/>
            <w:shd w:val="clear" w:color="auto" w:fill="F2F7FF"/>
          </w:tcPr>
          <w:p>
            <w:r>
              <w:rPr>
                <w:color w:val="595959"/>
                <w:sz w:val="20"/>
              </w:rPr>
              <w:t>BindingDB contains hundreds of thousands of diverse drug–protein interactions; the drug encoder should learn scaffold-independent binding features.</w:t>
            </w:r>
          </w:p>
        </w:tc>
        <w:tc>
          <w:tcPr>
            <w:tcW w:type="dxa" w:w="2448"/>
            <w:shd w:val="clear" w:color="auto" w:fill="F2F7FF"/>
          </w:tcPr>
          <w:p>
            <w:r>
              <w:rPr>
                <w:color w:val="595959"/>
                <w:sz w:val="20"/>
              </w:rPr>
              <w:t>Medium: if BindingDB and yamanishi_e have very different molecular distributions, pretraining may not transfer.</w:t>
            </w:r>
          </w:p>
        </w:tc>
      </w:tr>
      <w:tr>
        <w:tc>
          <w:tcPr>
            <w:tcW w:type="dxa" w:w="2880"/>
            <w:shd w:val="clear" w:color="auto" w:fill="FFFFFF"/>
          </w:tcPr>
          <w:p>
            <w:r>
              <w:rPr>
                <w:color w:val="595959"/>
                <w:sz w:val="20"/>
              </w:rPr>
              <w:t>Cross-dataset AUROC (BindingDB → yamanishi_e) will exceed 0.60.</w:t>
            </w:r>
          </w:p>
        </w:tc>
        <w:tc>
          <w:tcPr>
            <w:tcW w:type="dxa" w:w="3600"/>
            <w:shd w:val="clear" w:color="auto" w:fill="FFFFFF"/>
          </w:tcPr>
          <w:p>
            <w:r>
              <w:rPr>
                <w:color w:val="595959"/>
                <w:sz w:val="20"/>
              </w:rPr>
              <w:t>Pretraining on a larger, more diverse dataset should learn more general binding representations than luo_17-only training.</w:t>
            </w:r>
          </w:p>
        </w:tc>
        <w:tc>
          <w:tcPr>
            <w:tcW w:type="dxa" w:w="2448"/>
            <w:shd w:val="clear" w:color="auto" w:fill="FFFFFF"/>
          </w:tcPr>
          <w:p>
            <w:r>
              <w:rPr>
                <w:color w:val="595959"/>
                <w:sz w:val="20"/>
              </w:rPr>
              <w:t>Medium: the yamanishi_e enzyme family is very specific; generic binding pretraining may not capture enzyme-specific features.</w:t>
            </w:r>
          </w:p>
        </w:tc>
      </w:tr>
      <w:tr>
        <w:tc>
          <w:tcPr>
            <w:tcW w:type="dxa" w:w="2880"/>
            <w:shd w:val="clear" w:color="auto" w:fill="F2F7FF"/>
          </w:tcPr>
          <w:p>
            <w:r>
              <w:rPr>
                <w:color w:val="595959"/>
                <w:sz w:val="20"/>
              </w:rPr>
              <w:t>DTA fine-tuning (P3-D) will improve Davis Pearson r by ≥ 0.02.</w:t>
            </w:r>
          </w:p>
        </w:tc>
        <w:tc>
          <w:tcPr>
            <w:tcW w:type="dxa" w:w="3600"/>
            <w:shd w:val="clear" w:color="auto" w:fill="F2F7FF"/>
          </w:tcPr>
          <w:p>
            <w:r>
              <w:rPr>
                <w:color w:val="595959"/>
                <w:sz w:val="20"/>
              </w:rPr>
              <w:t>BindingDB contains affinity data (Ki, Kd); a model pretrained on affinity prediction should generalise better.</w:t>
            </w:r>
          </w:p>
        </w:tc>
        <w:tc>
          <w:tcPr>
            <w:tcW w:type="dxa" w:w="2448"/>
            <w:shd w:val="clear" w:color="auto" w:fill="F2F7FF"/>
          </w:tcPr>
          <w:p>
            <w:r>
              <w:rPr>
                <w:color w:val="595959"/>
                <w:sz w:val="20"/>
              </w:rPr>
              <w:t>Low: affinity values are noisier in BindingDB than in Davis.</w:t>
            </w:r>
          </w:p>
        </w:tc>
      </w:tr>
    </w:tbl>
    <w:p/>
    <w:p>
      <w:pPr>
        <w:spacing w:before="240" w:after="40"/>
      </w:pPr>
      <w:r>
        <w:rPr>
          <w:b/>
          <w:color w:val="007078"/>
          <w:sz w:val="26"/>
        </w:rPr>
        <w:t>11.4  Final Objective 2 Contribution</w:t>
      </w:r>
    </w:p>
    <w:p>
      <w:pPr>
        <w:spacing w:before="120" w:after="120"/>
        <w:ind w:left="567"/>
        <w:pBdr>
          <w:left w:val="single" w:sz="12" w:space="6" w:color="19762E"/>
        </w:pBdr>
      </w:pPr>
      <w:r>
        <w:rPr>
          <w:i/>
          <w:color w:val="595959"/>
          <w:sz w:val="21"/>
        </w:rPr>
        <w:t>Success criteria for Objective 2: the best Objective 2 configuration achieves statistically significant improvement (p &lt; 0.05, paired t-test, 5 seeds) over the Objective 1 baseline on at least two of: (1) yamanishi_e cold-drug AUROC, (2) yamanishi_e cold-target AUROC, (3) luo_17 cold-target AUROC, (4) cross-dataset AUROC. Meeting this criteria satisfies the proposal's objective of 'significantly enhancing predictive performance on unseen drugs, unseen targets, and cross-dataset conditions.'</w:t>
      </w:r>
    </w:p>
    <w:p>
      <w:r>
        <w:br w:type="page"/>
      </w:r>
    </w:p>
    <w:p>
      <w:pPr>
        <w:spacing w:before="360" w:after="80"/>
        <w:pBdr>
          <w:bottom w:val="single" w:sz="6" w:space="1" w:color="1F497D"/>
        </w:pBdr>
      </w:pPr>
      <w:r>
        <w:rPr>
          <w:b/>
          <w:color w:val="1F497D"/>
          <w:sz w:val="32"/>
        </w:rPr>
        <w:t>12.  Conclusion</w:t>
      </w:r>
    </w:p>
    <w:p>
      <w:pPr>
        <w:spacing w:before="40" w:after="80"/>
      </w:pPr>
      <w:r>
        <w:rPr>
          <w:color w:val="595959"/>
          <w:sz w:val="22"/>
        </w:rPr>
        <w:t>Objective 2 is the generalisation objective of the H-GNN-RNN-DTI project. It takes the validated H-GNN-RNN-DTI architecture from Objective 1 and asks how to make it better at handling novel drugs, novel proteins, and completely new datasets — the three most practically important scenarios in real drug discovery.</w:t>
      </w:r>
    </w:p>
    <w:p>
      <w:pPr>
        <w:spacing w:before="40" w:after="80"/>
      </w:pPr>
      <w:r>
        <w:rPr>
          <w:color w:val="595959"/>
          <w:sz w:val="22"/>
        </w:rPr>
        <w:t>The analysis plan is structured in five phases:</w:t>
      </w:r>
    </w:p>
    <w:p>
      <w:pPr>
        <w:pStyle w:val="ListBullet"/>
        <w:spacing w:before="20" w:after="20"/>
        <w:ind w:left="454"/>
      </w:pPr>
      <w:r>
        <w:rPr>
          <w:color w:val="595959"/>
          <w:sz w:val="22"/>
        </w:rPr>
        <w:t>Phase 1 — Foundation Model Embedding Comparison: identifies the best protein and drug encoders by systematically testing ESM-2 (8M, 150M, 650M), ProtT5, ChemBERTa, and MoLFormer. This directly addresses the representation quality bottleneck.</w:t>
      </w:r>
    </w:p>
    <w:p>
      <w:pPr>
        <w:pStyle w:val="ListBullet"/>
        <w:spacing w:before="20" w:after="20"/>
        <w:ind w:left="454"/>
      </w:pPr>
      <w:r>
        <w:rPr>
          <w:color w:val="595959"/>
          <w:sz w:val="22"/>
        </w:rPr>
        <w:t>Phase 2 — Imbalance-Aware Learning: tests negative sampling ratios (1:1, 1:5, 1:10) and loss function variants (Focal Loss γ-sweep, Weighted BCE) to address class imbalance, which is a persistent challenge in DTI prediction.</w:t>
      </w:r>
    </w:p>
    <w:p>
      <w:pPr>
        <w:pStyle w:val="ListBullet"/>
        <w:spacing w:before="20" w:after="20"/>
        <w:ind w:left="454"/>
      </w:pPr>
      <w:r>
        <w:rPr>
          <w:color w:val="595959"/>
          <w:sz w:val="22"/>
        </w:rPr>
        <w:t>Phase 3 — Self-Supervised Pretraining: implements and evaluates supervised pretraining on BindingDB followed by fine-tuning on target datasets. This is the primary mechanism for improving cross-dataset transfer.</w:t>
      </w:r>
    </w:p>
    <w:p>
      <w:pPr>
        <w:pStyle w:val="ListBullet"/>
        <w:spacing w:before="20" w:after="20"/>
        <w:ind w:left="454"/>
      </w:pPr>
      <w:r>
        <w:rPr>
          <w:color w:val="595959"/>
          <w:sz w:val="22"/>
        </w:rPr>
        <w:t>Phase 4 — Cold-Start and Cross-Dataset Evaluation: assembles the best settings from Phases 1–3 into a comprehensive evaluation across all four split types and multiple source–target dataset pairs, including the key BindingDB → yamanishi_e cross-dataset transfer.</w:t>
      </w:r>
    </w:p>
    <w:p>
      <w:pPr>
        <w:pStyle w:val="ListBullet"/>
        <w:spacing w:before="20" w:after="20"/>
        <w:ind w:left="454"/>
      </w:pPr>
      <w:r>
        <w:rPr>
          <w:color w:val="595959"/>
          <w:sz w:val="22"/>
        </w:rPr>
        <w:t>Phase 5 — Statistical Ablation: isolates the contribution of each component and reports significance for all 8 configurations against the Objective 1 baseline.</w:t>
      </w:r>
    </w:p>
    <w:p>
      <w:pPr>
        <w:spacing w:before="40" w:after="80"/>
      </w:pPr>
      <w:r>
        <w:rPr>
          <w:color w:val="595959"/>
          <w:sz w:val="22"/>
        </w:rPr>
        <w:t>The minimum viable Objective 2 — embedding size comparison and negative ratio sweep — can be completed on CPU in approximately 8–12 days. The full Objective 2, including BindingDB pretraining, requires GPU access. Securing GPU access should be the first priority action item.</w:t>
      </w:r>
    </w:p>
    <w:p>
      <w:pPr>
        <w:spacing w:before="120" w:after="120"/>
        <w:ind w:left="567"/>
        <w:pBdr>
          <w:left w:val="single" w:sz="12" w:space="6" w:color="19762E"/>
        </w:pBdr>
      </w:pPr>
      <w:r>
        <w:rPr>
          <w:i/>
          <w:color w:val="595959"/>
          <w:sz w:val="21"/>
        </w:rPr>
        <w:t>Objective 2 does not require changing the model architecture. It requires changing what the model is initialised with, what it reads as input, and how it is trained to handle imbalanced data. The modular design of the codebase means each of these changes can be made with small, targeted modifications to the preprocessing scripts and the train.py training loop.</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