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Times New Roman" w:hAnsi="Times New Roman"/>
          <w:b/>
          <w:i w:val="0"/>
          <w:color w:val="1A375C"/>
          <w:sz w:val="36"/>
        </w:rPr>
        <w:t>ENHANCED DRUG-TARGET INTERACTION PREDICTION</w:t>
        <w:br/>
        <w:t>THROUGH HYBRID DEEP LEARNING APPROACHES</w:t>
      </w:r>
    </w:p>
    <w:p>
      <w:pPr>
        <w:spacing w:after="40"/>
      </w:pPr>
    </w:p>
    <w:p>
      <w:pPr>
        <w:spacing w:after="40"/>
      </w:pPr>
    </w:p>
    <w:p>
      <w:pPr>
        <w:spacing w:after="40"/>
      </w:pPr>
    </w:p>
    <w:p>
      <w:pPr>
        <w:jc w:val="center"/>
      </w:pPr>
      <w:r>
        <w:rPr>
          <w:rFonts w:ascii="Times New Roman" w:hAnsi="Times New Roman"/>
          <w:b w:val="0"/>
          <w:i w:val="0"/>
          <w:sz w:val="26"/>
        </w:rPr>
        <w:t>JAMILA ABDUL-HADI</w:t>
        <w:br/>
        <w:t>Matric: 24100625</w:t>
      </w:r>
    </w:p>
    <w:p>
      <w:pPr>
        <w:spacing w:after="40"/>
      </w:pPr>
    </w:p>
    <w:p>
      <w:pPr>
        <w:spacing w:after="40"/>
      </w:pPr>
    </w:p>
    <w:p>
      <w:pPr>
        <w:jc w:val="center"/>
      </w:pPr>
      <w:r>
        <w:rPr>
          <w:rFonts w:ascii="Times New Roman" w:hAnsi="Times New Roman"/>
          <w:b w:val="0"/>
          <w:i w:val="0"/>
          <w:sz w:val="24"/>
        </w:rPr>
        <w:t>PhD Thesis</w:t>
        <w:br/>
        <w:t>School of Computer Sciences</w:t>
        <w:br/>
        <w:t>Universiti Sains Malaysia</w:t>
        <w:br/>
        <w:t>2026</w:t>
      </w:r>
    </w:p>
    <w:p>
      <w:pPr>
        <w:spacing w:after="40"/>
      </w:pPr>
    </w:p>
    <w:p>
      <w:pPr>
        <w:jc w:val="center"/>
      </w:pPr>
      <w:r>
        <w:rPr>
          <w:rFonts w:ascii="Times New Roman" w:hAnsi="Times New Roman"/>
          <w:b w:val="0"/>
          <w:i/>
          <w:color w:val="007B8A"/>
          <w:sz w:val="22"/>
        </w:rPr>
        <w:t>Supervisor: Assoc. Prof. Dr. Nurul Hashimah Ahamed Hassain Malim</w:t>
      </w:r>
    </w:p>
    <w:p>
      <w:r>
        <w:br w:type="page"/>
      </w:r>
    </w:p>
    <w:p>
      <w:pPr>
        <w:spacing w:before="360" w:after="120"/>
        <w:jc w:val="left"/>
      </w:pPr>
      <w:r>
        <w:rPr>
          <w:rFonts w:ascii="Times New Roman" w:hAnsi="Times New Roman"/>
          <w:b/>
          <w:i w:val="0"/>
          <w:color w:val="1A375C"/>
          <w:sz w:val="32"/>
        </w:rPr>
        <w:t>ABSTRACT</w:t>
      </w:r>
    </w:p>
    <w:p>
      <w:pPr>
        <w:spacing w:after="80"/>
        <w:ind w:left="0"/>
        <w:jc w:val="both"/>
      </w:pPr>
      <w:r>
        <w:rPr>
          <w:rFonts w:ascii="Times New Roman" w:hAnsi="Times New Roman"/>
          <w:b w:val="0"/>
          <w:i w:val="0"/>
          <w:sz w:val="22"/>
        </w:rPr>
        <w:t>Accurately predicting drug–target interactions (DTIs) is a cornerstone of modern drug discovery, enabling efficient identification of therapeutic candidates, drug repurposing opportunities, and potential off-target effects. Despite recent advances in deep learning, existing architectures still face persistent challenges: weak cross-modal feature integration due to shallow fusion of heterogeneous drug and protein representations, poor generalisation in cold-start scenarios involving unseen drugs or targets, and limited interpretability that hinders translational applicability.</w:t>
      </w:r>
    </w:p>
    <w:p>
      <w:pPr>
        <w:spacing w:after="80"/>
        <w:ind w:left="0"/>
        <w:jc w:val="both"/>
      </w:pPr>
      <w:r>
        <w:rPr>
          <w:rFonts w:ascii="Times New Roman" w:hAnsi="Times New Roman"/>
          <w:b w:val="0"/>
          <w:i w:val="0"/>
          <w:sz w:val="22"/>
        </w:rPr>
        <w:t>This thesis presents H-GNN-RNN-DTI, a hybrid deep learning model that synergistically integrates a 3-layer Hierarchical Graph Attention Network (H-GAT) for drug encoding with a 2-layer Bidirectional Gated Recurrent Unit (BiGRU) for protein encoding, fused through a novel Gated Cross-Attention (GCA) mechanism. Three research objectives were addressed: (1) architectural design and evaluation of the cross-modal fusion strategy; (2) enhancement of cold-start generalisation through imbalance-aware training, larger protein language models (ESM-2 150M), and large-scale pre-training on BindingDB; and (3) attention-based interpretability including drug atom attribution, protein residue attribution, and pharmacophore validation.</w:t>
      </w:r>
    </w:p>
    <w:p>
      <w:pPr>
        <w:spacing w:after="80"/>
        <w:ind w:left="0"/>
        <w:jc w:val="both"/>
      </w:pPr>
      <w:r>
        <w:rPr>
          <w:rFonts w:ascii="Times New Roman" w:hAnsi="Times New Roman"/>
          <w:b w:val="0"/>
          <w:i w:val="0"/>
          <w:sz w:val="22"/>
        </w:rPr>
        <w:t>H-GNN-RNN-DTI was evaluated on four benchmark datasets (Yamanishi_e, Luo_17, DAVIS, KIBA) across four cold-start split types (random, cold_drug, cold_target, cold_pair), with all results reported over five random seeds with paired t-tests. Key results: the Gated Cross-Attention fusion outperformed concatenation-based fusion on 3/8 DTI configurations (p&lt;0.05) and on 5/6 Davis DTA metrics (p&lt;0.05). On cold-start splits, 1:5 negative sampling improved Yamanishi_e cold_target AUROC from 0.438 to 0.706 (+0.268, p&lt;0.01). ESM-2 150M improved Luo_17 cold_target AUROC by +0.069 (p&lt;0.01). BindingDB pre-training improved Luo_17 cold_target AUROC by +0.055 (p&lt;0.01) while revealing negative transfer on Yamanishi_e. Interpretability analysis confirmed causal validity of atom attributions (faithfulness advantage +0.106 for the Ensemble method) and biological relevance of residue attributions (DHFR binding site AUROC=0.613, enrichment factor 2.81× at 10%).</w:t>
      </w:r>
    </w:p>
    <w:p>
      <w:pPr>
        <w:spacing w:after="80"/>
        <w:ind w:left="0"/>
        <w:jc w:val="both"/>
      </w:pPr>
      <w:r>
        <w:rPr>
          <w:rFonts w:ascii="Times New Roman" w:hAnsi="Times New Roman"/>
          <w:b w:val="0"/>
          <w:i w:val="0"/>
          <w:sz w:val="22"/>
        </w:rPr>
        <w:t>The findings establish H-GNN-RNN-DTI as a fully inductive, interpretable, and dual-task architecture that advances cold-start DTI generalisation and provides biologically meaningful explanations without structural supervision.</w:t>
      </w:r>
    </w:p>
    <w:p>
      <w:pPr>
        <w:spacing w:after="40"/>
      </w:pPr>
    </w:p>
    <w:p>
      <w:r>
        <w:rPr>
          <w:rFonts w:ascii="Times New Roman" w:hAnsi="Times New Roman"/>
          <w:b/>
          <w:i w:val="0"/>
          <w:sz w:val="22"/>
        </w:rPr>
        <w:t xml:space="preserve">Keywords: </w:t>
      </w:r>
      <w:r>
        <w:rPr>
          <w:rFonts w:ascii="Times New Roman" w:hAnsi="Times New Roman"/>
          <w:b w:val="0"/>
          <w:i/>
          <w:sz w:val="22"/>
        </w:rPr>
        <w:t>Drug-target interaction, Graph attention network, BiGRU, Gated cross-attention, Cold-start generalisation, Interpretability, Pharmacophore, Protein language model</w:t>
      </w:r>
    </w:p>
    <w:p>
      <w:r>
        <w:br w:type="page"/>
      </w:r>
    </w:p>
    <w:p>
      <w:pPr>
        <w:spacing w:before="360" w:after="120"/>
        <w:jc w:val="left"/>
      </w:pPr>
      <w:r>
        <w:rPr>
          <w:rFonts w:ascii="Times New Roman" w:hAnsi="Times New Roman"/>
          <w:b/>
          <w:i w:val="0"/>
          <w:color w:val="1A375C"/>
          <w:sz w:val="32"/>
        </w:rPr>
        <w:t>CHAPTER 1: INTRODUCTION</w:t>
      </w:r>
    </w:p>
    <w:p>
      <w:pPr>
        <w:spacing w:before="240" w:after="80"/>
        <w:jc w:val="left"/>
      </w:pPr>
      <w:r>
        <w:rPr>
          <w:rFonts w:ascii="Times New Roman" w:hAnsi="Times New Roman"/>
          <w:b/>
          <w:i w:val="0"/>
          <w:color w:val="007B8A"/>
          <w:sz w:val="26"/>
        </w:rPr>
        <w:t>1.1 Background and Motivation</w:t>
      </w:r>
    </w:p>
    <w:p>
      <w:pPr>
        <w:spacing w:after="80"/>
        <w:ind w:left="0"/>
        <w:jc w:val="both"/>
      </w:pPr>
      <w:r>
        <w:rPr>
          <w:rFonts w:ascii="Times New Roman" w:hAnsi="Times New Roman"/>
          <w:b w:val="0"/>
          <w:i w:val="0"/>
          <w:sz w:val="22"/>
        </w:rPr>
        <w:t>Identifying the intricate interactions between drugs and their target proteins is a fundamental step in the drug discovery pipeline. This process extends beyond understanding disease mechanisms; it is pivotal for uncovering unexpected therapeutic activities and anticipating adverse side effects. By accurately predicting these interactions, researchers can gain a deeper understanding of how chemical compounds modulate biological behaviour, potentially returning a diseased state to normalcy (Tanoli et al., 2025; Yang et al., 2024).</w:t>
      </w:r>
    </w:p>
    <w:p>
      <w:pPr>
        <w:spacing w:after="80"/>
        <w:ind w:left="0"/>
        <w:jc w:val="both"/>
      </w:pPr>
      <w:r>
        <w:rPr>
          <w:rFonts w:ascii="Times New Roman" w:hAnsi="Times New Roman"/>
          <w:b w:val="0"/>
          <w:i w:val="0"/>
          <w:sz w:val="22"/>
        </w:rPr>
        <w:t>The traditional drug development process is notoriously slow and expensive. According to Khojasteh et al. (2023), developing and approving a new drug can cost approximately $2.6 billion and take 15 years. This temporal and economic bottleneck severely limits the number of drug candidates that reach the market. Computational approaches for DTI prediction have received considerable attention as a means to overcome these limitations: by screening large molecular libraries in silico, researchers can prioritise the most promising candidates for experimental validation (Chen et al., 2016; Luo et al., 2024).</w:t>
      </w:r>
    </w:p>
    <w:p>
      <w:pPr>
        <w:spacing w:after="80"/>
        <w:ind w:left="0"/>
        <w:jc w:val="both"/>
      </w:pPr>
      <w:r>
        <w:rPr>
          <w:rFonts w:ascii="Times New Roman" w:hAnsi="Times New Roman"/>
          <w:b w:val="0"/>
          <w:i w:val="0"/>
          <w:sz w:val="22"/>
        </w:rPr>
        <w:t>Deep learning has emerged as a particularly powerful paradigm for DTI prediction, enabling automatic feature extraction from raw biological representations (Vefghi et al., 2025). Two modalities are central: the graph structure of drug molecules and the sequential nature of protein amino acid sequences. Graph Neural Networks (GNNs) capture molecular topology; Recurrent Neural Networks (RNNs) capture sequential context in protein chains. The dominant trend in recent DTI research is to combine these modalities in hybrid architectures (Panahandeh &amp; Mansouri, 2025; Shan et al., 2025).</w:t>
      </w:r>
    </w:p>
    <w:p>
      <w:pPr>
        <w:spacing w:before="240" w:after="80"/>
        <w:jc w:val="left"/>
      </w:pPr>
      <w:r>
        <w:rPr>
          <w:rFonts w:ascii="Times New Roman" w:hAnsi="Times New Roman"/>
          <w:b/>
          <w:i w:val="0"/>
          <w:color w:val="007B8A"/>
          <w:sz w:val="26"/>
        </w:rPr>
        <w:t>1.2 Problem Statement</w:t>
      </w:r>
    </w:p>
    <w:p>
      <w:pPr>
        <w:spacing w:after="80"/>
        <w:ind w:left="0"/>
        <w:jc w:val="both"/>
      </w:pPr>
      <w:r>
        <w:rPr>
          <w:rFonts w:ascii="Times New Roman" w:hAnsi="Times New Roman"/>
          <w:b w:val="0"/>
          <w:i w:val="0"/>
          <w:sz w:val="22"/>
        </w:rPr>
        <w:t>Despite significant advances in hybrid DTI models, three critical limitations persist in the state of the art:</w:t>
      </w:r>
    </w:p>
    <w:p>
      <w:pPr>
        <w:pStyle w:val="ListBullet"/>
        <w:spacing w:after="60"/>
        <w:ind w:left="432"/>
      </w:pPr>
      <w:r>
        <w:rPr>
          <w:rFonts w:ascii="Times New Roman" w:hAnsi="Times New Roman"/>
          <w:b w:val="0"/>
          <w:i w:val="0"/>
          <w:sz w:val="22"/>
        </w:rPr>
        <w:t>Sub-optimal cross-modal feature integration: Models such as GSRF-DTI (Zhu et al., 2024) employ static late-fusion (concatenation) that prevents meaningful drug-protein interaction at the feature level. DTKGIN (Luo et al., 2024), despite its intent-graph design, relies on inner-product scoring without a dynamic attention-based fusion mechanism.</w:t>
      </w:r>
    </w:p>
    <w:p>
      <w:pPr>
        <w:pStyle w:val="ListBullet"/>
        <w:spacing w:after="60"/>
        <w:ind w:left="432"/>
      </w:pPr>
      <w:r>
        <w:rPr>
          <w:rFonts w:ascii="Times New Roman" w:hAnsi="Times New Roman"/>
          <w:b w:val="0"/>
          <w:i w:val="0"/>
          <w:sz w:val="22"/>
        </w:rPr>
        <w:t>Inadequate cold-start generalisation: Current models memorise training distribution patterns rather than learning transferable biochemical principles. Most do not incorporate pre-trained protein language model embeddings (e.g., ESM-2, ProtT5) that encode evolutionary and structural knowledge applicable to unseen drugs and targets.</w:t>
      </w:r>
    </w:p>
    <w:p>
      <w:pPr>
        <w:pStyle w:val="ListBullet"/>
        <w:spacing w:after="60"/>
        <w:ind w:left="432"/>
      </w:pPr>
      <w:r>
        <w:rPr>
          <w:rFonts w:ascii="Times New Roman" w:hAnsi="Times New Roman"/>
          <w:b w:val="0"/>
          <w:i w:val="0"/>
          <w:sz w:val="22"/>
        </w:rPr>
        <w:t>Limited interpretability: High-performing models are treated as black boxes. Random Forest-based models (GSRF-DTI) provide feature importances but no atom-level or residue-level attribution. Knowledge-graph models (DTKGIN, TTModel) lack attention-based visualisation of predicted binding sites.</w:t>
      </w:r>
    </w:p>
    <w:p>
      <w:pPr>
        <w:spacing w:after="80"/>
        <w:ind w:left="0"/>
        <w:jc w:val="both"/>
      </w:pPr>
      <w:r>
        <w:rPr>
          <w:rFonts w:ascii="Times New Roman" w:hAnsi="Times New Roman"/>
          <w:b w:val="0"/>
          <w:i w:val="0"/>
          <w:sz w:val="22"/>
        </w:rPr>
        <w:t>These limitations collectively constrain translational applicability: models that generalise poorly and cannot explain their predictions are of limited utility in rational drug design or drug repurposing.</w:t>
      </w:r>
    </w:p>
    <w:p>
      <w:pPr>
        <w:spacing w:before="240" w:after="80"/>
        <w:jc w:val="left"/>
      </w:pPr>
      <w:r>
        <w:rPr>
          <w:rFonts w:ascii="Times New Roman" w:hAnsi="Times New Roman"/>
          <w:b/>
          <w:i w:val="0"/>
          <w:color w:val="007B8A"/>
          <w:sz w:val="26"/>
        </w:rPr>
        <w:t>1.3 Research Questions</w:t>
      </w:r>
    </w:p>
    <w:p>
      <w:pPr>
        <w:spacing w:after="80"/>
        <w:ind w:left="0"/>
        <w:jc w:val="both"/>
      </w:pPr>
      <w:r>
        <w:rPr>
          <w:rFonts w:ascii="Times New Roman" w:hAnsi="Times New Roman"/>
          <w:b w:val="0"/>
          <w:i w:val="0"/>
          <w:sz w:val="22"/>
        </w:rPr>
        <w:t>This research addressed three specific questions:</w:t>
      </w:r>
    </w:p>
    <w:p>
      <w:pPr>
        <w:pStyle w:val="ListBullet"/>
        <w:spacing w:after="60"/>
        <w:ind w:left="432"/>
      </w:pPr>
      <w:r>
        <w:rPr>
          <w:rFonts w:ascii="Times New Roman" w:hAnsi="Times New Roman"/>
          <w:b w:val="0"/>
          <w:i w:val="0"/>
          <w:sz w:val="22"/>
        </w:rPr>
        <w:t>RQ1: How can a Gated Cross-Attention fusion mechanism effectively integrate GNN-based drug representations with RNN-based protein representations, and does this approach significantly improve DTI prediction compared to static concatenation?</w:t>
      </w:r>
    </w:p>
    <w:p>
      <w:pPr>
        <w:pStyle w:val="ListBullet"/>
        <w:spacing w:after="60"/>
        <w:ind w:left="432"/>
      </w:pPr>
      <w:r>
        <w:rPr>
          <w:rFonts w:ascii="Times New Roman" w:hAnsi="Times New Roman"/>
          <w:b w:val="0"/>
          <w:i w:val="0"/>
          <w:sz w:val="22"/>
        </w:rPr>
        <w:t>RQ2: To what extent can pre-trained molecular and protein language embeddings, combined with imbalance-aware learning strategies, improve generalisation to unseen drugs, unseen targets, and cross-dataset scenarios?</w:t>
      </w:r>
    </w:p>
    <w:p>
      <w:pPr>
        <w:pStyle w:val="ListBullet"/>
        <w:spacing w:after="60"/>
        <w:ind w:left="432"/>
      </w:pPr>
      <w:r>
        <w:rPr>
          <w:rFonts w:ascii="Times New Roman" w:hAnsi="Times New Roman"/>
          <w:b w:val="0"/>
          <w:i w:val="0"/>
          <w:sz w:val="22"/>
        </w:rPr>
        <w:t>RQ3: Can an attention-enhanced hybrid model provide interpretable and biologically meaningful insights by identifying key binding residues and pharmacophoric features?</w:t>
      </w:r>
    </w:p>
    <w:p>
      <w:pPr>
        <w:spacing w:before="240" w:after="80"/>
        <w:jc w:val="left"/>
      </w:pPr>
      <w:r>
        <w:rPr>
          <w:rFonts w:ascii="Times New Roman" w:hAnsi="Times New Roman"/>
          <w:b/>
          <w:i w:val="0"/>
          <w:color w:val="007B8A"/>
          <w:sz w:val="26"/>
        </w:rPr>
        <w:t>1.4 Research Objectives</w:t>
      </w:r>
    </w:p>
    <w:p>
      <w:pPr>
        <w:spacing w:after="80"/>
        <w:ind w:left="0"/>
        <w:jc w:val="both"/>
      </w:pPr>
      <w:r>
        <w:rPr>
          <w:rFonts w:ascii="Times New Roman" w:hAnsi="Times New Roman"/>
          <w:b w:val="0"/>
          <w:i w:val="0"/>
          <w:sz w:val="22"/>
        </w:rPr>
        <w:t>The main aim was to design and evaluate H-GNN-RNN-DTI, an enhanced hybrid deep learning model combining GNNs and RNNs through a novel dynamic cross-modal fusion mechanism. Three specific objectives were pursued:</w:t>
      </w:r>
    </w:p>
    <w:p>
      <w:pPr>
        <w:pStyle w:val="ListBullet"/>
        <w:spacing w:after="60"/>
        <w:ind w:left="432"/>
      </w:pPr>
      <w:r>
        <w:rPr>
          <w:rFonts w:ascii="Times New Roman" w:hAnsi="Times New Roman"/>
          <w:b w:val="0"/>
          <w:i w:val="0"/>
          <w:sz w:val="22"/>
        </w:rPr>
        <w:t>Objective 1: To design and evaluate a hybrid model integrating structural graph and sequence encoders through a Gated Cross-Attention mechanism, and to assess whether this provides statistically significant performance improvements over concatenation-based fusion strategies.</w:t>
      </w:r>
    </w:p>
    <w:p>
      <w:pPr>
        <w:pStyle w:val="ListBullet"/>
        <w:spacing w:after="60"/>
        <w:ind w:left="432"/>
      </w:pPr>
      <w:r>
        <w:rPr>
          <w:rFonts w:ascii="Times New Roman" w:hAnsi="Times New Roman"/>
          <w:b w:val="0"/>
          <w:i w:val="0"/>
          <w:sz w:val="22"/>
        </w:rPr>
        <w:t>Objective 2: To develop and evaluate enhancement strategies — imbalance-aware training, larger protein language models (ESM-2 150M), and large-scale BindingDB pre-training — with the aim of significantly improving performance on cold-start generalisation scenarios.</w:t>
      </w:r>
    </w:p>
    <w:p>
      <w:pPr>
        <w:pStyle w:val="ListBullet"/>
        <w:spacing w:after="60"/>
        <w:ind w:left="432"/>
      </w:pPr>
      <w:r>
        <w:rPr>
          <w:rFonts w:ascii="Times New Roman" w:hAnsi="Times New Roman"/>
          <w:b w:val="0"/>
          <w:i w:val="0"/>
          <w:sz w:val="22"/>
        </w:rPr>
        <w:t>Objective 3: To implement and benchmark an attention-based interpretability layer that provides quantitative and visual explanations of DTI/DTA predictions, validated against PDB binding-site annotations.</w:t>
      </w:r>
    </w:p>
    <w:p>
      <w:pPr>
        <w:spacing w:before="240" w:after="80"/>
        <w:jc w:val="left"/>
      </w:pPr>
      <w:r>
        <w:rPr>
          <w:rFonts w:ascii="Times New Roman" w:hAnsi="Times New Roman"/>
          <w:b/>
          <w:i w:val="0"/>
          <w:color w:val="007B8A"/>
          <w:sz w:val="26"/>
        </w:rPr>
        <w:t>1.5 Scope of the Research</w:t>
      </w:r>
    </w:p>
    <w:p>
      <w:pPr>
        <w:spacing w:after="80"/>
        <w:ind w:left="0"/>
        <w:jc w:val="both"/>
      </w:pPr>
      <w:r>
        <w:rPr>
          <w:rFonts w:ascii="Times New Roman" w:hAnsi="Times New Roman"/>
          <w:b w:val="0"/>
          <w:i w:val="0"/>
          <w:sz w:val="22"/>
        </w:rPr>
        <w:t>This research addressed computational DTI/DTA prediction using established public datasets. Drug molecules were represented as molecular graphs (SMILES → PyG Data objects via RDKit, with ChemBERTa embeddings). Proteins were represented using ESM-2 embeddings (8M and 150M parameter variants). Datasets used: Yamanishi_e and Luo_17 for DTI binary classification; DAVIS and KIBA for DTA regression; BindingDB for pre-training (49,499 pairs). Evaluation emphasised cold-start generalisation (cold_drug, cold_target, cold_pair splits) and interpretability validation against PDB crystal structures.</w:t>
      </w:r>
    </w:p>
    <w:p>
      <w:pPr>
        <w:spacing w:after="80"/>
        <w:ind w:left="0"/>
        <w:jc w:val="both"/>
      </w:pPr>
      <w:r>
        <w:rPr>
          <w:rFonts w:ascii="Times New Roman" w:hAnsi="Times New Roman"/>
          <w:b w:val="0"/>
          <w:i w:val="0"/>
          <w:sz w:val="22"/>
        </w:rPr>
        <w:t>The research explicitly excluded wet-lab validation, non-small-molecule ligands (e.g., peptides), and large-scale industrial deployment. The interpretability analysis was performed on selected representative drug-protein pairs rather than exhaustive screening.</w:t>
      </w:r>
    </w:p>
    <w:p>
      <w:pPr>
        <w:spacing w:before="240" w:after="80"/>
        <w:jc w:val="left"/>
      </w:pPr>
      <w:r>
        <w:rPr>
          <w:rFonts w:ascii="Times New Roman" w:hAnsi="Times New Roman"/>
          <w:b/>
          <w:i w:val="0"/>
          <w:color w:val="007B8A"/>
          <w:sz w:val="26"/>
        </w:rPr>
        <w:t>1.6 Significance of the Research</w:t>
      </w:r>
    </w:p>
    <w:p>
      <w:pPr>
        <w:spacing w:after="80"/>
        <w:ind w:left="0"/>
        <w:jc w:val="both"/>
      </w:pPr>
      <w:r>
        <w:rPr>
          <w:rFonts w:ascii="Times New Roman" w:hAnsi="Times New Roman"/>
          <w:b w:val="0"/>
          <w:i w:val="0"/>
          <w:sz w:val="22"/>
        </w:rPr>
        <w:t>This research makes four primary contributions. First, it advances hybrid deep learning by introducing a principled cross-modal fusion mechanism (Gated Cross-Attention) that enables context-aware integration of molecular graph and protein sequence features beyond simple concatenation. Second, it establishes a systematic study of enhancement strategies for cold-start generalisation, revealing non-additive interactions between components and a clear hierarchy: negative-sampling ratio &gt; pre-training &gt; embedding scale. Third, it demonstrates that attention-based attributions from the model recover biologically meaningful binding sites without structural supervision (DHFR EF=2.81× at 10% recall). Fourth, it provides a fully inductive, dual-task (DTI+DTA) architecture that achieves cold-target AUROC of 0.778 on Luo_17 versus 0.362 for the transductive GSRF-DTI baseline — a fundamental advantage for prospective drug discovery.</w:t>
      </w:r>
    </w:p>
    <w:p>
      <w:pPr>
        <w:spacing w:before="240" w:after="80"/>
        <w:jc w:val="left"/>
      </w:pPr>
      <w:r>
        <w:rPr>
          <w:rFonts w:ascii="Times New Roman" w:hAnsi="Times New Roman"/>
          <w:b/>
          <w:i w:val="0"/>
          <w:color w:val="007B8A"/>
          <w:sz w:val="26"/>
        </w:rPr>
        <w:t>1.7 Organisation of the Thesis</w:t>
      </w:r>
    </w:p>
    <w:p>
      <w:pPr>
        <w:spacing w:after="80"/>
        <w:ind w:left="0"/>
        <w:jc w:val="both"/>
      </w:pPr>
      <w:r>
        <w:rPr>
          <w:rFonts w:ascii="Times New Roman" w:hAnsi="Times New Roman"/>
          <w:b w:val="0"/>
          <w:i w:val="0"/>
          <w:sz w:val="22"/>
        </w:rPr>
        <w:t>Chapter 2 reviews computational methodologies for DTI prediction from molecular docking to hybrid deep learning, critically analysing GSRF-DTI, TTModel, and DTKGIN. Chapter 3 describes the H-GNN-RNN-DTI architecture, datasets, preprocessing, training strategy, and evaluation protocol. Chapter 4 presents and discusses results for all three objectives. Chapter 5 concludes with a summary of contributions, limitations, and future directions. References follow Chapter 5.</w:t>
      </w:r>
    </w:p>
    <w:p>
      <w:r>
        <w:br w:type="page"/>
      </w:r>
    </w:p>
    <w:p>
      <w:pPr>
        <w:spacing w:before="360" w:after="120"/>
        <w:jc w:val="left"/>
      </w:pPr>
      <w:r>
        <w:rPr>
          <w:rFonts w:ascii="Times New Roman" w:hAnsi="Times New Roman"/>
          <w:b/>
          <w:i w:val="0"/>
          <w:color w:val="1A375C"/>
          <w:sz w:val="32"/>
        </w:rPr>
        <w:t>CHAPTER 2: LITERATURE REVIEW</w:t>
      </w:r>
    </w:p>
    <w:p>
      <w:pPr>
        <w:spacing w:before="240" w:after="80"/>
        <w:jc w:val="left"/>
      </w:pPr>
      <w:r>
        <w:rPr>
          <w:rFonts w:ascii="Times New Roman" w:hAnsi="Times New Roman"/>
          <w:b/>
          <w:i w:val="0"/>
          <w:color w:val="007B8A"/>
          <w:sz w:val="26"/>
        </w:rPr>
        <w:t>2.1 Introduction</w:t>
      </w:r>
    </w:p>
    <w:p>
      <w:pPr>
        <w:spacing w:after="80"/>
        <w:ind w:left="0"/>
        <w:jc w:val="both"/>
      </w:pPr>
      <w:r>
        <w:rPr>
          <w:rFonts w:ascii="Times New Roman" w:hAnsi="Times New Roman"/>
          <w:b w:val="0"/>
          <w:i w:val="0"/>
          <w:sz w:val="22"/>
        </w:rPr>
        <w:t>This chapter reviews the evolution of computational methodologies for drug–target interaction (DTI) prediction, from early physics-based simulations to modern hybrid deep learning architectures. The review identifies persistent limitations in cross-modal feature integration, cold-start generalisation, and interpretability that motivated the development of H-GNN-RNN-DTI.</w:t>
      </w:r>
    </w:p>
    <w:p>
      <w:pPr>
        <w:spacing w:before="240" w:after="80"/>
        <w:jc w:val="left"/>
      </w:pPr>
      <w:r>
        <w:rPr>
          <w:rFonts w:ascii="Times New Roman" w:hAnsi="Times New Roman"/>
          <w:b/>
          <w:i w:val="0"/>
          <w:color w:val="007B8A"/>
          <w:sz w:val="26"/>
        </w:rPr>
        <w:t>2.2 Computational Methodologies for DTI Prediction</w:t>
      </w:r>
    </w:p>
    <w:p>
      <w:pPr>
        <w:spacing w:before="160" w:after="60"/>
      </w:pPr>
      <w:r>
        <w:rPr>
          <w:rFonts w:ascii="Times New Roman" w:hAnsi="Times New Roman"/>
          <w:b/>
          <w:i/>
          <w:color w:val="C06A00"/>
          <w:sz w:val="24"/>
        </w:rPr>
        <w:t>2.2.1 Molecular Docking-Based Approaches</w:t>
      </w:r>
    </w:p>
    <w:p>
      <w:pPr>
        <w:spacing w:after="80"/>
        <w:ind w:left="0"/>
        <w:jc w:val="both"/>
      </w:pPr>
      <w:r>
        <w:rPr>
          <w:rFonts w:ascii="Times New Roman" w:hAnsi="Times New Roman"/>
          <w:b w:val="0"/>
          <w:i w:val="0"/>
          <w:sz w:val="22"/>
        </w:rPr>
        <w:t>Molecular docking methods simulate the physical binding of a drug molecule to the three-dimensional structure of a target protein's active site (Y. Chen et al., 2024). While providing detailed structural insights, these methods are computationally expensive and depend on high-resolution 3D protein structures that are unavailable for a large fraction of potential targets. They are therefore impractical for large-scale virtual screening of millions of compounds (Lu et al., 2025; Dai et al., 2025).</w:t>
      </w:r>
    </w:p>
    <w:p>
      <w:pPr>
        <w:spacing w:before="160" w:after="60"/>
      </w:pPr>
      <w:r>
        <w:rPr>
          <w:rFonts w:ascii="Times New Roman" w:hAnsi="Times New Roman"/>
          <w:b/>
          <w:i/>
          <w:color w:val="C06A00"/>
          <w:sz w:val="24"/>
        </w:rPr>
        <w:t>2.2.2 Ligand-Based Methods</w:t>
      </w:r>
    </w:p>
    <w:p>
      <w:pPr>
        <w:spacing w:after="80"/>
        <w:ind w:left="0"/>
        <w:jc w:val="both"/>
      </w:pPr>
      <w:r>
        <w:rPr>
          <w:rFonts w:ascii="Times New Roman" w:hAnsi="Times New Roman"/>
          <w:b w:val="0"/>
          <w:i w:val="0"/>
          <w:sz w:val="22"/>
        </w:rPr>
        <w:t>Ligand-based methods predict interactions based on the structural or chemical similarity of a compound to known active ligands. Their effectiveness diminishes for targets with few known binders (the cold-start problem) or for novel chemotypes without analogues in existing databases (Lee et al., 2024). These fundamental limitations drove the field toward machine learning approaches capable of handling larger datasets and more abstract molecular representations.</w:t>
      </w:r>
    </w:p>
    <w:p>
      <w:pPr>
        <w:spacing w:before="160" w:after="60"/>
      </w:pPr>
      <w:r>
        <w:rPr>
          <w:rFonts w:ascii="Times New Roman" w:hAnsi="Times New Roman"/>
          <w:b/>
          <w:i/>
          <w:color w:val="C06A00"/>
          <w:sz w:val="24"/>
        </w:rPr>
        <w:t>2.2.3 Traditional Machine Learning and Network-Based Methods</w:t>
      </w:r>
    </w:p>
    <w:p>
      <w:pPr>
        <w:spacing w:after="80"/>
        <w:ind w:left="0"/>
        <w:jc w:val="both"/>
      </w:pPr>
      <w:r>
        <w:rPr>
          <w:rFonts w:ascii="Times New Roman" w:hAnsi="Times New Roman"/>
          <w:b w:val="0"/>
          <w:i w:val="0"/>
          <w:sz w:val="22"/>
        </w:rPr>
        <w:t>Machine learning methods, including Gradient Boosting, Random Forest, Support Vector Machines, and Multi-Layer Perceptrons, were applied to DTI prediction using hand-crafted molecular fingerprints and physicochemical features. Network-based methods exploited heterogeneous biological network topology (drug-drug, protein-protein, DTI networks) to predict interactions via graph algorithms such as Random Walk with Restart (Cao et al., 2024; Wu et al., 2018). These methods face persistent challenges: absence of high-quality negative samples, class imbalance, high feature dimensionality, and inability to generalise to entirely novel drugs or targets.</w:t>
      </w:r>
    </w:p>
    <w:p>
      <w:pPr>
        <w:spacing w:before="160" w:after="60"/>
      </w:pPr>
      <w:r>
        <w:rPr>
          <w:rFonts w:ascii="Times New Roman" w:hAnsi="Times New Roman"/>
          <w:b/>
          <w:i/>
          <w:color w:val="C06A00"/>
          <w:sz w:val="24"/>
        </w:rPr>
        <w:t>2.2.4 Deep Learning in DTI Prediction</w:t>
      </w:r>
    </w:p>
    <w:p>
      <w:pPr>
        <w:spacing w:after="80"/>
        <w:ind w:left="0"/>
        <w:jc w:val="both"/>
      </w:pPr>
      <w:r>
        <w:rPr>
          <w:rFonts w:ascii="Times New Roman" w:hAnsi="Times New Roman"/>
          <w:b w:val="0"/>
          <w:i w:val="0"/>
          <w:sz w:val="22"/>
        </w:rPr>
        <w:t>Deep learning transformed DTI prediction by enabling automatic feature learning from raw molecular representations (Vefghi et al., 2025). CNNs, RNNs, and GNNs achieved strong performance on benchmark datasets. However, single-architecture models remain limited: GNNs miss sequential protein context; RNNs miss molecular topology. Data sparsity, cold-start scenarios, and interpretability remain critical challenges (Panahandeh &amp; Mansouri, 2025; Hua et al., 2025).</w:t>
      </w:r>
    </w:p>
    <w:p>
      <w:pPr>
        <w:spacing w:before="240" w:after="80"/>
        <w:jc w:val="left"/>
      </w:pPr>
      <w:r>
        <w:rPr>
          <w:rFonts w:ascii="Times New Roman" w:hAnsi="Times New Roman"/>
          <w:b/>
          <w:i w:val="0"/>
          <w:color w:val="007B8A"/>
          <w:sz w:val="26"/>
        </w:rPr>
        <w:t>2.3 Foundational Deep Learning Architectures</w:t>
      </w:r>
    </w:p>
    <w:p>
      <w:pPr>
        <w:spacing w:before="160" w:after="60"/>
      </w:pPr>
      <w:r>
        <w:rPr>
          <w:rFonts w:ascii="Times New Roman" w:hAnsi="Times New Roman"/>
          <w:b/>
          <w:i/>
          <w:color w:val="C06A00"/>
          <w:sz w:val="24"/>
        </w:rPr>
        <w:t>2.3.1 Recurrent Neural Networks (RNNs)</w:t>
      </w:r>
    </w:p>
    <w:p>
      <w:pPr>
        <w:spacing w:after="80"/>
        <w:ind w:left="0"/>
        <w:jc w:val="both"/>
      </w:pPr>
      <w:r>
        <w:rPr>
          <w:rFonts w:ascii="Times New Roman" w:hAnsi="Times New Roman"/>
          <w:b w:val="0"/>
          <w:i w:val="0"/>
          <w:sz w:val="22"/>
        </w:rPr>
        <w:t>RNNs are specifically designed to process sequential data through a hidden state that acts as memory over the sequence (Abbasi et al., 2020; Mienye et al., 2024). LSTM and GRU variants capture long-range dependencies, making them well-suited for protein amino acid sequences. Bidirectional variants (BiGRU, BiLSTM) process sequences in both directions, capturing both preceding and following residue contexts. However, RNNs do not natively capture non-linear molecular topology or 3D structural information.</w:t>
      </w:r>
    </w:p>
    <w:p>
      <w:pPr>
        <w:spacing w:before="160" w:after="60"/>
      </w:pPr>
      <w:r>
        <w:rPr>
          <w:rFonts w:ascii="Times New Roman" w:hAnsi="Times New Roman"/>
          <w:b/>
          <w:i/>
          <w:color w:val="C06A00"/>
          <w:sz w:val="24"/>
        </w:rPr>
        <w:t>2.3.2 Graph Neural Networks (GNNs)</w:t>
      </w:r>
    </w:p>
    <w:p>
      <w:pPr>
        <w:spacing w:after="80"/>
        <w:ind w:left="0"/>
        <w:jc w:val="both"/>
      </w:pPr>
      <w:r>
        <w:rPr>
          <w:rFonts w:ascii="Times New Roman" w:hAnsi="Times New Roman"/>
          <w:b w:val="0"/>
          <w:i w:val="0"/>
          <w:sz w:val="22"/>
        </w:rPr>
        <w:t>GNNs operate on graph-structured data by iteratively aggregating information from a node's neighbourhood through message passing (Zhang et al., 2021). For molecular graphs, atoms are nodes and bonds are edges. Graph Attention Networks (GAT) extend this by weighting neighbour contributions via learned attention coefficients, enabling the model to focus on chemically relevant atom pairs. GNN-based DTA models such as GraphDTA (Nguyen et al., 2021) outperform CNN-based models, confirming the value of molecular graph representations. A known limitation is over-smoothing: repeated message passing leads to similar node representations, which is addressed by residual connections and hierarchical aggregation.</w:t>
      </w:r>
    </w:p>
    <w:p>
      <w:pPr>
        <w:spacing w:before="240" w:after="80"/>
        <w:jc w:val="left"/>
      </w:pPr>
      <w:r>
        <w:rPr>
          <w:rFonts w:ascii="Times New Roman" w:hAnsi="Times New Roman"/>
          <w:b/>
          <w:i w:val="0"/>
          <w:color w:val="007B8A"/>
          <w:sz w:val="26"/>
        </w:rPr>
        <w:t>2.4 Rationale for Hybrid Deep Learning Models</w:t>
      </w:r>
    </w:p>
    <w:p>
      <w:pPr>
        <w:spacing w:after="80"/>
        <w:ind w:left="0"/>
        <w:jc w:val="both"/>
      </w:pPr>
      <w:r>
        <w:rPr>
          <w:rFonts w:ascii="Times New Roman" w:hAnsi="Times New Roman"/>
          <w:b w:val="0"/>
          <w:i w:val="0"/>
          <w:sz w:val="22"/>
        </w:rPr>
        <w:t>The 'feature bottleneck' of single-architecture models — where either drug topology or protein sequence context is neglected — motivates hybrid architectures. A dual-branch system assigns a specialised encoder to each modality: a GNN for the drug molecular graph and a BiGRU for the protein sequence. The outputs are then fused for prediction. Prior work combining CNNs with LSTMs (e.g., DeepGS, Zhijian et al., 2022) demonstrated improved prediction accuracy, supporting the hypothesis that multi-modal integration yields more comprehensive drug-target representations.</w:t>
      </w:r>
    </w:p>
    <w:p>
      <w:pPr>
        <w:spacing w:before="240" w:after="80"/>
        <w:jc w:val="left"/>
      </w:pPr>
      <w:r>
        <w:rPr>
          <w:rFonts w:ascii="Times New Roman" w:hAnsi="Times New Roman"/>
          <w:b/>
          <w:i w:val="0"/>
          <w:color w:val="007B8A"/>
          <w:sz w:val="26"/>
        </w:rPr>
        <w:t>2.5 Critical Analysis of Related Methods</w:t>
      </w:r>
    </w:p>
    <w:p>
      <w:pPr>
        <w:spacing w:before="160" w:after="60"/>
      </w:pPr>
      <w:r>
        <w:rPr>
          <w:rFonts w:ascii="Times New Roman" w:hAnsi="Times New Roman"/>
          <w:b/>
          <w:i/>
          <w:color w:val="C06A00"/>
          <w:sz w:val="24"/>
        </w:rPr>
        <w:t>2.5.1 GSRF-DTI (Zhu et al., 2024)</w:t>
      </w:r>
    </w:p>
    <w:p>
      <w:pPr>
        <w:spacing w:after="80"/>
        <w:ind w:left="0"/>
        <w:jc w:val="both"/>
      </w:pPr>
      <w:r>
        <w:rPr>
          <w:rFonts w:ascii="Times New Roman" w:hAnsi="Times New Roman"/>
          <w:b w:val="0"/>
          <w:i w:val="0"/>
          <w:sz w:val="22"/>
        </w:rPr>
        <w:t>GSRF-DTI integrates DeepWalk for topological feature extraction from drug-drug and target-target similarity networks, GraphSAGE for representation learning, and a Random Forest classifier. It achieves AUROC=0.9818 on Luo's dataset under a random 5-fold CV with the full DrugBank knowledge graph. Key limitations: (1) static concatenation fusion prevents cross-modal interaction; (2) no modality-specific GNN or RNN encoders on raw molecular graphs or sequences; (3) transductive design — requires the PPI network at test time, completely failing on cold_target (AUROC=0.362 in our re-implementation); (4) authors explicitly acknowledge the need for strategies to address data imbalance.</w:t>
      </w:r>
    </w:p>
    <w:p>
      <w:pPr>
        <w:spacing w:before="160" w:after="60"/>
      </w:pPr>
      <w:r>
        <w:rPr>
          <w:rFonts w:ascii="Times New Roman" w:hAnsi="Times New Roman"/>
          <w:b/>
          <w:i/>
          <w:color w:val="C06A00"/>
          <w:sz w:val="24"/>
        </w:rPr>
        <w:t>2.5.2 TTModel (Li et al., 2024)</w:t>
      </w:r>
    </w:p>
    <w:p>
      <w:pPr>
        <w:spacing w:after="80"/>
        <w:ind w:left="0"/>
        <w:jc w:val="both"/>
      </w:pPr>
      <w:r>
        <w:rPr>
          <w:rFonts w:ascii="Times New Roman" w:hAnsi="Times New Roman"/>
          <w:b w:val="0"/>
          <w:i w:val="0"/>
          <w:sz w:val="22"/>
        </w:rPr>
        <w:t>TTModel uses knowledge graph embedding with textual and entity-type features. It achieves AUPR=0.95 on GPCR and 0.93 on NR datasets. Limitations: no SMILES-based molecular graph encoding; no direct protein sequence processing; dependence on knowledge graph completeness; no attention-based cross-modal fusion; no atom-level or residue-level attribution.</w:t>
      </w:r>
    </w:p>
    <w:p>
      <w:pPr>
        <w:spacing w:before="160" w:after="60"/>
      </w:pPr>
      <w:r>
        <w:rPr>
          <w:rFonts w:ascii="Times New Roman" w:hAnsi="Times New Roman"/>
          <w:b/>
          <w:i/>
          <w:color w:val="C06A00"/>
          <w:sz w:val="24"/>
        </w:rPr>
        <w:t>2.5.3 DTKGIN (Luo et al., 2024)</w:t>
      </w:r>
    </w:p>
    <w:p>
      <w:pPr>
        <w:spacing w:after="80"/>
        <w:ind w:left="0"/>
        <w:jc w:val="both"/>
      </w:pPr>
      <w:r>
        <w:rPr>
          <w:rFonts w:ascii="Times New Roman" w:hAnsi="Times New Roman"/>
          <w:b w:val="0"/>
          <w:i w:val="0"/>
          <w:sz w:val="22"/>
        </w:rPr>
        <w:t>DTKGIN introduces latent intent nodes to capture fine-grained DTI patterns within a GNN paradigm, achieving AUC=0.894 on Yamanishi_08 cold-drug splits. Limitations: no dedicated GNN-for-drugs or RNN-for-proteins encoders; inner-product scoring instead of cross-attention; no pre-trained embeddings; no atom-level attribution. High variance on cold_drug (±0.100 AUROC vs. ±0.011 for H-GNN-RNN-DTI) indicates instability on small datasets.</w:t>
      </w:r>
    </w:p>
    <w:p>
      <w:pPr>
        <w:spacing w:before="240" w:after="80"/>
        <w:jc w:val="left"/>
      </w:pPr>
      <w:r>
        <w:rPr>
          <w:rFonts w:ascii="Times New Roman" w:hAnsi="Times New Roman"/>
          <w:b/>
          <w:i w:val="0"/>
          <w:color w:val="007B8A"/>
          <w:sz w:val="26"/>
        </w:rPr>
        <w:t>2.6 Current Research Gaps</w:t>
      </w:r>
    </w:p>
    <w:p>
      <w:pPr>
        <w:spacing w:before="160" w:after="60"/>
      </w:pPr>
      <w:r>
        <w:rPr>
          <w:rFonts w:ascii="Times New Roman" w:hAnsi="Times New Roman"/>
          <w:b/>
          <w:i/>
          <w:color w:val="C06A00"/>
          <w:sz w:val="24"/>
        </w:rPr>
        <w:t>2.6.1 Cross-Modal Feature Integration</w:t>
      </w:r>
    </w:p>
    <w:p>
      <w:pPr>
        <w:spacing w:after="80"/>
        <w:ind w:left="0"/>
        <w:jc w:val="both"/>
      </w:pPr>
      <w:r>
        <w:rPr>
          <w:rFonts w:ascii="Times New Roman" w:hAnsi="Times New Roman"/>
          <w:b w:val="0"/>
          <w:i w:val="0"/>
          <w:sz w:val="22"/>
        </w:rPr>
        <w:t>Static concatenation of separately encoded drug and protein features does not allow the drug representation to inform protein representation or vice versa. Dynamic cross-attention — where each drug atom attends to protein residues and vice versa — enables context-dependent feature enrichment that static fusion cannot provide (Sun et al., 2024; Quan et al., 2025).</w:t>
      </w:r>
    </w:p>
    <w:p>
      <w:pPr>
        <w:spacing w:before="160" w:after="60"/>
      </w:pPr>
      <w:r>
        <w:rPr>
          <w:rFonts w:ascii="Times New Roman" w:hAnsi="Times New Roman"/>
          <w:b/>
          <w:i/>
          <w:color w:val="C06A00"/>
          <w:sz w:val="24"/>
        </w:rPr>
        <w:t>2.6.2 Cold-Start Generalisation</w:t>
      </w:r>
    </w:p>
    <w:p>
      <w:pPr>
        <w:spacing w:after="80"/>
        <w:ind w:left="0"/>
        <w:jc w:val="both"/>
      </w:pPr>
      <w:r>
        <w:rPr>
          <w:rFonts w:ascii="Times New Roman" w:hAnsi="Times New Roman"/>
          <w:b w:val="0"/>
          <w:i w:val="0"/>
          <w:sz w:val="22"/>
        </w:rPr>
        <w:t>Most models memorise training-distribution patterns and fail significantly when evaluated on unseen drugs (cold_drug) or unseen proteins (cold_target). Pre-trained foundation models (ChemBERTa, ESM-2) encode transferable biochemical knowledge that can improve generalisation (Lee et al., 2024; Talo &amp; Bozdag, 2025). Additionally, class imbalance — confirmed interactions vastly outnumbered by unknown/negative pairs — creates biased training distributions that imbalance-aware strategies must address.</w:t>
      </w:r>
    </w:p>
    <w:p>
      <w:pPr>
        <w:spacing w:before="160" w:after="60"/>
      </w:pPr>
      <w:r>
        <w:rPr>
          <w:rFonts w:ascii="Times New Roman" w:hAnsi="Times New Roman"/>
          <w:b/>
          <w:i/>
          <w:color w:val="C06A00"/>
          <w:sz w:val="24"/>
        </w:rPr>
        <w:t>2.6.3 Interpretability</w:t>
      </w:r>
    </w:p>
    <w:p>
      <w:pPr>
        <w:spacing w:after="80"/>
        <w:ind w:left="0"/>
        <w:jc w:val="both"/>
      </w:pPr>
      <w:r>
        <w:rPr>
          <w:rFonts w:ascii="Times New Roman" w:hAnsi="Times New Roman"/>
          <w:b w:val="0"/>
          <w:i w:val="0"/>
          <w:sz w:val="22"/>
        </w:rPr>
        <w:t>High-performing DL models are 'black boxes', limiting scientific trust and translational utility. Attention-based attribution (which drug atoms and protein residues drive the prediction?) is an intrinsic interpretability approach that does not require post-hoc surrogate models. Faithfulness evaluation — masking top-attributed atoms and measuring prediction drops — provides causal validation (Yang et al., 2024; Yuan et al., 2025; Bae &amp; Nam, 2023).</w:t>
      </w:r>
    </w:p>
    <w:p>
      <w:pPr>
        <w:spacing w:before="240" w:after="80"/>
        <w:jc w:val="left"/>
      </w:pPr>
      <w:r>
        <w:rPr>
          <w:rFonts w:ascii="Times New Roman" w:hAnsi="Times New Roman"/>
          <w:b/>
          <w:i w:val="0"/>
          <w:color w:val="007B8A"/>
          <w:sz w:val="26"/>
        </w:rPr>
        <w:t>2.7 Related Work</w:t>
      </w:r>
    </w:p>
    <w:p>
      <w:pPr>
        <w:spacing w:after="80"/>
        <w:ind w:left="0"/>
        <w:jc w:val="both"/>
      </w:pPr>
      <w:r>
        <w:rPr>
          <w:rFonts w:ascii="Times New Roman" w:hAnsi="Times New Roman"/>
          <w:b w:val="0"/>
          <w:i w:val="0"/>
          <w:sz w:val="22"/>
        </w:rPr>
        <w:t>Recent hybrid models have advanced the state of the art in cross-modal fusion and interpretability. iNGNN-DTI (Sun et al., 2024) employs cross-attention modules within a nested GNN to capture fine-grained drug-target interactions. EmbedDTI (Jin et al., 2021) uses sequence embeddings with GCN and attention modules for interpretable DTI prediction. HMSA-DTI (Bian et al., 2024) introduces hierarchical multimodal self-attention across SMILES, molecular graphs, and protein sequences. In the cold-start domain, Top-DTI (Talo &amp; Bozdag, 2025) integrates topological deep learning with large language model embeddings for cold-start robustness. MutualDTA (Yuan et al., 2025) introduces mutual attention establishing explicit drug atom to protein residue relationships. These works collectively confirm the value of attention-driven, multimodal fusion for DTI prediction.</w:t>
      </w:r>
    </w:p>
    <w:p>
      <w:pPr>
        <w:spacing w:before="240" w:after="80"/>
        <w:jc w:val="left"/>
      </w:pPr>
      <w:r>
        <w:rPr>
          <w:rFonts w:ascii="Times New Roman" w:hAnsi="Times New Roman"/>
          <w:b/>
          <w:i w:val="0"/>
          <w:color w:val="007B8A"/>
          <w:sz w:val="26"/>
        </w:rPr>
        <w:t>2.8 Summary</w:t>
      </w:r>
    </w:p>
    <w:p>
      <w:pPr>
        <w:spacing w:after="80"/>
        <w:ind w:left="0"/>
        <w:jc w:val="both"/>
      </w:pPr>
      <w:r>
        <w:rPr>
          <w:rFonts w:ascii="Times New Roman" w:hAnsi="Times New Roman"/>
          <w:b w:val="0"/>
          <w:i w:val="0"/>
          <w:sz w:val="22"/>
        </w:rPr>
        <w:t>The literature review demonstrates that hybrid deep learning has significantly advanced DTI prediction, but persistent challenges remain: static fusion mechanisms, transductive architectures, poor cold-start generalisation, and limited interpretability. The proposed H-GNN-RNN-DTI addresses all four gaps simultaneously: Gated Cross-Attention enables dynamic fusion; the fully inductive design handles all cold-start scenarios; imbalance-aware training and pre-trained embeddings improve generalisation; and intrinsic attention-based attribution provides biologically validated explanations.</w:t>
      </w:r>
    </w:p>
    <w:p>
      <w:r>
        <w:br w:type="page"/>
      </w:r>
    </w:p>
    <w:p>
      <w:pPr>
        <w:spacing w:before="360" w:after="120"/>
        <w:jc w:val="left"/>
      </w:pPr>
      <w:r>
        <w:rPr>
          <w:rFonts w:ascii="Times New Roman" w:hAnsi="Times New Roman"/>
          <w:b/>
          <w:i w:val="0"/>
          <w:color w:val="1A375C"/>
          <w:sz w:val="32"/>
        </w:rPr>
        <w:t>CHAPTER 3: METHODOLOGY</w:t>
      </w:r>
    </w:p>
    <w:p>
      <w:pPr>
        <w:spacing w:before="240" w:after="80"/>
        <w:jc w:val="left"/>
      </w:pPr>
      <w:r>
        <w:rPr>
          <w:rFonts w:ascii="Times New Roman" w:hAnsi="Times New Roman"/>
          <w:b/>
          <w:i w:val="0"/>
          <w:color w:val="007B8A"/>
          <w:sz w:val="26"/>
        </w:rPr>
        <w:t>3.1 Research Design</w:t>
      </w:r>
    </w:p>
    <w:p>
      <w:pPr>
        <w:spacing w:after="80"/>
        <w:ind w:left="0"/>
        <w:jc w:val="both"/>
      </w:pPr>
      <w:r>
        <w:rPr>
          <w:rFonts w:ascii="Times New Roman" w:hAnsi="Times New Roman"/>
          <w:b w:val="0"/>
          <w:i w:val="0"/>
          <w:sz w:val="22"/>
        </w:rPr>
        <w:t>This study adopted a quantitative, computational design structured around three empirical objectives: (1) architecture design and evaluation, (2) enhancement strategy benchmarking, and (3) interpretability validation. The research followed an experimental approach: developing the H-GNN-RNN-DTI model, training and evaluating it on public DTI/DTA benchmarks, comparing against strong baselines and published methods, and analysing model interpretability through case studies with PDB-validated binding sites.</w:t>
      </w:r>
    </w:p>
    <w:p>
      <w:pPr>
        <w:spacing w:before="240" w:after="80"/>
        <w:jc w:val="left"/>
      </w:pPr>
      <w:r>
        <w:rPr>
          <w:rFonts w:ascii="Times New Roman" w:hAnsi="Times New Roman"/>
          <w:b/>
          <w:i w:val="0"/>
          <w:color w:val="007B8A"/>
          <w:sz w:val="26"/>
        </w:rPr>
        <w:t>3.2 Datasets</w:t>
      </w:r>
    </w:p>
    <w:p>
      <w:pPr>
        <w:spacing w:after="80"/>
        <w:ind w:left="0"/>
        <w:jc w:val="both"/>
      </w:pPr>
      <w:r>
        <w:rPr>
          <w:rFonts w:ascii="Times New Roman" w:hAnsi="Times New Roman"/>
          <w:b w:val="0"/>
          <w:i w:val="0"/>
          <w:sz w:val="22"/>
        </w:rPr>
        <w:t>Table 3.1 summarises the datasets used in this research.</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84"/>
            <w:shd w:val="clear" w:color="auto" w:fill="1A375C"/>
            <w:vAlign w:val="center"/>
          </w:tcPr>
          <w:p>
            <w:pPr>
              <w:jc w:val="center"/>
            </w:pPr>
            <w:r>
              <w:rPr>
                <w:rFonts w:ascii="Times New Roman" w:hAnsi="Times New Roman"/>
                <w:b/>
                <w:i w:val="0"/>
                <w:color w:val="FFFFFF"/>
                <w:sz w:val="19"/>
              </w:rPr>
              <w:t>Dataset</w:t>
            </w:r>
          </w:p>
        </w:tc>
        <w:tc>
          <w:tcPr>
            <w:tcW w:type="dxa" w:w="1728"/>
            <w:shd w:val="clear" w:color="auto" w:fill="1A375C"/>
            <w:vAlign w:val="center"/>
          </w:tcPr>
          <w:p>
            <w:pPr>
              <w:jc w:val="center"/>
            </w:pPr>
            <w:r>
              <w:rPr>
                <w:rFonts w:ascii="Times New Roman" w:hAnsi="Times New Roman"/>
                <w:b/>
                <w:i w:val="0"/>
                <w:color w:val="FFFFFF"/>
                <w:sz w:val="19"/>
              </w:rPr>
              <w:t>Task</w:t>
            </w:r>
          </w:p>
        </w:tc>
        <w:tc>
          <w:tcPr>
            <w:tcW w:type="dxa" w:w="1152"/>
            <w:shd w:val="clear" w:color="auto" w:fill="1A375C"/>
            <w:vAlign w:val="center"/>
          </w:tcPr>
          <w:p>
            <w:pPr>
              <w:jc w:val="center"/>
            </w:pPr>
            <w:r>
              <w:rPr>
                <w:rFonts w:ascii="Times New Roman" w:hAnsi="Times New Roman"/>
                <w:b/>
                <w:i w:val="0"/>
                <w:color w:val="FFFFFF"/>
                <w:sz w:val="19"/>
              </w:rPr>
              <w:t>Drugs</w:t>
            </w:r>
          </w:p>
        </w:tc>
        <w:tc>
          <w:tcPr>
            <w:tcW w:type="dxa" w:w="1152"/>
            <w:shd w:val="clear" w:color="auto" w:fill="1A375C"/>
            <w:vAlign w:val="center"/>
          </w:tcPr>
          <w:p>
            <w:pPr>
              <w:jc w:val="center"/>
            </w:pPr>
            <w:r>
              <w:rPr>
                <w:rFonts w:ascii="Times New Roman" w:hAnsi="Times New Roman"/>
                <w:b/>
                <w:i w:val="0"/>
                <w:color w:val="FFFFFF"/>
                <w:sz w:val="19"/>
              </w:rPr>
              <w:t>Proteins</w:t>
            </w:r>
          </w:p>
        </w:tc>
        <w:tc>
          <w:tcPr>
            <w:tcW w:type="dxa" w:w="1584"/>
            <w:shd w:val="clear" w:color="auto" w:fill="1A375C"/>
            <w:vAlign w:val="center"/>
          </w:tcPr>
          <w:p>
            <w:pPr>
              <w:jc w:val="center"/>
            </w:pPr>
            <w:r>
              <w:rPr>
                <w:rFonts w:ascii="Times New Roman" w:hAnsi="Times New Roman"/>
                <w:b/>
                <w:i w:val="0"/>
                <w:color w:val="FFFFFF"/>
                <w:sz w:val="19"/>
              </w:rPr>
              <w:t>Positive Pairs</w:t>
            </w:r>
          </w:p>
        </w:tc>
        <w:tc>
          <w:tcPr>
            <w:tcW w:type="dxa" w:w="2016"/>
            <w:shd w:val="clear" w:color="auto" w:fill="1A375C"/>
            <w:vAlign w:val="center"/>
          </w:tcPr>
          <w:p>
            <w:pPr>
              <w:jc w:val="center"/>
            </w:pPr>
            <w:r>
              <w:rPr>
                <w:rFonts w:ascii="Times New Roman" w:hAnsi="Times New Roman"/>
                <w:b/>
                <w:i w:val="0"/>
                <w:color w:val="FFFFFF"/>
                <w:sz w:val="19"/>
              </w:rPr>
              <w:t>Use</w:t>
            </w:r>
          </w:p>
        </w:tc>
      </w:tr>
      <w:tr>
        <w:tc>
          <w:tcPr>
            <w:tcW w:type="dxa" w:w="1584"/>
            <w:shd w:val="clear" w:color="auto" w:fill="F2F4F7"/>
          </w:tcPr>
          <w:p>
            <w:pPr>
              <w:jc w:val="center"/>
            </w:pPr>
            <w:r>
              <w:rPr>
                <w:rFonts w:ascii="Times New Roman" w:hAnsi="Times New Roman"/>
                <w:b w:val="0"/>
                <w:i w:val="0"/>
                <w:sz w:val="19"/>
              </w:rPr>
              <w:t>Yamanishi_e</w:t>
            </w:r>
          </w:p>
        </w:tc>
        <w:tc>
          <w:tcPr>
            <w:tcW w:type="dxa" w:w="1728"/>
            <w:shd w:val="clear" w:color="auto" w:fill="F2F4F7"/>
          </w:tcPr>
          <w:p>
            <w:pPr>
              <w:jc w:val="center"/>
            </w:pPr>
            <w:r>
              <w:rPr>
                <w:rFonts w:ascii="Times New Roman" w:hAnsi="Times New Roman"/>
                <w:b w:val="0"/>
                <w:i w:val="0"/>
                <w:sz w:val="19"/>
              </w:rPr>
              <w:t>DTI (binary)</w:t>
            </w:r>
          </w:p>
        </w:tc>
        <w:tc>
          <w:tcPr>
            <w:tcW w:type="dxa" w:w="1152"/>
            <w:shd w:val="clear" w:color="auto" w:fill="F2F4F7"/>
          </w:tcPr>
          <w:p>
            <w:pPr>
              <w:jc w:val="center"/>
            </w:pPr>
            <w:r>
              <w:rPr>
                <w:rFonts w:ascii="Times New Roman" w:hAnsi="Times New Roman"/>
                <w:b w:val="0"/>
                <w:i w:val="0"/>
                <w:sz w:val="19"/>
              </w:rPr>
              <w:t>68</w:t>
            </w:r>
          </w:p>
        </w:tc>
        <w:tc>
          <w:tcPr>
            <w:tcW w:type="dxa" w:w="1152"/>
            <w:shd w:val="clear" w:color="auto" w:fill="F2F4F7"/>
          </w:tcPr>
          <w:p>
            <w:pPr>
              <w:jc w:val="center"/>
            </w:pPr>
            <w:r>
              <w:rPr>
                <w:rFonts w:ascii="Times New Roman" w:hAnsi="Times New Roman"/>
                <w:b w:val="0"/>
                <w:i w:val="0"/>
                <w:sz w:val="19"/>
              </w:rPr>
              <w:t>26</w:t>
            </w:r>
          </w:p>
        </w:tc>
        <w:tc>
          <w:tcPr>
            <w:tcW w:type="dxa" w:w="1584"/>
            <w:shd w:val="clear" w:color="auto" w:fill="F2F4F7"/>
          </w:tcPr>
          <w:p>
            <w:pPr>
              <w:jc w:val="center"/>
            </w:pPr>
            <w:r>
              <w:rPr>
                <w:rFonts w:ascii="Times New Roman" w:hAnsi="Times New Roman"/>
                <w:b w:val="0"/>
                <w:i w:val="0"/>
                <w:sz w:val="19"/>
              </w:rPr>
              <w:t>445</w:t>
            </w:r>
          </w:p>
        </w:tc>
        <w:tc>
          <w:tcPr>
            <w:tcW w:type="dxa" w:w="2016"/>
            <w:shd w:val="clear" w:color="auto" w:fill="F2F4F7"/>
          </w:tcPr>
          <w:p>
            <w:pPr>
              <w:jc w:val="center"/>
            </w:pPr>
            <w:r>
              <w:rPr>
                <w:rFonts w:ascii="Times New Roman" w:hAnsi="Times New Roman"/>
                <w:b w:val="0"/>
                <w:i w:val="0"/>
                <w:sz w:val="19"/>
              </w:rPr>
              <w:t>Training/evaluation</w:t>
            </w:r>
          </w:p>
        </w:tc>
      </w:tr>
      <w:tr>
        <w:tc>
          <w:tcPr>
            <w:tcW w:type="dxa" w:w="1584"/>
          </w:tcPr>
          <w:p>
            <w:pPr>
              <w:jc w:val="center"/>
            </w:pPr>
            <w:r>
              <w:rPr>
                <w:rFonts w:ascii="Times New Roman" w:hAnsi="Times New Roman"/>
                <w:b w:val="0"/>
                <w:i w:val="0"/>
                <w:sz w:val="19"/>
              </w:rPr>
              <w:t>Luo_17</w:t>
            </w:r>
          </w:p>
        </w:tc>
        <w:tc>
          <w:tcPr>
            <w:tcW w:type="dxa" w:w="1728"/>
          </w:tcPr>
          <w:p>
            <w:pPr>
              <w:jc w:val="center"/>
            </w:pPr>
            <w:r>
              <w:rPr>
                <w:rFonts w:ascii="Times New Roman" w:hAnsi="Times New Roman"/>
                <w:b w:val="0"/>
                <w:i w:val="0"/>
                <w:sz w:val="19"/>
              </w:rPr>
              <w:t>DTI (binary)</w:t>
            </w:r>
          </w:p>
        </w:tc>
        <w:tc>
          <w:tcPr>
            <w:tcW w:type="dxa" w:w="1152"/>
          </w:tcPr>
          <w:p>
            <w:pPr>
              <w:jc w:val="center"/>
            </w:pPr>
            <w:r>
              <w:rPr>
                <w:rFonts w:ascii="Times New Roman" w:hAnsi="Times New Roman"/>
                <w:b w:val="0"/>
                <w:i w:val="0"/>
                <w:sz w:val="19"/>
              </w:rPr>
              <w:t>708</w:t>
            </w:r>
          </w:p>
        </w:tc>
        <w:tc>
          <w:tcPr>
            <w:tcW w:type="dxa" w:w="1152"/>
          </w:tcPr>
          <w:p>
            <w:pPr>
              <w:jc w:val="center"/>
            </w:pPr>
            <w:r>
              <w:rPr>
                <w:rFonts w:ascii="Times New Roman" w:hAnsi="Times New Roman"/>
                <w:b w:val="0"/>
                <w:i w:val="0"/>
                <w:sz w:val="19"/>
              </w:rPr>
              <w:t>1,512</w:t>
            </w:r>
          </w:p>
        </w:tc>
        <w:tc>
          <w:tcPr>
            <w:tcW w:type="dxa" w:w="1584"/>
          </w:tcPr>
          <w:p>
            <w:pPr>
              <w:jc w:val="center"/>
            </w:pPr>
            <w:r>
              <w:rPr>
                <w:rFonts w:ascii="Times New Roman" w:hAnsi="Times New Roman"/>
                <w:b w:val="0"/>
                <w:i w:val="0"/>
                <w:sz w:val="19"/>
              </w:rPr>
              <w:t>1,923</w:t>
            </w:r>
          </w:p>
        </w:tc>
        <w:tc>
          <w:tcPr>
            <w:tcW w:type="dxa" w:w="2016"/>
          </w:tcPr>
          <w:p>
            <w:pPr>
              <w:jc w:val="center"/>
            </w:pPr>
            <w:r>
              <w:rPr>
                <w:rFonts w:ascii="Times New Roman" w:hAnsi="Times New Roman"/>
                <w:b w:val="0"/>
                <w:i w:val="0"/>
                <w:sz w:val="19"/>
              </w:rPr>
              <w:t>Training/evaluation</w:t>
            </w:r>
          </w:p>
        </w:tc>
      </w:tr>
      <w:tr>
        <w:tc>
          <w:tcPr>
            <w:tcW w:type="dxa" w:w="1584"/>
            <w:shd w:val="clear" w:color="auto" w:fill="F2F4F7"/>
          </w:tcPr>
          <w:p>
            <w:pPr>
              <w:jc w:val="center"/>
            </w:pPr>
            <w:r>
              <w:rPr>
                <w:rFonts w:ascii="Times New Roman" w:hAnsi="Times New Roman"/>
                <w:b w:val="0"/>
                <w:i w:val="0"/>
                <w:sz w:val="19"/>
              </w:rPr>
              <w:t>DAVIS</w:t>
            </w:r>
          </w:p>
        </w:tc>
        <w:tc>
          <w:tcPr>
            <w:tcW w:type="dxa" w:w="1728"/>
            <w:shd w:val="clear" w:color="auto" w:fill="F2F4F7"/>
          </w:tcPr>
          <w:p>
            <w:pPr>
              <w:jc w:val="center"/>
            </w:pPr>
            <w:r>
              <w:rPr>
                <w:rFonts w:ascii="Times New Roman" w:hAnsi="Times New Roman"/>
                <w:b w:val="0"/>
                <w:i w:val="0"/>
                <w:sz w:val="19"/>
              </w:rPr>
              <w:t>DTA (pKd)</w:t>
            </w:r>
          </w:p>
        </w:tc>
        <w:tc>
          <w:tcPr>
            <w:tcW w:type="dxa" w:w="1152"/>
            <w:shd w:val="clear" w:color="auto" w:fill="F2F4F7"/>
          </w:tcPr>
          <w:p>
            <w:pPr>
              <w:jc w:val="center"/>
            </w:pPr>
            <w:r>
              <w:rPr>
                <w:rFonts w:ascii="Times New Roman" w:hAnsi="Times New Roman"/>
                <w:b w:val="0"/>
                <w:i w:val="0"/>
                <w:sz w:val="19"/>
              </w:rPr>
              <w:t>68</w:t>
            </w:r>
          </w:p>
        </w:tc>
        <w:tc>
          <w:tcPr>
            <w:tcW w:type="dxa" w:w="1152"/>
            <w:shd w:val="clear" w:color="auto" w:fill="F2F4F7"/>
          </w:tcPr>
          <w:p>
            <w:pPr>
              <w:jc w:val="center"/>
            </w:pPr>
            <w:r>
              <w:rPr>
                <w:rFonts w:ascii="Times New Roman" w:hAnsi="Times New Roman"/>
                <w:b w:val="0"/>
                <w:i w:val="0"/>
                <w:sz w:val="19"/>
              </w:rPr>
              <w:t>442</w:t>
            </w:r>
          </w:p>
        </w:tc>
        <w:tc>
          <w:tcPr>
            <w:tcW w:type="dxa" w:w="1584"/>
            <w:shd w:val="clear" w:color="auto" w:fill="F2F4F7"/>
          </w:tcPr>
          <w:p>
            <w:pPr>
              <w:jc w:val="center"/>
            </w:pPr>
            <w:r>
              <w:rPr>
                <w:rFonts w:ascii="Times New Roman" w:hAnsi="Times New Roman"/>
                <w:b w:val="0"/>
                <w:i w:val="0"/>
                <w:sz w:val="19"/>
              </w:rPr>
              <w:t>30,056</w:t>
            </w:r>
          </w:p>
        </w:tc>
        <w:tc>
          <w:tcPr>
            <w:tcW w:type="dxa" w:w="2016"/>
            <w:shd w:val="clear" w:color="auto" w:fill="F2F4F7"/>
          </w:tcPr>
          <w:p>
            <w:pPr>
              <w:jc w:val="center"/>
            </w:pPr>
            <w:r>
              <w:rPr>
                <w:rFonts w:ascii="Times New Roman" w:hAnsi="Times New Roman"/>
                <w:b w:val="0"/>
                <w:i w:val="0"/>
                <w:sz w:val="19"/>
              </w:rPr>
              <w:t>DTA regression</w:t>
            </w:r>
          </w:p>
        </w:tc>
      </w:tr>
      <w:tr>
        <w:tc>
          <w:tcPr>
            <w:tcW w:type="dxa" w:w="1584"/>
          </w:tcPr>
          <w:p>
            <w:pPr>
              <w:jc w:val="center"/>
            </w:pPr>
            <w:r>
              <w:rPr>
                <w:rFonts w:ascii="Times New Roman" w:hAnsi="Times New Roman"/>
                <w:b w:val="0"/>
                <w:i w:val="0"/>
                <w:sz w:val="19"/>
              </w:rPr>
              <w:t>KIBA</w:t>
            </w:r>
          </w:p>
        </w:tc>
        <w:tc>
          <w:tcPr>
            <w:tcW w:type="dxa" w:w="1728"/>
          </w:tcPr>
          <w:p>
            <w:pPr>
              <w:jc w:val="center"/>
            </w:pPr>
            <w:r>
              <w:rPr>
                <w:rFonts w:ascii="Times New Roman" w:hAnsi="Times New Roman"/>
                <w:b w:val="0"/>
                <w:i w:val="0"/>
                <w:sz w:val="19"/>
              </w:rPr>
              <w:t>DTA (score)</w:t>
            </w:r>
          </w:p>
        </w:tc>
        <w:tc>
          <w:tcPr>
            <w:tcW w:type="dxa" w:w="1152"/>
          </w:tcPr>
          <w:p>
            <w:pPr>
              <w:jc w:val="center"/>
            </w:pPr>
            <w:r>
              <w:rPr>
                <w:rFonts w:ascii="Times New Roman" w:hAnsi="Times New Roman"/>
                <w:b w:val="0"/>
                <w:i w:val="0"/>
                <w:sz w:val="19"/>
              </w:rPr>
              <w:t>229</w:t>
            </w:r>
          </w:p>
        </w:tc>
        <w:tc>
          <w:tcPr>
            <w:tcW w:type="dxa" w:w="1152"/>
          </w:tcPr>
          <w:p>
            <w:pPr>
              <w:jc w:val="center"/>
            </w:pPr>
            <w:r>
              <w:rPr>
                <w:rFonts w:ascii="Times New Roman" w:hAnsi="Times New Roman"/>
                <w:b w:val="0"/>
                <w:i w:val="0"/>
                <w:sz w:val="19"/>
              </w:rPr>
              <w:t>229</w:t>
            </w:r>
          </w:p>
        </w:tc>
        <w:tc>
          <w:tcPr>
            <w:tcW w:type="dxa" w:w="1584"/>
          </w:tcPr>
          <w:p>
            <w:pPr>
              <w:jc w:val="center"/>
            </w:pPr>
            <w:r>
              <w:rPr>
                <w:rFonts w:ascii="Times New Roman" w:hAnsi="Times New Roman"/>
                <w:b w:val="0"/>
                <w:i w:val="0"/>
                <w:sz w:val="19"/>
              </w:rPr>
              <w:t>118,254</w:t>
            </w:r>
          </w:p>
        </w:tc>
        <w:tc>
          <w:tcPr>
            <w:tcW w:type="dxa" w:w="2016"/>
          </w:tcPr>
          <w:p>
            <w:pPr>
              <w:jc w:val="center"/>
            </w:pPr>
            <w:r>
              <w:rPr>
                <w:rFonts w:ascii="Times New Roman" w:hAnsi="Times New Roman"/>
                <w:b w:val="0"/>
                <w:i w:val="0"/>
                <w:sz w:val="19"/>
              </w:rPr>
              <w:t>DTA regression</w:t>
            </w:r>
          </w:p>
        </w:tc>
      </w:tr>
      <w:tr>
        <w:tc>
          <w:tcPr>
            <w:tcW w:type="dxa" w:w="1584"/>
            <w:shd w:val="clear" w:color="auto" w:fill="F2F4F7"/>
          </w:tcPr>
          <w:p>
            <w:pPr>
              <w:jc w:val="center"/>
            </w:pPr>
            <w:r>
              <w:rPr>
                <w:rFonts w:ascii="Times New Roman" w:hAnsi="Times New Roman"/>
                <w:b w:val="0"/>
                <w:i w:val="0"/>
                <w:sz w:val="19"/>
              </w:rPr>
              <w:t>BindingDB</w:t>
            </w:r>
          </w:p>
        </w:tc>
        <w:tc>
          <w:tcPr>
            <w:tcW w:type="dxa" w:w="1728"/>
            <w:shd w:val="clear" w:color="auto" w:fill="F2F4F7"/>
          </w:tcPr>
          <w:p>
            <w:pPr>
              <w:jc w:val="center"/>
            </w:pPr>
            <w:r>
              <w:rPr>
                <w:rFonts w:ascii="Times New Roman" w:hAnsi="Times New Roman"/>
                <w:b w:val="0"/>
                <w:i w:val="0"/>
                <w:sz w:val="19"/>
              </w:rPr>
              <w:t>DTI (binary)</w:t>
            </w:r>
          </w:p>
        </w:tc>
        <w:tc>
          <w:tcPr>
            <w:tcW w:type="dxa" w:w="1152"/>
            <w:shd w:val="clear" w:color="auto" w:fill="F2F4F7"/>
          </w:tcPr>
          <w:p>
            <w:pPr>
              <w:jc w:val="center"/>
            </w:pPr>
            <w:r>
              <w:rPr>
                <w:rFonts w:ascii="Times New Roman" w:hAnsi="Times New Roman"/>
                <w:b w:val="0"/>
                <w:i w:val="0"/>
                <w:sz w:val="19"/>
              </w:rPr>
              <w:t>47,079</w:t>
            </w:r>
          </w:p>
        </w:tc>
        <w:tc>
          <w:tcPr>
            <w:tcW w:type="dxa" w:w="1152"/>
            <w:shd w:val="clear" w:color="auto" w:fill="F2F4F7"/>
          </w:tcPr>
          <w:p>
            <w:pPr>
              <w:jc w:val="center"/>
            </w:pPr>
            <w:r>
              <w:rPr>
                <w:rFonts w:ascii="Times New Roman" w:hAnsi="Times New Roman"/>
                <w:b w:val="0"/>
                <w:i w:val="0"/>
                <w:sz w:val="19"/>
              </w:rPr>
              <w:t>diverse</w:t>
            </w:r>
          </w:p>
        </w:tc>
        <w:tc>
          <w:tcPr>
            <w:tcW w:type="dxa" w:w="1584"/>
            <w:shd w:val="clear" w:color="auto" w:fill="F2F4F7"/>
          </w:tcPr>
          <w:p>
            <w:pPr>
              <w:jc w:val="center"/>
            </w:pPr>
            <w:r>
              <w:rPr>
                <w:rFonts w:ascii="Times New Roman" w:hAnsi="Times New Roman"/>
                <w:b w:val="0"/>
                <w:i w:val="0"/>
                <w:sz w:val="19"/>
              </w:rPr>
              <w:t>49,499</w:t>
            </w:r>
          </w:p>
        </w:tc>
        <w:tc>
          <w:tcPr>
            <w:tcW w:type="dxa" w:w="2016"/>
            <w:shd w:val="clear" w:color="auto" w:fill="F2F4F7"/>
          </w:tcPr>
          <w:p>
            <w:pPr>
              <w:jc w:val="center"/>
            </w:pPr>
            <w:r>
              <w:rPr>
                <w:rFonts w:ascii="Times New Roman" w:hAnsi="Times New Roman"/>
                <w:b w:val="0"/>
                <w:i w:val="0"/>
                <w:sz w:val="19"/>
              </w:rPr>
              <w:t>Pre-training</w:t>
            </w:r>
          </w:p>
        </w:tc>
      </w:tr>
    </w:tbl>
    <w:p/>
    <w:p>
      <w:pPr>
        <w:spacing w:before="40" w:after="160"/>
        <w:jc w:val="center"/>
      </w:pPr>
      <w:r>
        <w:rPr>
          <w:rFonts w:ascii="Times New Roman" w:hAnsi="Times New Roman"/>
          <w:b w:val="0"/>
          <w:i/>
          <w:sz w:val="20"/>
        </w:rPr>
        <w:t>Table 3.1: Datasets used in this research</w:t>
      </w:r>
    </w:p>
    <w:p>
      <w:pPr>
        <w:spacing w:before="160" w:after="60"/>
      </w:pPr>
      <w:r>
        <w:rPr>
          <w:rFonts w:ascii="Times New Roman" w:hAnsi="Times New Roman"/>
          <w:b/>
          <w:i/>
          <w:color w:val="C06A00"/>
          <w:sz w:val="24"/>
        </w:rPr>
        <w:t>3.2.1 DTI Datasets</w:t>
      </w:r>
    </w:p>
    <w:p>
      <w:pPr>
        <w:spacing w:after="80"/>
        <w:ind w:left="0"/>
        <w:jc w:val="both"/>
      </w:pPr>
      <w:r>
        <w:rPr>
          <w:rFonts w:ascii="Times New Roman" w:hAnsi="Times New Roman"/>
          <w:b w:val="0"/>
          <w:i w:val="0"/>
          <w:sz w:val="22"/>
        </w:rPr>
        <w:t>Yamanishi_e is a gold-standard small benchmark (445 positive enzyme-substrate interactions; 68 drugs, 26 enzyme targets) drawn from the Yamanishi et al. (2008) dataset. Luo_17 is a larger, heterogeneous benchmark from Luo et al. (2017) with 1,923 positive interactions among 708 DrugBank drugs and 1,512 UniProt human proteins. Both datasets use 1:1 positive-to-negative sampling as the base configuration.</w:t>
      </w:r>
    </w:p>
    <w:p>
      <w:pPr>
        <w:spacing w:before="160" w:after="60"/>
      </w:pPr>
      <w:r>
        <w:rPr>
          <w:rFonts w:ascii="Times New Roman" w:hAnsi="Times New Roman"/>
          <w:b/>
          <w:i/>
          <w:color w:val="C06A00"/>
          <w:sz w:val="24"/>
        </w:rPr>
        <w:t>3.2.2 DTA Datasets</w:t>
      </w:r>
    </w:p>
    <w:p>
      <w:pPr>
        <w:spacing w:after="80"/>
        <w:ind w:left="0"/>
        <w:jc w:val="both"/>
      </w:pPr>
      <w:r>
        <w:rPr>
          <w:rFonts w:ascii="Times New Roman" w:hAnsi="Times New Roman"/>
          <w:b w:val="0"/>
          <w:i w:val="0"/>
          <w:sz w:val="22"/>
        </w:rPr>
        <w:t>DAVIS contains kinase inhibitor binding affinities measured as pKd values (68 drugs, 442 kinase targets, 30,056 pairs). KIBA contains multi-assay KIBA scores (229 drugs, 229 targets, 118,254 pairs). Both datasets were used in regression mode (continuous affinity prediction).</w:t>
      </w:r>
    </w:p>
    <w:p>
      <w:pPr>
        <w:spacing w:before="160" w:after="60"/>
      </w:pPr>
      <w:r>
        <w:rPr>
          <w:rFonts w:ascii="Times New Roman" w:hAnsi="Times New Roman"/>
          <w:b/>
          <w:i/>
          <w:color w:val="C06A00"/>
          <w:sz w:val="24"/>
        </w:rPr>
        <w:t>3.2.3 Pre-Training Dataset</w:t>
      </w:r>
    </w:p>
    <w:p>
      <w:pPr>
        <w:spacing w:after="80"/>
        <w:ind w:left="0"/>
        <w:jc w:val="both"/>
      </w:pPr>
      <w:r>
        <w:rPr>
          <w:rFonts w:ascii="Times New Roman" w:hAnsi="Times New Roman"/>
          <w:b w:val="0"/>
          <w:i w:val="0"/>
          <w:sz w:val="22"/>
        </w:rPr>
        <w:t>A 49,499-pair balanced subset of BindingDB (24,676 positive, 24,823 negative; 1:1 ratio) was extracted from 47,079 unique drug SMILES across 210 chunk files. ESM-2 8M embeddings (mean-pooled) were pre-computed for the protein sequences. The subset was split 70/15/15 (train/val/test).</w:t>
      </w:r>
    </w:p>
    <w:p>
      <w:pPr>
        <w:spacing w:before="240" w:after="80"/>
        <w:jc w:val="left"/>
      </w:pPr>
      <w:r>
        <w:rPr>
          <w:rFonts w:ascii="Times New Roman" w:hAnsi="Times New Roman"/>
          <w:b/>
          <w:i w:val="0"/>
          <w:color w:val="007B8A"/>
          <w:sz w:val="26"/>
        </w:rPr>
        <w:t>3.3 Data Preprocessing</w:t>
      </w:r>
    </w:p>
    <w:p>
      <w:pPr>
        <w:spacing w:before="160" w:after="60"/>
      </w:pPr>
      <w:r>
        <w:rPr>
          <w:rFonts w:ascii="Times New Roman" w:hAnsi="Times New Roman"/>
          <w:b/>
          <w:i/>
          <w:color w:val="C06A00"/>
          <w:sz w:val="24"/>
        </w:rPr>
        <w:t>3.3.1 Drug Representation</w:t>
      </w:r>
    </w:p>
    <w:p>
      <w:pPr>
        <w:spacing w:after="80"/>
        <w:ind w:left="0"/>
        <w:jc w:val="both"/>
      </w:pPr>
      <w:r>
        <w:rPr>
          <w:rFonts w:ascii="Times New Roman" w:hAnsi="Times New Roman"/>
          <w:b w:val="0"/>
          <w:i w:val="0"/>
          <w:sz w:val="22"/>
        </w:rPr>
        <w:t>Drug molecules were processed from SMILES strings into PyG Data objects using RDKit. Each atom node carries a feature vector of physicochemical descriptors: atomic number, degree, hybridisation, aromaticity, formal charge, hydrogen count, and ring membership. Bond edges carry: bond type, conjugation, and ring membership. To enrich atom representations, pre-trained ChemBERTa embeddings (seyonec/ChemBERTa-zinc-base-v1, 768-dim CLS token) were appended as a graph-level attribute and fused with atom features inside the DrugEncoder. Preprocessed graphs were stored in processed/drug_graphs/{dataset}_drug_graphs.pt.</w:t>
      </w:r>
    </w:p>
    <w:p>
      <w:pPr>
        <w:spacing w:before="160" w:after="60"/>
      </w:pPr>
      <w:r>
        <w:rPr>
          <w:rFonts w:ascii="Times New Roman" w:hAnsi="Times New Roman"/>
          <w:b/>
          <w:i/>
          <w:color w:val="C06A00"/>
          <w:sz w:val="24"/>
        </w:rPr>
        <w:t>3.3.2 Protein Representation</w:t>
      </w:r>
    </w:p>
    <w:p>
      <w:pPr>
        <w:spacing w:after="80"/>
        <w:ind w:left="0"/>
        <w:jc w:val="both"/>
      </w:pPr>
      <w:r>
        <w:rPr>
          <w:rFonts w:ascii="Times New Roman" w:hAnsi="Times New Roman"/>
          <w:b w:val="0"/>
          <w:i w:val="0"/>
          <w:sz w:val="22"/>
        </w:rPr>
        <w:t>Protein sequences were encoded using the ESM-2 family of protein language models. For Yamanishi_e (89 unique proteins), per-residue embeddings of shape (L, 320) were generated using ESM-2 8M (facebook/esm2_t6_8M_UR50D). For Luo_17 (1,512 unique proteins), mean-pooled embeddings of shape (1, 320) were generated using ESM-2 8M, and alternatively shape (1, 480) using ESM-2 150M (facebook/esm2_t12_35M_UR50D). A learned linear projection (480→320) was applied inside the model when 150M embeddings were used. Embeddings were stored in processed/protein_embeddings/ and cached before training for O(1) per-batch lookup.</w:t>
      </w:r>
    </w:p>
    <w:p>
      <w:pPr>
        <w:spacing w:before="160" w:after="60"/>
      </w:pPr>
      <w:r>
        <w:rPr>
          <w:rFonts w:ascii="Times New Roman" w:hAnsi="Times New Roman"/>
          <w:b/>
          <w:i/>
          <w:color w:val="C06A00"/>
          <w:sz w:val="24"/>
        </w:rPr>
        <w:t>3.3.3 Label Processing and Negative Sampling</w:t>
      </w:r>
    </w:p>
    <w:p>
      <w:pPr>
        <w:spacing w:after="80"/>
        <w:ind w:left="0"/>
        <w:jc w:val="both"/>
      </w:pPr>
      <w:r>
        <w:rPr>
          <w:rFonts w:ascii="Times New Roman" w:hAnsi="Times New Roman"/>
          <w:b w:val="0"/>
          <w:i w:val="0"/>
          <w:sz w:val="22"/>
        </w:rPr>
        <w:t>For DTI binary classification, experimentally confirmed interactions were labelled positive (1). Negative pairs were sampled from non-interacting drug-protein combinations at controlled ratios (1:1, 1:5, 1:10 positive-to-negative). For DTA regression, binding affinity values were used directly (pKd for DAVIS, KIBA scores for KIBA).</w:t>
      </w:r>
    </w:p>
    <w:p>
      <w:pPr>
        <w:spacing w:before="160" w:after="60"/>
      </w:pPr>
      <w:r>
        <w:rPr>
          <w:rFonts w:ascii="Times New Roman" w:hAnsi="Times New Roman"/>
          <w:b/>
          <w:i/>
          <w:color w:val="C06A00"/>
          <w:sz w:val="24"/>
        </w:rPr>
        <w:t>3.3.4 Data Splitting Protocol</w:t>
      </w:r>
    </w:p>
    <w:p>
      <w:pPr>
        <w:spacing w:after="80"/>
        <w:ind w:left="0"/>
        <w:jc w:val="both"/>
      </w:pPr>
      <w:r>
        <w:rPr>
          <w:rFonts w:ascii="Times New Roman" w:hAnsi="Times New Roman"/>
          <w:b w:val="0"/>
          <w:i w:val="0"/>
          <w:sz w:val="22"/>
        </w:rPr>
        <w:t>Four splitting strategies were implemented, following DTKGIN evaluation protocols:</w:t>
      </w:r>
    </w:p>
    <w:p>
      <w:pPr>
        <w:pStyle w:val="ListBullet"/>
        <w:spacing w:after="60"/>
        <w:ind w:left="432"/>
      </w:pPr>
      <w:r>
        <w:rPr>
          <w:rFonts w:ascii="Times New Roman" w:hAnsi="Times New Roman"/>
          <w:b w:val="0"/>
          <w:i w:val="0"/>
          <w:sz w:val="22"/>
        </w:rPr>
        <w:t>Random split (warm-start): pairs randomly partitioned 70/10/20 (train/val/test).</w:t>
      </w:r>
    </w:p>
    <w:p>
      <w:pPr>
        <w:pStyle w:val="ListBullet"/>
        <w:spacing w:after="60"/>
        <w:ind w:left="432"/>
      </w:pPr>
      <w:r>
        <w:rPr>
          <w:rFonts w:ascii="Times New Roman" w:hAnsi="Times New Roman"/>
          <w:b w:val="0"/>
          <w:i w:val="0"/>
          <w:sz w:val="22"/>
        </w:rPr>
        <w:t>Cold_drug split: test drugs never appear in training — evaluates generalisation to novel compounds.</w:t>
      </w:r>
    </w:p>
    <w:p>
      <w:pPr>
        <w:pStyle w:val="ListBullet"/>
        <w:spacing w:after="60"/>
        <w:ind w:left="432"/>
      </w:pPr>
      <w:r>
        <w:rPr>
          <w:rFonts w:ascii="Times New Roman" w:hAnsi="Times New Roman"/>
          <w:b w:val="0"/>
          <w:i w:val="0"/>
          <w:sz w:val="22"/>
        </w:rPr>
        <w:t>Cold_target split: test proteins never appear in training — evaluates generalisation to novel targets.</w:t>
      </w:r>
    </w:p>
    <w:p>
      <w:pPr>
        <w:pStyle w:val="ListBullet"/>
        <w:spacing w:after="60"/>
        <w:ind w:left="432"/>
      </w:pPr>
      <w:r>
        <w:rPr>
          <w:rFonts w:ascii="Times New Roman" w:hAnsi="Times New Roman"/>
          <w:b w:val="0"/>
          <w:i w:val="0"/>
          <w:sz w:val="22"/>
        </w:rPr>
        <w:t>Cold_pair split: test drug-protein pairs not observed in training — strictest generalisation setting.</w:t>
      </w:r>
    </w:p>
    <w:p>
      <w:pPr>
        <w:spacing w:after="80"/>
        <w:ind w:left="0"/>
        <w:jc w:val="both"/>
      </w:pPr>
      <w:r>
        <w:rPr>
          <w:rFonts w:ascii="Times New Roman" w:hAnsi="Times New Roman"/>
          <w:b w:val="0"/>
          <w:i w:val="0"/>
          <w:sz w:val="22"/>
        </w:rPr>
        <w:t>All experiments used fold 0, 5 random seeds (seeds 1–5), and 70/10/20 train/val/test proportions.</w:t>
      </w:r>
    </w:p>
    <w:p>
      <w:pPr>
        <w:spacing w:before="240" w:after="80"/>
        <w:jc w:val="left"/>
      </w:pPr>
      <w:r>
        <w:rPr>
          <w:rFonts w:ascii="Times New Roman" w:hAnsi="Times New Roman"/>
          <w:b/>
          <w:i w:val="0"/>
          <w:color w:val="007B8A"/>
          <w:sz w:val="26"/>
        </w:rPr>
        <w:t>3.4 H-GNN-RNN-DTI Architecture</w:t>
      </w:r>
    </w:p>
    <w:p>
      <w:pPr>
        <w:spacing w:after="80"/>
        <w:ind w:left="0"/>
        <w:jc w:val="both"/>
      </w:pPr>
      <w:r>
        <w:rPr>
          <w:rFonts w:ascii="Times New Roman" w:hAnsi="Times New Roman"/>
          <w:b w:val="0"/>
          <w:i w:val="0"/>
          <w:sz w:val="22"/>
        </w:rPr>
        <w:t>H-GNN-RNN-DTI is a dual-branch network consisting of: (1) a DrugEncoder (Hierarchical GAT), (2) a ProteinEncoder (BiGRU with attention pooling), (3) a GatedCrossAttention fusion module, and (4) task-specific prediction heads. Figure 3.1 illustrates the full architecture.</w:t>
      </w:r>
    </w:p>
    <w:p>
      <w:pPr>
        <w:spacing w:before="160" w:after="60"/>
      </w:pPr>
      <w:r>
        <w:rPr>
          <w:rFonts w:ascii="Times New Roman" w:hAnsi="Times New Roman"/>
          <w:b/>
          <w:i/>
          <w:color w:val="C06A00"/>
          <w:sz w:val="24"/>
        </w:rPr>
        <w:t>3.4.1 Drug Encoder — Hierarchical Graph Attention Network</w:t>
      </w:r>
    </w:p>
    <w:p>
      <w:pPr>
        <w:spacing w:after="80"/>
        <w:ind w:left="0"/>
        <w:jc w:val="both"/>
      </w:pPr>
      <w:r>
        <w:rPr>
          <w:rFonts w:ascii="Times New Roman" w:hAnsi="Times New Roman"/>
          <w:b w:val="0"/>
          <w:i w:val="0"/>
          <w:sz w:val="22"/>
        </w:rPr>
        <w:t>The DrugEncoder processes the molecular graph through three stacked ResidualGATBlock layers, each with 8 attention heads. The message passing update at layer l for atom i is:</w:t>
      </w:r>
    </w:p>
    <w:p>
      <w:pPr>
        <w:spacing w:before="80" w:after="80"/>
        <w:jc w:val="center"/>
      </w:pPr>
      <w:r>
        <w:rPr>
          <w:rFonts w:ascii="Cambria Math" w:hAnsi="Cambria Math"/>
          <w:b w:val="0"/>
          <w:i/>
          <w:sz w:val="22"/>
        </w:rPr>
        <w:t>h_i^(l) = σ( Σ_{j∈N(i)} α_{ij}^(l) · W^(l) · h_j^(l-1) )</w:t>
      </w:r>
      <w:r>
        <w:rPr>
          <w:rFonts w:ascii="Times New Roman" w:hAnsi="Times New Roman"/>
          <w:b w:val="0"/>
          <w:i w:val="0"/>
          <w:color w:val="F2F4F7"/>
          <w:sz w:val="20"/>
        </w:rPr>
        <w:t xml:space="preserve">    (Eq. 3.1)</w:t>
      </w:r>
    </w:p>
    <w:p>
      <w:pPr>
        <w:spacing w:after="80"/>
        <w:ind w:left="0"/>
        <w:jc w:val="both"/>
      </w:pPr>
      <w:r>
        <w:rPr>
          <w:rFonts w:ascii="Times New Roman" w:hAnsi="Times New Roman"/>
          <w:b w:val="0"/>
          <w:i w:val="0"/>
          <w:sz w:val="22"/>
        </w:rPr>
        <w:t>where N(i) is the set of atom i's bonded neighbours, α_{ij} are attention coefficients normalised over the neighbourhood, W^(l) is a learnable weight matrix, and σ is a nonlinear activation (ELU). Residual connections and batch normalisation are applied after each block. A global embedding is obtained by concatenating mean-pooling and max-pooling over all atom embeddings:</w:t>
      </w:r>
    </w:p>
    <w:p>
      <w:pPr>
        <w:spacing w:before="80" w:after="80"/>
        <w:jc w:val="center"/>
      </w:pPr>
      <w:r>
        <w:rPr>
          <w:rFonts w:ascii="Cambria Math" w:hAnsi="Cambria Math"/>
          <w:b w:val="0"/>
          <w:i/>
          <w:sz w:val="22"/>
        </w:rPr>
        <w:t>h_drug = MLP( concat(MeanPool({h_i}), MaxPool({h_i})) ⊕ W_cb · e_ChemBERTa )</w:t>
      </w:r>
      <w:r>
        <w:rPr>
          <w:rFonts w:ascii="Times New Roman" w:hAnsi="Times New Roman"/>
          <w:b w:val="0"/>
          <w:i w:val="0"/>
          <w:color w:val="F2F4F7"/>
          <w:sz w:val="20"/>
        </w:rPr>
        <w:t xml:space="preserve">    (Eq. 3.2)</w:t>
      </w:r>
    </w:p>
    <w:p>
      <w:pPr>
        <w:spacing w:after="80"/>
        <w:ind w:left="0"/>
        <w:jc w:val="both"/>
      </w:pPr>
      <w:r>
        <w:rPr>
          <w:rFonts w:ascii="Times New Roman" w:hAnsi="Times New Roman"/>
          <w:b w:val="0"/>
          <w:i w:val="0"/>
          <w:sz w:val="22"/>
        </w:rPr>
        <w:t>where e_ChemBERTa is the 768-dim CLS token from ChemBERTa, projected to the hidden dimension via W_cb and fused with the pooled atom features. The final drug embedding h_drug ∈ ℝ^d.</w:t>
      </w:r>
    </w:p>
    <w:p>
      <w:pPr>
        <w:spacing w:before="160" w:after="60"/>
      </w:pPr>
      <w:r>
        <w:rPr>
          <w:rFonts w:ascii="Times New Roman" w:hAnsi="Times New Roman"/>
          <w:b/>
          <w:i/>
          <w:color w:val="C06A00"/>
          <w:sz w:val="24"/>
        </w:rPr>
        <w:t>3.4.2 Protein Encoder — Bidirectional GRU</w:t>
      </w:r>
    </w:p>
    <w:p>
      <w:pPr>
        <w:spacing w:after="80"/>
        <w:ind w:left="0"/>
        <w:jc w:val="both"/>
      </w:pPr>
      <w:r>
        <w:rPr>
          <w:rFonts w:ascii="Times New Roman" w:hAnsi="Times New Roman"/>
          <w:b w:val="0"/>
          <w:i w:val="0"/>
          <w:sz w:val="22"/>
        </w:rPr>
        <w:t>The ProteinEncoder processes per-residue ESM-2 embeddings through a 2-layer BiGRU. At each residue position t, the forward and backward hidden states are:</w:t>
      </w:r>
    </w:p>
    <w:p>
      <w:pPr>
        <w:spacing w:before="80" w:after="80"/>
        <w:jc w:val="center"/>
      </w:pPr>
      <w:r>
        <w:rPr>
          <w:rFonts w:ascii="Cambria Math" w:hAnsi="Cambria Math"/>
          <w:b w:val="0"/>
          <w:i/>
          <w:sz w:val="22"/>
        </w:rPr>
        <w:t>→h_t = GRU(x_t, →h_{t-1}),    ←h_t = GRU(x_t, ←h_{t+1})</w:t>
      </w:r>
      <w:r>
        <w:rPr>
          <w:rFonts w:ascii="Times New Roman" w:hAnsi="Times New Roman"/>
          <w:b w:val="0"/>
          <w:i w:val="0"/>
          <w:color w:val="F2F4F7"/>
          <w:sz w:val="20"/>
        </w:rPr>
        <w:t xml:space="preserve">    (Eq. 3.3)</w:t>
      </w:r>
    </w:p>
    <w:p>
      <w:pPr>
        <w:spacing w:after="80"/>
        <w:ind w:left="0"/>
        <w:jc w:val="both"/>
      </w:pPr>
      <w:r>
        <w:rPr>
          <w:rFonts w:ascii="Times New Roman" w:hAnsi="Times New Roman"/>
          <w:b w:val="0"/>
          <w:i w:val="0"/>
          <w:sz w:val="22"/>
        </w:rPr>
        <w:t>The full contextual representation is: h_t = concat(→h_t, ←h_t). An attention pooling mechanism derives a compact sequence-level representation:</w:t>
      </w:r>
    </w:p>
    <w:p>
      <w:pPr>
        <w:spacing w:before="80" w:after="80"/>
        <w:jc w:val="center"/>
      </w:pPr>
      <w:r>
        <w:rPr>
          <w:rFonts w:ascii="Cambria Math" w:hAnsi="Cambria Math"/>
          <w:b w:val="0"/>
          <w:i/>
          <w:sz w:val="22"/>
        </w:rPr>
        <w:t>e_t = v^T · tanh(W_a · h_t + b_a),    α_t = softmax(e_t)</w:t>
      </w:r>
      <w:r>
        <w:rPr>
          <w:rFonts w:ascii="Times New Roman" w:hAnsi="Times New Roman"/>
          <w:b w:val="0"/>
          <w:i w:val="0"/>
          <w:color w:val="F2F4F7"/>
          <w:sz w:val="20"/>
        </w:rPr>
        <w:t xml:space="preserve">    (Eq. 3.4)</w:t>
      </w:r>
    </w:p>
    <w:p>
      <w:pPr>
        <w:spacing w:before="80" w:after="80"/>
        <w:jc w:val="center"/>
      </w:pPr>
      <w:r>
        <w:rPr>
          <w:rFonts w:ascii="Cambria Math" w:hAnsi="Cambria Math"/>
          <w:b w:val="0"/>
          <w:i/>
          <w:sz w:val="22"/>
        </w:rPr>
        <w:t>h_protein = Σ_t α_t · h_t</w:t>
      </w:r>
      <w:r>
        <w:rPr>
          <w:rFonts w:ascii="Times New Roman" w:hAnsi="Times New Roman"/>
          <w:b w:val="0"/>
          <w:i w:val="0"/>
          <w:color w:val="F2F4F7"/>
          <w:sz w:val="20"/>
        </w:rPr>
        <w:t xml:space="preserve">    (Eq. 3.5)</w:t>
      </w:r>
    </w:p>
    <w:p>
      <w:pPr>
        <w:spacing w:after="80"/>
        <w:ind w:left="0"/>
        <w:jc w:val="both"/>
      </w:pPr>
      <w:r>
        <w:rPr>
          <w:rFonts w:ascii="Times New Roman" w:hAnsi="Times New Roman"/>
          <w:b w:val="0"/>
          <w:i w:val="0"/>
          <w:sz w:val="22"/>
        </w:rPr>
        <w:t>where v, W_a, b_a are learnable parameters. The attention weights α_t ∈ [0,1] serve as per-residue importance scores for the interpretability module. When mean-pooled (shape B×d) input is provided, a linear projection replaces the BiGRU path.</w:t>
      </w:r>
    </w:p>
    <w:p>
      <w:pPr>
        <w:spacing w:before="160" w:after="60"/>
      </w:pPr>
      <w:r>
        <w:rPr>
          <w:rFonts w:ascii="Times New Roman" w:hAnsi="Times New Roman"/>
          <w:b/>
          <w:i/>
          <w:color w:val="C06A00"/>
          <w:sz w:val="24"/>
        </w:rPr>
        <w:t>3.4.3 Gated Cross-Attention Fusion</w:t>
      </w:r>
    </w:p>
    <w:p>
      <w:pPr>
        <w:spacing w:after="80"/>
        <w:ind w:left="0"/>
        <w:jc w:val="both"/>
      </w:pPr>
      <w:r>
        <w:rPr>
          <w:rFonts w:ascii="Times New Roman" w:hAnsi="Times New Roman"/>
          <w:b w:val="0"/>
          <w:i w:val="0"/>
          <w:sz w:val="22"/>
        </w:rPr>
        <w:t>The GatedCrossAttention module enables bidirectional drug↔protein attention. Given drug embedding h_drug and protein embedding h_protein, scaled dot-product cross-attention is computed:</w:t>
      </w:r>
    </w:p>
    <w:p>
      <w:pPr>
        <w:spacing w:before="80" w:after="80"/>
        <w:jc w:val="center"/>
      </w:pPr>
      <w:r>
        <w:rPr>
          <w:rFonts w:ascii="Cambria Math" w:hAnsi="Cambria Math"/>
          <w:b w:val="0"/>
          <w:i/>
          <w:sz w:val="22"/>
        </w:rPr>
        <w:t>A = softmax( Q_d · K_p^T / √d_k ) · V_p</w:t>
      </w:r>
      <w:r>
        <w:rPr>
          <w:rFonts w:ascii="Times New Roman" w:hAnsi="Times New Roman"/>
          <w:b w:val="0"/>
          <w:i w:val="0"/>
          <w:color w:val="F2F4F7"/>
          <w:sz w:val="20"/>
        </w:rPr>
        <w:t xml:space="preserve">    (Eq. 3.6)</w:t>
      </w:r>
    </w:p>
    <w:p>
      <w:pPr>
        <w:spacing w:after="80"/>
        <w:ind w:left="0"/>
        <w:jc w:val="both"/>
      </w:pPr>
      <w:r>
        <w:rPr>
          <w:rFonts w:ascii="Times New Roman" w:hAnsi="Times New Roman"/>
          <w:b w:val="0"/>
          <w:i w:val="0"/>
          <w:sz w:val="22"/>
        </w:rPr>
        <w:t>where Q_d = W_Q · h_drug, K_p = W_K · h_protein, V_p = W_V · h_protein are learned projections. A gating mechanism controls the cross-modal information flow:</w:t>
      </w:r>
    </w:p>
    <w:p>
      <w:pPr>
        <w:spacing w:before="80" w:after="80"/>
        <w:jc w:val="center"/>
      </w:pPr>
      <w:r>
        <w:rPr>
          <w:rFonts w:ascii="Cambria Math" w:hAnsi="Cambria Math"/>
          <w:b w:val="0"/>
          <w:i/>
          <w:sz w:val="22"/>
        </w:rPr>
        <w:t>g = σ( W_g · concat(h_drug, A) ),    h'_drug = g ⊙ h_drug + (1-g) ⊙ A</w:t>
      </w:r>
      <w:r>
        <w:rPr>
          <w:rFonts w:ascii="Times New Roman" w:hAnsi="Times New Roman"/>
          <w:b w:val="0"/>
          <w:i w:val="0"/>
          <w:color w:val="F2F4F7"/>
          <w:sz w:val="20"/>
        </w:rPr>
        <w:t xml:space="preserve">    (Eq. 3.7)</w:t>
      </w:r>
    </w:p>
    <w:p>
      <w:pPr>
        <w:spacing w:after="80"/>
        <w:ind w:left="0"/>
        <w:jc w:val="both"/>
      </w:pPr>
      <w:r>
        <w:rPr>
          <w:rFonts w:ascii="Times New Roman" w:hAnsi="Times New Roman"/>
          <w:b w:val="0"/>
          <w:i w:val="0"/>
          <w:sz w:val="22"/>
        </w:rPr>
        <w:t>where σ is the sigmoid function and ⊙ denotes element-wise multiplication. The same gating operation is applied in the reverse direction (protein attending to drug). The final fused representation is:</w:t>
      </w:r>
    </w:p>
    <w:p>
      <w:pPr>
        <w:spacing w:before="80" w:after="80"/>
        <w:jc w:val="center"/>
      </w:pPr>
      <w:r>
        <w:rPr>
          <w:rFonts w:ascii="Cambria Math" w:hAnsi="Cambria Math"/>
          <w:b w:val="0"/>
          <w:i/>
          <w:sz w:val="22"/>
        </w:rPr>
        <w:t>h_fused = MLP( concat(h'_drug, h'_protein) )</w:t>
      </w:r>
      <w:r>
        <w:rPr>
          <w:rFonts w:ascii="Times New Roman" w:hAnsi="Times New Roman"/>
          <w:b w:val="0"/>
          <w:i w:val="0"/>
          <w:color w:val="F2F4F7"/>
          <w:sz w:val="20"/>
        </w:rPr>
        <w:t xml:space="preserve">    (Eq. 3.8)</w:t>
      </w:r>
    </w:p>
    <w:p>
      <w:pPr>
        <w:spacing w:before="160" w:after="60"/>
      </w:pPr>
      <w:r>
        <w:rPr>
          <w:rFonts w:ascii="Times New Roman" w:hAnsi="Times New Roman"/>
          <w:b/>
          <w:i/>
          <w:color w:val="C06A00"/>
          <w:sz w:val="24"/>
        </w:rPr>
        <w:t>3.4.4 Prediction Heads</w:t>
      </w:r>
    </w:p>
    <w:p>
      <w:pPr>
        <w:spacing w:after="80"/>
        <w:ind w:left="0"/>
        <w:jc w:val="both"/>
      </w:pPr>
      <w:r>
        <w:rPr>
          <w:rFonts w:ascii="Times New Roman" w:hAnsi="Times New Roman"/>
          <w:b w:val="0"/>
          <w:i w:val="0"/>
          <w:sz w:val="22"/>
        </w:rPr>
        <w:t>For DTI binary classification, the fused representation is passed through a 2-layer MLP to produce logits, and FocalLoss is applied:</w:t>
      </w:r>
    </w:p>
    <w:p>
      <w:pPr>
        <w:spacing w:before="80" w:after="80"/>
        <w:jc w:val="center"/>
      </w:pPr>
      <w:r>
        <w:rPr>
          <w:rFonts w:ascii="Cambria Math" w:hAnsi="Cambria Math"/>
          <w:b w:val="0"/>
          <w:i/>
          <w:sz w:val="22"/>
        </w:rPr>
        <w:t>L_focal = -α_t · (1-p_t)^γ · log(p_t)</w:t>
      </w:r>
      <w:r>
        <w:rPr>
          <w:rFonts w:ascii="Times New Roman" w:hAnsi="Times New Roman"/>
          <w:b w:val="0"/>
          <w:i w:val="0"/>
          <w:color w:val="F2F4F7"/>
          <w:sz w:val="20"/>
        </w:rPr>
        <w:t xml:space="preserve">    (Eq. 3.9)</w:t>
      </w:r>
    </w:p>
    <w:p>
      <w:pPr>
        <w:spacing w:after="80"/>
        <w:ind w:left="0"/>
        <w:jc w:val="both"/>
      </w:pPr>
      <w:r>
        <w:rPr>
          <w:rFonts w:ascii="Times New Roman" w:hAnsi="Times New Roman"/>
          <w:b w:val="0"/>
          <w:i w:val="0"/>
          <w:sz w:val="22"/>
        </w:rPr>
        <w:t>where γ=2 (focusing parameter) and α_t balances class contributions. For DTA regression, the MLP output is a scalar binding affinity prediction trained with MSE loss:</w:t>
      </w:r>
    </w:p>
    <w:p>
      <w:pPr>
        <w:spacing w:before="80" w:after="80"/>
        <w:jc w:val="center"/>
      </w:pPr>
      <w:r>
        <w:rPr>
          <w:rFonts w:ascii="Cambria Math" w:hAnsi="Cambria Math"/>
          <w:b w:val="0"/>
          <w:i/>
          <w:sz w:val="22"/>
        </w:rPr>
        <w:t>L_MSE = (1/N) · Σ_i (ŷ_i - y_i)²</w:t>
      </w:r>
      <w:r>
        <w:rPr>
          <w:rFonts w:ascii="Times New Roman" w:hAnsi="Times New Roman"/>
          <w:b w:val="0"/>
          <w:i w:val="0"/>
          <w:color w:val="F2F4F7"/>
          <w:sz w:val="20"/>
        </w:rPr>
        <w:t xml:space="preserve">    (Eq. 3.10)</w:t>
      </w:r>
    </w:p>
    <w:p>
      <w:pPr>
        <w:spacing w:after="80"/>
        <w:ind w:left="0"/>
        <w:jc w:val="both"/>
      </w:pPr>
      <w:r>
        <w:rPr>
          <w:rFonts w:ascii="Times New Roman" w:hAnsi="Times New Roman"/>
          <w:b w:val="0"/>
          <w:i w:val="0"/>
          <w:sz w:val="22"/>
        </w:rPr>
        <w:t>The architecture supports both tasks without architectural changes — only the task head and loss function differ.</w:t>
      </w:r>
    </w:p>
    <w:p>
      <w:pPr>
        <w:spacing w:before="240" w:after="80"/>
        <w:jc w:val="left"/>
      </w:pPr>
      <w:r>
        <w:rPr>
          <w:rFonts w:ascii="Times New Roman" w:hAnsi="Times New Roman"/>
          <w:b/>
          <w:i w:val="0"/>
          <w:color w:val="007B8A"/>
          <w:sz w:val="26"/>
        </w:rPr>
        <w:t>3.5 Training Strategy</w:t>
      </w:r>
    </w:p>
    <w:p>
      <w:pPr>
        <w:spacing w:before="160" w:after="60"/>
      </w:pPr>
      <w:r>
        <w:rPr>
          <w:rFonts w:ascii="Times New Roman" w:hAnsi="Times New Roman"/>
          <w:b/>
          <w:i/>
          <w:color w:val="C06A00"/>
          <w:sz w:val="24"/>
        </w:rPr>
        <w:t>3.5.1 Optimisation</w:t>
      </w:r>
    </w:p>
    <w:p>
      <w:pPr>
        <w:spacing w:after="80"/>
        <w:ind w:left="0"/>
        <w:jc w:val="both"/>
      </w:pPr>
      <w:r>
        <w:rPr>
          <w:rFonts w:ascii="Times New Roman" w:hAnsi="Times New Roman"/>
          <w:b w:val="0"/>
          <w:i w:val="0"/>
          <w:sz w:val="22"/>
        </w:rPr>
        <w:t>The model was trained end-to-end using the Adam optimiser (lr=1×10⁻³, weight_decay=1×10⁻⁴). A CosineAnnealingLR scheduler (T_max=100, η_min=1×10⁻⁶) was applied. Gradient clipping (max_norm=1.0) was used. Early stopping (patience=15) was triggered on validation AUROC for DTI and validation MSE for DTA. Batch size=64 on CPU.</w:t>
      </w:r>
    </w:p>
    <w:p>
      <w:pPr>
        <w:spacing w:before="160" w:after="60"/>
      </w:pPr>
      <w:r>
        <w:rPr>
          <w:rFonts w:ascii="Times New Roman" w:hAnsi="Times New Roman"/>
          <w:b/>
          <w:i/>
          <w:color w:val="C06A00"/>
          <w:sz w:val="24"/>
        </w:rPr>
        <w:t>3.5.2 BindingDB Pre-Training</w:t>
      </w:r>
    </w:p>
    <w:p>
      <w:pPr>
        <w:spacing w:after="80"/>
        <w:ind w:left="0"/>
        <w:jc w:val="both"/>
      </w:pPr>
      <w:r>
        <w:rPr>
          <w:rFonts w:ascii="Times New Roman" w:hAnsi="Times New Roman"/>
          <w:b w:val="0"/>
          <w:i w:val="0"/>
          <w:sz w:val="22"/>
        </w:rPr>
        <w:t>For Objective 2 Phase 3, H-GNN-RNN-DTI was first pre-trained on the BindingDB subset (lr=1×10⁻⁴, 50 epochs, batch=64). The best-epoch checkpoint (epoch 42, test AUROC=0.728) was used to initialise the encoder and fusion weights. Shape-mismatched parameters (e.g., prot_input_proj for Luo_17's 1,280-dim embeddings) were re-initialised randomly. Fine-tuning used the same optimiser settings as from-scratch training.</w:t>
      </w:r>
    </w:p>
    <w:p>
      <w:pPr>
        <w:spacing w:before="240" w:after="80"/>
        <w:jc w:val="left"/>
      </w:pPr>
      <w:r>
        <w:rPr>
          <w:rFonts w:ascii="Times New Roman" w:hAnsi="Times New Roman"/>
          <w:b/>
          <w:i w:val="0"/>
          <w:color w:val="007B8A"/>
          <w:sz w:val="26"/>
        </w:rPr>
        <w:t>3.6 Evaluation Protocol</w:t>
      </w:r>
    </w:p>
    <w:p>
      <w:pPr>
        <w:spacing w:before="160" w:after="60"/>
      </w:pPr>
      <w:r>
        <w:rPr>
          <w:rFonts w:ascii="Times New Roman" w:hAnsi="Times New Roman"/>
          <w:b/>
          <w:i/>
          <w:color w:val="C06A00"/>
          <w:sz w:val="24"/>
        </w:rPr>
        <w:t>3.6.1 Metrics</w:t>
      </w:r>
    </w:p>
    <w:p>
      <w:pPr>
        <w:spacing w:after="80"/>
        <w:ind w:left="0"/>
        <w:jc w:val="both"/>
      </w:pPr>
      <w:r>
        <w:rPr>
          <w:rFonts w:ascii="Times New Roman" w:hAnsi="Times New Roman"/>
          <w:b w:val="0"/>
          <w:i w:val="0"/>
          <w:sz w:val="22"/>
        </w:rPr>
        <w:t>Primary metric for DTI: AUROC (area under ROC curve) — threshold-independent and robust to class imbalance. Secondary metrics: AUPRC (area under precision-recall curve) and F1-score. For DTA: MSE (primary), MAE, RMSE, R², Pearson r, and Spearman ρ.</w:t>
      </w:r>
    </w:p>
    <w:p>
      <w:pPr>
        <w:spacing w:before="160" w:after="60"/>
      </w:pPr>
      <w:r>
        <w:rPr>
          <w:rFonts w:ascii="Times New Roman" w:hAnsi="Times New Roman"/>
          <w:b/>
          <w:i/>
          <w:color w:val="C06A00"/>
          <w:sz w:val="24"/>
        </w:rPr>
        <w:t>3.6.2 Statistical Testing</w:t>
      </w:r>
    </w:p>
    <w:p>
      <w:pPr>
        <w:spacing w:after="80"/>
        <w:ind w:left="0"/>
        <w:jc w:val="both"/>
      </w:pPr>
      <w:r>
        <w:rPr>
          <w:rFonts w:ascii="Times New Roman" w:hAnsi="Times New Roman"/>
          <w:b w:val="0"/>
          <w:i w:val="0"/>
          <w:sz w:val="22"/>
        </w:rPr>
        <w:t>All results were reported as mean ± std over 5 random seeds (seeds 1–5). Statistical significance was assessed by two-tailed paired t-test (df=4, α=0.05) comparing H-GNN-RNN-DTI against each baseline per configuration. External baselines (GSRF-DTI, DTKGIN) were run with 3 seeds; no paired t-test was applied against them due to differing implementation scope.</w:t>
      </w:r>
    </w:p>
    <w:p>
      <w:pPr>
        <w:spacing w:before="240" w:after="80"/>
        <w:jc w:val="left"/>
      </w:pPr>
      <w:r>
        <w:rPr>
          <w:rFonts w:ascii="Times New Roman" w:hAnsi="Times New Roman"/>
          <w:b/>
          <w:i w:val="0"/>
          <w:color w:val="007B8A"/>
          <w:sz w:val="26"/>
        </w:rPr>
        <w:t>3.7 Interpretability Module</w:t>
      </w:r>
    </w:p>
    <w:p>
      <w:pPr>
        <w:spacing w:before="160" w:after="60"/>
      </w:pPr>
      <w:r>
        <w:rPr>
          <w:rFonts w:ascii="Times New Roman" w:hAnsi="Times New Roman"/>
          <w:b/>
          <w:i/>
          <w:color w:val="C06A00"/>
          <w:sz w:val="24"/>
        </w:rPr>
        <w:t>3.7.1 Attribution Methods</w:t>
      </w:r>
    </w:p>
    <w:p>
      <w:pPr>
        <w:spacing w:after="80"/>
        <w:ind w:left="0"/>
        <w:jc w:val="both"/>
      </w:pPr>
      <w:r>
        <w:rPr>
          <w:rFonts w:ascii="Times New Roman" w:hAnsi="Times New Roman"/>
          <w:b w:val="0"/>
          <w:i w:val="0"/>
          <w:sz w:val="22"/>
        </w:rPr>
        <w:t>Four drug attribution methods were implemented and compared:</w:t>
      </w:r>
    </w:p>
    <w:p>
      <w:pPr>
        <w:pStyle w:val="ListBullet"/>
        <w:spacing w:after="60"/>
        <w:ind w:left="432"/>
      </w:pPr>
      <w:r>
        <w:rPr>
          <w:rFonts w:ascii="Times New Roman" w:hAnsi="Times New Roman"/>
          <w:b w:val="0"/>
          <w:i w:val="0"/>
          <w:sz w:val="22"/>
        </w:rPr>
        <w:t>Input Gradient: atom_importance[i] = ‖∂score/∂x_i‖₂ — sensitivity of the prediction score to each atom's input features.</w:t>
      </w:r>
    </w:p>
    <w:p>
      <w:pPr>
        <w:pStyle w:val="ListBullet"/>
        <w:spacing w:after="60"/>
        <w:ind w:left="432"/>
      </w:pPr>
      <w:r>
        <w:rPr>
          <w:rFonts w:ascii="Times New Roman" w:hAnsi="Times New Roman"/>
          <w:b w:val="0"/>
          <w:i w:val="0"/>
          <w:sz w:val="22"/>
        </w:rPr>
        <w:t>Graph Grad-CAM: cam[i] = ReLU(mean_c(∂score/∂h_i[c] · h_i[c])) — applied to the last ResidualGATBlock. Captures which post-encoding atom representations matter most.</w:t>
      </w:r>
    </w:p>
    <w:p>
      <w:pPr>
        <w:pStyle w:val="ListBullet"/>
        <w:spacing w:after="60"/>
        <w:ind w:left="432"/>
      </w:pPr>
      <w:r>
        <w:rPr>
          <w:rFonts w:ascii="Times New Roman" w:hAnsi="Times New Roman"/>
          <w:b w:val="0"/>
          <w:i w:val="0"/>
          <w:sz w:val="22"/>
        </w:rPr>
        <w:t>Ensemble: 0.5 × norm(InputGrad) + 0.5 × norm(GradCAM) — combines complementary signals.</w:t>
      </w:r>
    </w:p>
    <w:p>
      <w:pPr>
        <w:pStyle w:val="ListBullet"/>
        <w:spacing w:after="60"/>
        <w:ind w:left="432"/>
      </w:pPr>
      <w:r>
        <w:rPr>
          <w:rFonts w:ascii="Times New Roman" w:hAnsi="Times New Roman"/>
          <w:b w:val="0"/>
          <w:i w:val="0"/>
          <w:sz w:val="22"/>
        </w:rPr>
        <w:t>AttentionPooling: per-residue weights α_t from Eq. 3.4 serve directly as protein attribution.</w:t>
      </w:r>
    </w:p>
    <w:p>
      <w:pPr>
        <w:spacing w:before="160" w:after="60"/>
      </w:pPr>
      <w:r>
        <w:rPr>
          <w:rFonts w:ascii="Times New Roman" w:hAnsi="Times New Roman"/>
          <w:b/>
          <w:i/>
          <w:color w:val="C06A00"/>
          <w:sz w:val="24"/>
        </w:rPr>
        <w:t>3.7.2 Faithfulness Validation</w:t>
      </w:r>
    </w:p>
    <w:p>
      <w:pPr>
        <w:spacing w:after="80"/>
        <w:ind w:left="0"/>
        <w:jc w:val="both"/>
      </w:pPr>
      <w:r>
        <w:rPr>
          <w:rFonts w:ascii="Times New Roman" w:hAnsi="Times New Roman"/>
          <w:b w:val="0"/>
          <w:i w:val="0"/>
          <w:sz w:val="22"/>
        </w:rPr>
        <w:t>Atom attributions were validated through progressive masking: atoms are iteratively set to zero in descending attribution order, and the DTI prediction probability is recorded after each masking step. Faithfulness AUC = area under the probability-vs.-masking curve. Advantage = faithfulness_AUC − random_masking_AUC. Positive advantage confirms causal validity.</w:t>
      </w:r>
    </w:p>
    <w:p>
      <w:pPr>
        <w:spacing w:before="160" w:after="60"/>
      </w:pPr>
      <w:r>
        <w:rPr>
          <w:rFonts w:ascii="Times New Roman" w:hAnsi="Times New Roman"/>
          <w:b/>
          <w:i/>
          <w:color w:val="C06A00"/>
          <w:sz w:val="24"/>
        </w:rPr>
        <w:t>3.7.3 Pharmacophore Validation</w:t>
      </w:r>
    </w:p>
    <w:p>
      <w:pPr>
        <w:spacing w:after="80"/>
        <w:ind w:left="0"/>
        <w:jc w:val="both"/>
      </w:pPr>
      <w:r>
        <w:rPr>
          <w:rFonts w:ascii="Times New Roman" w:hAnsi="Times New Roman"/>
          <w:b w:val="0"/>
          <w:i w:val="0"/>
          <w:sz w:val="22"/>
        </w:rPr>
        <w:t>Pharmacophore precision@K was computed by identifying the top-K% attributed atoms, and measuring the fraction matching SMARTS patterns for four pharmacophore types: hydrogen bond donors (HBD), hydrogen bond acceptors (HBA), aromatic rings (Arom), and hydrophobic groups (Hydro). Enrichment was computed relative to random atom selection baseline.</w:t>
      </w:r>
    </w:p>
    <w:p>
      <w:pPr>
        <w:spacing w:before="160" w:after="60"/>
      </w:pPr>
      <w:r>
        <w:rPr>
          <w:rFonts w:ascii="Times New Roman" w:hAnsi="Times New Roman"/>
          <w:b/>
          <w:i/>
          <w:color w:val="C06A00"/>
          <w:sz w:val="24"/>
        </w:rPr>
        <w:t>3.7.4 PDB Binding-Site Validation</w:t>
      </w:r>
    </w:p>
    <w:p>
      <w:pPr>
        <w:spacing w:after="80"/>
        <w:ind w:left="0"/>
        <w:jc w:val="both"/>
      </w:pPr>
      <w:r>
        <w:rPr>
          <w:rFonts w:ascii="Times New Roman" w:hAnsi="Times New Roman"/>
          <w:b w:val="0"/>
          <w:i w:val="0"/>
          <w:sz w:val="22"/>
        </w:rPr>
        <w:t>For protein attribution, PDB crystal structures were downloaded (RCSB REST API) for well-characterised drug-protein pairs. Binding residues were defined as residues with any heavy atom within 4.5 Å of the ligand. Residue AUROC was computed between attribution scores (α_t) and binary binding-site labels. Enrichment factor (EF@K%) = precision@K% / random baseline.</w:t>
      </w:r>
    </w:p>
    <w:p>
      <w:r>
        <w:br w:type="page"/>
      </w:r>
    </w:p>
    <w:p>
      <w:pPr>
        <w:spacing w:before="360" w:after="120"/>
        <w:jc w:val="left"/>
      </w:pPr>
      <w:r>
        <w:rPr>
          <w:rFonts w:ascii="Times New Roman" w:hAnsi="Times New Roman"/>
          <w:b/>
          <w:i w:val="0"/>
          <w:color w:val="1A375C"/>
          <w:sz w:val="32"/>
        </w:rPr>
        <w:t>CHAPTER 4: RESULTS AND DISCUSSION</w:t>
      </w:r>
    </w:p>
    <w:p>
      <w:pPr>
        <w:spacing w:before="240" w:after="80"/>
        <w:jc w:val="left"/>
      </w:pPr>
      <w:r>
        <w:rPr>
          <w:rFonts w:ascii="Times New Roman" w:hAnsi="Times New Roman"/>
          <w:b/>
          <w:i w:val="0"/>
          <w:color w:val="007B8A"/>
          <w:sz w:val="26"/>
        </w:rPr>
        <w:t>4.1 Experimental Setup Summary</w:t>
      </w:r>
    </w:p>
    <w:p>
      <w:pPr>
        <w:spacing w:after="80"/>
        <w:ind w:left="0"/>
        <w:jc w:val="both"/>
      </w:pPr>
      <w:r>
        <w:rPr>
          <w:rFonts w:ascii="Times New Roman" w:hAnsi="Times New Roman"/>
          <w:b w:val="0"/>
          <w:i w:val="0"/>
          <w:sz w:val="22"/>
        </w:rPr>
        <w:t>All experiments used fold 0, five random seeds, Adam optimiser (lr=1×10⁻³), CosineAnnealingLR, early stopping (patience=15), gradient clipping (1.0), and batch size 64 on CPU. The baseline configuration (C0) used ESM-2 8M embeddings and 1:1 negative sampling. Unless stated otherwise, all reported results are mean ± std over 5 seeds with paired t-test significance.</w:t>
      </w:r>
    </w:p>
    <w:p>
      <w:pPr>
        <w:spacing w:before="240" w:after="80"/>
        <w:jc w:val="left"/>
      </w:pPr>
      <w:r>
        <w:rPr>
          <w:rFonts w:ascii="Times New Roman" w:hAnsi="Times New Roman"/>
          <w:b/>
          <w:i w:val="0"/>
          <w:color w:val="007B8A"/>
          <w:sz w:val="26"/>
        </w:rPr>
        <w:t>4.2 Objective 1: H-GNN-RNN-DTI Architecture Design and Evaluation</w:t>
      </w:r>
    </w:p>
    <w:p>
      <w:pPr>
        <w:spacing w:after="80"/>
        <w:ind w:left="0"/>
        <w:jc w:val="both"/>
      </w:pPr>
      <w:r>
        <w:rPr>
          <w:rFonts w:ascii="Times New Roman" w:hAnsi="Times New Roman"/>
          <w:b w:val="0"/>
          <w:i w:val="0"/>
          <w:sz w:val="22"/>
        </w:rPr>
        <w:t>This section evaluates the core architectural contribution: Gated Cross-Attention fusion compared to concatenation-based fusion (ConcatBaseline), encoder ablations, DTA regression performance, external baseline comparisons, and cross-dataset transfer.</w:t>
      </w:r>
    </w:p>
    <w:p>
      <w:pPr>
        <w:spacing w:before="160" w:after="60"/>
      </w:pPr>
      <w:r>
        <w:rPr>
          <w:rFonts w:ascii="Times New Roman" w:hAnsi="Times New Roman"/>
          <w:b/>
          <w:i/>
          <w:color w:val="C06A00"/>
          <w:sz w:val="24"/>
        </w:rPr>
        <w:t>4.2.1 Fusion Strategy Comparison: Cross-Attention vs. Concatenation</w:t>
      </w:r>
    </w:p>
    <w:p>
      <w:pPr>
        <w:spacing w:after="80"/>
        <w:ind w:left="0"/>
        <w:jc w:val="both"/>
      </w:pPr>
      <w:r>
        <w:rPr>
          <w:rFonts w:ascii="Times New Roman" w:hAnsi="Times New Roman"/>
          <w:b w:val="0"/>
          <w:i w:val="0"/>
          <w:sz w:val="22"/>
        </w:rPr>
        <w:t>Table 4.1 reports AUROC (mean ± std, 5 seeds) for H-GNN-RNN-DTI and ConcatBaseline across all eight evaluation configurations.</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728"/>
            <w:shd w:val="clear" w:color="auto" w:fill="1A375C"/>
            <w:vAlign w:val="center"/>
          </w:tcPr>
          <w:p>
            <w:pPr>
              <w:jc w:val="center"/>
            </w:pPr>
            <w:r>
              <w:rPr>
                <w:rFonts w:ascii="Times New Roman" w:hAnsi="Times New Roman"/>
                <w:b/>
                <w:i w:val="0"/>
                <w:color w:val="FFFFFF"/>
                <w:sz w:val="19"/>
              </w:rPr>
              <w:t>Dataset</w:t>
            </w:r>
          </w:p>
        </w:tc>
        <w:tc>
          <w:tcPr>
            <w:tcW w:type="dxa" w:w="1584"/>
            <w:shd w:val="clear" w:color="auto" w:fill="1A375C"/>
            <w:vAlign w:val="center"/>
          </w:tcPr>
          <w:p>
            <w:pPr>
              <w:jc w:val="center"/>
            </w:pPr>
            <w:r>
              <w:rPr>
                <w:rFonts w:ascii="Times New Roman" w:hAnsi="Times New Roman"/>
                <w:b/>
                <w:i w:val="0"/>
                <w:color w:val="FFFFFF"/>
                <w:sz w:val="19"/>
              </w:rPr>
              <w:t>Split</w:t>
            </w:r>
          </w:p>
        </w:tc>
        <w:tc>
          <w:tcPr>
            <w:tcW w:type="dxa" w:w="2160"/>
            <w:shd w:val="clear" w:color="auto" w:fill="1A375C"/>
            <w:vAlign w:val="center"/>
          </w:tcPr>
          <w:p>
            <w:pPr>
              <w:jc w:val="center"/>
            </w:pPr>
            <w:r>
              <w:rPr>
                <w:rFonts w:ascii="Times New Roman" w:hAnsi="Times New Roman"/>
                <w:b/>
                <w:i w:val="0"/>
                <w:color w:val="FFFFFF"/>
                <w:sz w:val="19"/>
              </w:rPr>
              <w:t>H-GNN-RNN-DTI</w:t>
            </w:r>
          </w:p>
        </w:tc>
        <w:tc>
          <w:tcPr>
            <w:tcW w:type="dxa" w:w="2160"/>
            <w:shd w:val="clear" w:color="auto" w:fill="1A375C"/>
            <w:vAlign w:val="center"/>
          </w:tcPr>
          <w:p>
            <w:pPr>
              <w:jc w:val="center"/>
            </w:pPr>
            <w:r>
              <w:rPr>
                <w:rFonts w:ascii="Times New Roman" w:hAnsi="Times New Roman"/>
                <w:b/>
                <w:i w:val="0"/>
                <w:color w:val="FFFFFF"/>
                <w:sz w:val="19"/>
              </w:rPr>
              <w:t>ConcatBaseline</w:t>
            </w:r>
          </w:p>
        </w:tc>
        <w:tc>
          <w:tcPr>
            <w:tcW w:type="dxa" w:w="1296"/>
            <w:shd w:val="clear" w:color="auto" w:fill="1A375C"/>
            <w:vAlign w:val="center"/>
          </w:tcPr>
          <w:p>
            <w:pPr>
              <w:jc w:val="center"/>
            </w:pPr>
            <w:r>
              <w:rPr>
                <w:rFonts w:ascii="Times New Roman" w:hAnsi="Times New Roman"/>
                <w:b/>
                <w:i w:val="0"/>
                <w:color w:val="FFFFFF"/>
                <w:sz w:val="19"/>
              </w:rPr>
              <w:t>Δ AUROC</w:t>
            </w:r>
          </w:p>
        </w:tc>
        <w:tc>
          <w:tcPr>
            <w:tcW w:type="dxa" w:w="1584"/>
            <w:shd w:val="clear" w:color="auto" w:fill="1A375C"/>
            <w:vAlign w:val="center"/>
          </w:tcPr>
          <w:p>
            <w:pPr>
              <w:jc w:val="center"/>
            </w:pPr>
            <w:r>
              <w:rPr>
                <w:rFonts w:ascii="Times New Roman" w:hAnsi="Times New Roman"/>
                <w:b/>
                <w:i w:val="0"/>
                <w:color w:val="FFFFFF"/>
                <w:sz w:val="19"/>
              </w:rPr>
              <w:t>p-value</w:t>
            </w:r>
          </w:p>
        </w:tc>
      </w:tr>
      <w:tr>
        <w:tc>
          <w:tcPr>
            <w:tcW w:type="dxa" w:w="1728"/>
            <w:shd w:val="clear" w:color="auto" w:fill="F2F4F7"/>
          </w:tcPr>
          <w:p>
            <w:pPr>
              <w:jc w:val="center"/>
            </w:pPr>
            <w:r>
              <w:rPr>
                <w:rFonts w:ascii="Times New Roman" w:hAnsi="Times New Roman"/>
                <w:b w:val="0"/>
                <w:i w:val="0"/>
                <w:sz w:val="19"/>
              </w:rPr>
              <w:t>yamanishi_e</w:t>
            </w:r>
          </w:p>
        </w:tc>
        <w:tc>
          <w:tcPr>
            <w:tcW w:type="dxa" w:w="1584"/>
            <w:shd w:val="clear" w:color="auto" w:fill="F2F4F7"/>
          </w:tcPr>
          <w:p>
            <w:pPr>
              <w:jc w:val="center"/>
            </w:pPr>
            <w:r>
              <w:rPr>
                <w:rFonts w:ascii="Times New Roman" w:hAnsi="Times New Roman"/>
                <w:b w:val="0"/>
                <w:i w:val="0"/>
                <w:sz w:val="19"/>
              </w:rPr>
              <w:t>random</w:t>
            </w:r>
          </w:p>
        </w:tc>
        <w:tc>
          <w:tcPr>
            <w:tcW w:type="dxa" w:w="2160"/>
            <w:shd w:val="clear" w:color="auto" w:fill="F2F4F7"/>
          </w:tcPr>
          <w:p>
            <w:pPr>
              <w:jc w:val="center"/>
            </w:pPr>
            <w:r>
              <w:rPr>
                <w:rFonts w:ascii="Times New Roman" w:hAnsi="Times New Roman"/>
                <w:b/>
                <w:i w:val="0"/>
                <w:sz w:val="19"/>
              </w:rPr>
              <w:t>0.756 ± 0.125</w:t>
            </w:r>
          </w:p>
        </w:tc>
        <w:tc>
          <w:tcPr>
            <w:tcW w:type="dxa" w:w="2160"/>
            <w:shd w:val="clear" w:color="auto" w:fill="F2F4F7"/>
          </w:tcPr>
          <w:p>
            <w:pPr>
              <w:jc w:val="center"/>
            </w:pPr>
            <w:r>
              <w:rPr>
                <w:rFonts w:ascii="Times New Roman" w:hAnsi="Times New Roman"/>
                <w:b w:val="0"/>
                <w:i w:val="0"/>
                <w:sz w:val="19"/>
              </w:rPr>
              <w:t>0.559 ± 0.093</w:t>
            </w:r>
          </w:p>
        </w:tc>
        <w:tc>
          <w:tcPr>
            <w:tcW w:type="dxa" w:w="1296"/>
            <w:shd w:val="clear" w:color="auto" w:fill="F2F4F7"/>
          </w:tcPr>
          <w:p>
            <w:pPr>
              <w:jc w:val="center"/>
            </w:pPr>
            <w:r>
              <w:rPr>
                <w:rFonts w:ascii="Times New Roman" w:hAnsi="Times New Roman"/>
                <w:b w:val="0"/>
                <w:i w:val="0"/>
                <w:sz w:val="19"/>
              </w:rPr>
              <w:t>+0.197</w:t>
            </w:r>
          </w:p>
        </w:tc>
        <w:tc>
          <w:tcPr>
            <w:tcW w:type="dxa" w:w="1584"/>
            <w:shd w:val="clear" w:color="auto" w:fill="F2F4F7"/>
          </w:tcPr>
          <w:p>
            <w:pPr>
              <w:jc w:val="center"/>
            </w:pPr>
            <w:r>
              <w:rPr>
                <w:rFonts w:ascii="Times New Roman" w:hAnsi="Times New Roman"/>
                <w:b w:val="0"/>
                <w:i w:val="0"/>
                <w:sz w:val="19"/>
              </w:rPr>
              <w:t>&lt; 0.05 ✓</w:t>
            </w:r>
          </w:p>
        </w:tc>
      </w:tr>
      <w:tr>
        <w:tc>
          <w:tcPr>
            <w:tcW w:type="dxa" w:w="1728"/>
          </w:tcPr>
          <w:p>
            <w:pPr>
              <w:jc w:val="center"/>
            </w:pPr>
            <w:r>
              <w:rPr>
                <w:rFonts w:ascii="Times New Roman" w:hAnsi="Times New Roman"/>
                <w:b w:val="0"/>
                <w:i w:val="0"/>
                <w:sz w:val="19"/>
              </w:rPr>
              <w:t>yamanishi_e</w:t>
            </w:r>
          </w:p>
        </w:tc>
        <w:tc>
          <w:tcPr>
            <w:tcW w:type="dxa" w:w="1584"/>
          </w:tcPr>
          <w:p>
            <w:pPr>
              <w:jc w:val="center"/>
            </w:pPr>
            <w:r>
              <w:rPr>
                <w:rFonts w:ascii="Times New Roman" w:hAnsi="Times New Roman"/>
                <w:b w:val="0"/>
                <w:i w:val="0"/>
                <w:sz w:val="19"/>
              </w:rPr>
              <w:t>cold_drug</w:t>
            </w:r>
          </w:p>
        </w:tc>
        <w:tc>
          <w:tcPr>
            <w:tcW w:type="dxa" w:w="2160"/>
          </w:tcPr>
          <w:p>
            <w:pPr>
              <w:jc w:val="center"/>
            </w:pPr>
            <w:r>
              <w:rPr>
                <w:rFonts w:ascii="Times New Roman" w:hAnsi="Times New Roman"/>
                <w:b/>
                <w:i w:val="0"/>
                <w:sz w:val="19"/>
              </w:rPr>
              <w:t>0.774 ± 0.011</w:t>
            </w:r>
          </w:p>
        </w:tc>
        <w:tc>
          <w:tcPr>
            <w:tcW w:type="dxa" w:w="2160"/>
          </w:tcPr>
          <w:p>
            <w:pPr>
              <w:jc w:val="center"/>
            </w:pPr>
            <w:r>
              <w:rPr>
                <w:rFonts w:ascii="Times New Roman" w:hAnsi="Times New Roman"/>
                <w:b w:val="0"/>
                <w:i w:val="0"/>
                <w:sz w:val="19"/>
              </w:rPr>
              <w:t>0.638 ± 0.041</w:t>
            </w:r>
          </w:p>
        </w:tc>
        <w:tc>
          <w:tcPr>
            <w:tcW w:type="dxa" w:w="1296"/>
          </w:tcPr>
          <w:p>
            <w:pPr>
              <w:jc w:val="center"/>
            </w:pPr>
            <w:r>
              <w:rPr>
                <w:rFonts w:ascii="Times New Roman" w:hAnsi="Times New Roman"/>
                <w:b w:val="0"/>
                <w:i w:val="0"/>
                <w:sz w:val="19"/>
              </w:rPr>
              <w:t>+0.136</w:t>
            </w:r>
          </w:p>
        </w:tc>
        <w:tc>
          <w:tcPr>
            <w:tcW w:type="dxa" w:w="1584"/>
          </w:tcPr>
          <w:p>
            <w:pPr>
              <w:jc w:val="center"/>
            </w:pPr>
            <w:r>
              <w:rPr>
                <w:rFonts w:ascii="Times New Roman" w:hAnsi="Times New Roman"/>
                <w:b w:val="0"/>
                <w:i w:val="0"/>
                <w:sz w:val="19"/>
              </w:rPr>
              <w:t>&lt; 0.01 ✓✓</w:t>
            </w:r>
          </w:p>
        </w:tc>
      </w:tr>
      <w:tr>
        <w:tc>
          <w:tcPr>
            <w:tcW w:type="dxa" w:w="1728"/>
            <w:shd w:val="clear" w:color="auto" w:fill="F2F4F7"/>
          </w:tcPr>
          <w:p>
            <w:pPr>
              <w:jc w:val="center"/>
            </w:pPr>
            <w:r>
              <w:rPr>
                <w:rFonts w:ascii="Times New Roman" w:hAnsi="Times New Roman"/>
                <w:b w:val="0"/>
                <w:i w:val="0"/>
                <w:sz w:val="19"/>
              </w:rPr>
              <w:t>yamanishi_e</w:t>
            </w:r>
          </w:p>
        </w:tc>
        <w:tc>
          <w:tcPr>
            <w:tcW w:type="dxa" w:w="1584"/>
            <w:shd w:val="clear" w:color="auto" w:fill="F2F4F7"/>
          </w:tcPr>
          <w:p>
            <w:pPr>
              <w:jc w:val="center"/>
            </w:pPr>
            <w:r>
              <w:rPr>
                <w:rFonts w:ascii="Times New Roman" w:hAnsi="Times New Roman"/>
                <w:b w:val="0"/>
                <w:i w:val="0"/>
                <w:sz w:val="19"/>
              </w:rPr>
              <w:t>cold_target</w:t>
            </w:r>
          </w:p>
        </w:tc>
        <w:tc>
          <w:tcPr>
            <w:tcW w:type="dxa" w:w="2160"/>
            <w:shd w:val="clear" w:color="auto" w:fill="F2F4F7"/>
          </w:tcPr>
          <w:p>
            <w:pPr>
              <w:jc w:val="center"/>
            </w:pPr>
            <w:r>
              <w:rPr>
                <w:rFonts w:ascii="Times New Roman" w:hAnsi="Times New Roman"/>
                <w:b w:val="0"/>
                <w:i w:val="0"/>
                <w:sz w:val="19"/>
              </w:rPr>
              <w:t>0.438 ± 0.045</w:t>
            </w:r>
          </w:p>
        </w:tc>
        <w:tc>
          <w:tcPr>
            <w:tcW w:type="dxa" w:w="2160"/>
            <w:shd w:val="clear" w:color="auto" w:fill="F2F4F7"/>
          </w:tcPr>
          <w:p>
            <w:pPr>
              <w:jc w:val="center"/>
            </w:pPr>
            <w:r>
              <w:rPr>
                <w:rFonts w:ascii="Times New Roman" w:hAnsi="Times New Roman"/>
                <w:b w:val="0"/>
                <w:i w:val="0"/>
                <w:sz w:val="19"/>
              </w:rPr>
              <w:t>0.415 ± 0.123</w:t>
            </w:r>
          </w:p>
        </w:tc>
        <w:tc>
          <w:tcPr>
            <w:tcW w:type="dxa" w:w="1296"/>
            <w:shd w:val="clear" w:color="auto" w:fill="F2F4F7"/>
          </w:tcPr>
          <w:p>
            <w:pPr>
              <w:jc w:val="center"/>
            </w:pPr>
            <w:r>
              <w:rPr>
                <w:rFonts w:ascii="Times New Roman" w:hAnsi="Times New Roman"/>
                <w:b w:val="0"/>
                <w:i w:val="0"/>
                <w:sz w:val="19"/>
              </w:rPr>
              <w:t>+0.023</w:t>
            </w:r>
          </w:p>
        </w:tc>
        <w:tc>
          <w:tcPr>
            <w:tcW w:type="dxa" w:w="1584"/>
            <w:shd w:val="clear" w:color="auto" w:fill="F2F4F7"/>
          </w:tcPr>
          <w:p>
            <w:pPr>
              <w:jc w:val="center"/>
            </w:pPr>
            <w:r>
              <w:rPr>
                <w:rFonts w:ascii="Times New Roman" w:hAnsi="Times New Roman"/>
                <w:b w:val="0"/>
                <w:i w:val="0"/>
                <w:sz w:val="19"/>
              </w:rPr>
              <w:t>n.s.</w:t>
            </w:r>
          </w:p>
        </w:tc>
      </w:tr>
      <w:tr>
        <w:tc>
          <w:tcPr>
            <w:tcW w:type="dxa" w:w="1728"/>
          </w:tcPr>
          <w:p>
            <w:pPr>
              <w:jc w:val="center"/>
            </w:pPr>
            <w:r>
              <w:rPr>
                <w:rFonts w:ascii="Times New Roman" w:hAnsi="Times New Roman"/>
                <w:b w:val="0"/>
                <w:i w:val="0"/>
                <w:sz w:val="19"/>
              </w:rPr>
              <w:t>yamanishi_e</w:t>
            </w:r>
          </w:p>
        </w:tc>
        <w:tc>
          <w:tcPr>
            <w:tcW w:type="dxa" w:w="1584"/>
          </w:tcPr>
          <w:p>
            <w:pPr>
              <w:jc w:val="center"/>
            </w:pPr>
            <w:r>
              <w:rPr>
                <w:rFonts w:ascii="Times New Roman" w:hAnsi="Times New Roman"/>
                <w:b w:val="0"/>
                <w:i w:val="0"/>
                <w:sz w:val="19"/>
              </w:rPr>
              <w:t>cold_pair</w:t>
            </w:r>
          </w:p>
        </w:tc>
        <w:tc>
          <w:tcPr>
            <w:tcW w:type="dxa" w:w="2160"/>
          </w:tcPr>
          <w:p>
            <w:pPr>
              <w:jc w:val="center"/>
            </w:pPr>
            <w:r>
              <w:rPr>
                <w:rFonts w:ascii="Times New Roman" w:hAnsi="Times New Roman"/>
                <w:b/>
                <w:i w:val="0"/>
                <w:sz w:val="19"/>
              </w:rPr>
              <w:t>0.746 ± 0.054</w:t>
            </w:r>
          </w:p>
        </w:tc>
        <w:tc>
          <w:tcPr>
            <w:tcW w:type="dxa" w:w="2160"/>
          </w:tcPr>
          <w:p>
            <w:pPr>
              <w:jc w:val="center"/>
            </w:pPr>
            <w:r>
              <w:rPr>
                <w:rFonts w:ascii="Times New Roman" w:hAnsi="Times New Roman"/>
                <w:b w:val="0"/>
                <w:i w:val="0"/>
                <w:sz w:val="19"/>
              </w:rPr>
              <w:t>0.631 ± 0.021</w:t>
            </w:r>
          </w:p>
        </w:tc>
        <w:tc>
          <w:tcPr>
            <w:tcW w:type="dxa" w:w="1296"/>
          </w:tcPr>
          <w:p>
            <w:pPr>
              <w:jc w:val="center"/>
            </w:pPr>
            <w:r>
              <w:rPr>
                <w:rFonts w:ascii="Times New Roman" w:hAnsi="Times New Roman"/>
                <w:b w:val="0"/>
                <w:i w:val="0"/>
                <w:sz w:val="19"/>
              </w:rPr>
              <w:t>+0.115</w:t>
            </w:r>
          </w:p>
        </w:tc>
        <w:tc>
          <w:tcPr>
            <w:tcW w:type="dxa" w:w="1584"/>
          </w:tcPr>
          <w:p>
            <w:pPr>
              <w:jc w:val="center"/>
            </w:pPr>
            <w:r>
              <w:rPr>
                <w:rFonts w:ascii="Times New Roman" w:hAnsi="Times New Roman"/>
                <w:b w:val="0"/>
                <w:i w:val="0"/>
                <w:sz w:val="19"/>
              </w:rPr>
              <w:t>&lt; 0.05 ✓</w:t>
            </w:r>
          </w:p>
        </w:tc>
      </w:tr>
      <w:tr>
        <w:tc>
          <w:tcPr>
            <w:tcW w:type="dxa" w:w="1728"/>
            <w:shd w:val="clear" w:color="auto" w:fill="F2F4F7"/>
          </w:tcPr>
          <w:p>
            <w:pPr>
              <w:jc w:val="center"/>
            </w:pPr>
            <w:r>
              <w:rPr>
                <w:rFonts w:ascii="Times New Roman" w:hAnsi="Times New Roman"/>
                <w:b w:val="0"/>
                <w:i w:val="0"/>
                <w:sz w:val="19"/>
              </w:rPr>
              <w:t>luo_17</w:t>
            </w:r>
          </w:p>
        </w:tc>
        <w:tc>
          <w:tcPr>
            <w:tcW w:type="dxa" w:w="1584"/>
            <w:shd w:val="clear" w:color="auto" w:fill="F2F4F7"/>
          </w:tcPr>
          <w:p>
            <w:pPr>
              <w:jc w:val="center"/>
            </w:pPr>
            <w:r>
              <w:rPr>
                <w:rFonts w:ascii="Times New Roman" w:hAnsi="Times New Roman"/>
                <w:b w:val="0"/>
                <w:i w:val="0"/>
                <w:sz w:val="19"/>
              </w:rPr>
              <w:t>random</w:t>
            </w:r>
          </w:p>
        </w:tc>
        <w:tc>
          <w:tcPr>
            <w:tcW w:type="dxa" w:w="2160"/>
            <w:shd w:val="clear" w:color="auto" w:fill="F2F4F7"/>
          </w:tcPr>
          <w:p>
            <w:pPr>
              <w:jc w:val="center"/>
            </w:pPr>
            <w:r>
              <w:rPr>
                <w:rFonts w:ascii="Times New Roman" w:hAnsi="Times New Roman"/>
                <w:b w:val="0"/>
                <w:i w:val="0"/>
                <w:sz w:val="19"/>
              </w:rPr>
              <w:t>0.946 ± 0.005</w:t>
            </w:r>
          </w:p>
        </w:tc>
        <w:tc>
          <w:tcPr>
            <w:tcW w:type="dxa" w:w="2160"/>
            <w:shd w:val="clear" w:color="auto" w:fill="F2F4F7"/>
          </w:tcPr>
          <w:p>
            <w:pPr>
              <w:jc w:val="center"/>
            </w:pPr>
            <w:r>
              <w:rPr>
                <w:rFonts w:ascii="Times New Roman" w:hAnsi="Times New Roman"/>
                <w:b/>
                <w:i w:val="0"/>
                <w:sz w:val="19"/>
              </w:rPr>
              <w:t>0.948 ± 0.004</w:t>
            </w:r>
          </w:p>
        </w:tc>
        <w:tc>
          <w:tcPr>
            <w:tcW w:type="dxa" w:w="1296"/>
            <w:shd w:val="clear" w:color="auto" w:fill="F2F4F7"/>
          </w:tcPr>
          <w:p>
            <w:pPr>
              <w:jc w:val="center"/>
            </w:pPr>
            <w:r>
              <w:rPr>
                <w:rFonts w:ascii="Times New Roman" w:hAnsi="Times New Roman"/>
                <w:b w:val="0"/>
                <w:i w:val="0"/>
                <w:sz w:val="19"/>
              </w:rPr>
              <w:t>−0.002</w:t>
            </w:r>
          </w:p>
        </w:tc>
        <w:tc>
          <w:tcPr>
            <w:tcW w:type="dxa" w:w="1584"/>
            <w:shd w:val="clear" w:color="auto" w:fill="F2F4F7"/>
          </w:tcPr>
          <w:p>
            <w:pPr>
              <w:jc w:val="center"/>
            </w:pPr>
            <w:r>
              <w:rPr>
                <w:rFonts w:ascii="Times New Roman" w:hAnsi="Times New Roman"/>
                <w:b w:val="0"/>
                <w:i w:val="0"/>
                <w:sz w:val="19"/>
              </w:rPr>
              <w:t>n.s.</w:t>
            </w:r>
          </w:p>
        </w:tc>
      </w:tr>
      <w:tr>
        <w:tc>
          <w:tcPr>
            <w:tcW w:type="dxa" w:w="1728"/>
          </w:tcPr>
          <w:p>
            <w:pPr>
              <w:jc w:val="center"/>
            </w:pPr>
            <w:r>
              <w:rPr>
                <w:rFonts w:ascii="Times New Roman" w:hAnsi="Times New Roman"/>
                <w:b w:val="0"/>
                <w:i w:val="0"/>
                <w:sz w:val="19"/>
              </w:rPr>
              <w:t>luo_17</w:t>
            </w:r>
          </w:p>
        </w:tc>
        <w:tc>
          <w:tcPr>
            <w:tcW w:type="dxa" w:w="1584"/>
          </w:tcPr>
          <w:p>
            <w:pPr>
              <w:jc w:val="center"/>
            </w:pPr>
            <w:r>
              <w:rPr>
                <w:rFonts w:ascii="Times New Roman" w:hAnsi="Times New Roman"/>
                <w:b w:val="0"/>
                <w:i w:val="0"/>
                <w:sz w:val="19"/>
              </w:rPr>
              <w:t>cold_drug</w:t>
            </w:r>
          </w:p>
        </w:tc>
        <w:tc>
          <w:tcPr>
            <w:tcW w:type="dxa" w:w="2160"/>
          </w:tcPr>
          <w:p>
            <w:pPr>
              <w:jc w:val="center"/>
            </w:pPr>
            <w:r>
              <w:rPr>
                <w:rFonts w:ascii="Times New Roman" w:hAnsi="Times New Roman"/>
                <w:b/>
                <w:i w:val="0"/>
                <w:sz w:val="19"/>
              </w:rPr>
              <w:t>0.913 ± 0.009</w:t>
            </w:r>
          </w:p>
        </w:tc>
        <w:tc>
          <w:tcPr>
            <w:tcW w:type="dxa" w:w="2160"/>
          </w:tcPr>
          <w:p>
            <w:pPr>
              <w:jc w:val="center"/>
            </w:pPr>
            <w:r>
              <w:rPr>
                <w:rFonts w:ascii="Times New Roman" w:hAnsi="Times New Roman"/>
                <w:b w:val="0"/>
                <w:i w:val="0"/>
                <w:sz w:val="19"/>
              </w:rPr>
              <w:t>0.907 ± 0.006</w:t>
            </w:r>
          </w:p>
        </w:tc>
        <w:tc>
          <w:tcPr>
            <w:tcW w:type="dxa" w:w="1296"/>
          </w:tcPr>
          <w:p>
            <w:pPr>
              <w:jc w:val="center"/>
            </w:pPr>
            <w:r>
              <w:rPr>
                <w:rFonts w:ascii="Times New Roman" w:hAnsi="Times New Roman"/>
                <w:b w:val="0"/>
                <w:i w:val="0"/>
                <w:sz w:val="19"/>
              </w:rPr>
              <w:t>+0.006</w:t>
            </w:r>
          </w:p>
        </w:tc>
        <w:tc>
          <w:tcPr>
            <w:tcW w:type="dxa" w:w="1584"/>
          </w:tcPr>
          <w:p>
            <w:pPr>
              <w:jc w:val="center"/>
            </w:pPr>
            <w:r>
              <w:rPr>
                <w:rFonts w:ascii="Times New Roman" w:hAnsi="Times New Roman"/>
                <w:b w:val="0"/>
                <w:i w:val="0"/>
                <w:sz w:val="19"/>
              </w:rPr>
              <w:t>n.s.</w:t>
            </w:r>
          </w:p>
        </w:tc>
      </w:tr>
      <w:tr>
        <w:tc>
          <w:tcPr>
            <w:tcW w:type="dxa" w:w="1728"/>
            <w:shd w:val="clear" w:color="auto" w:fill="F2F4F7"/>
          </w:tcPr>
          <w:p>
            <w:pPr>
              <w:jc w:val="center"/>
            </w:pPr>
            <w:r>
              <w:rPr>
                <w:rFonts w:ascii="Times New Roman" w:hAnsi="Times New Roman"/>
                <w:b w:val="0"/>
                <w:i w:val="0"/>
                <w:sz w:val="19"/>
              </w:rPr>
              <w:t>luo_17</w:t>
            </w:r>
          </w:p>
        </w:tc>
        <w:tc>
          <w:tcPr>
            <w:tcW w:type="dxa" w:w="1584"/>
            <w:shd w:val="clear" w:color="auto" w:fill="F2F4F7"/>
          </w:tcPr>
          <w:p>
            <w:pPr>
              <w:jc w:val="center"/>
            </w:pPr>
            <w:r>
              <w:rPr>
                <w:rFonts w:ascii="Times New Roman" w:hAnsi="Times New Roman"/>
                <w:b w:val="0"/>
                <w:i w:val="0"/>
                <w:sz w:val="19"/>
              </w:rPr>
              <w:t>cold_target</w:t>
            </w:r>
          </w:p>
        </w:tc>
        <w:tc>
          <w:tcPr>
            <w:tcW w:type="dxa" w:w="2160"/>
            <w:shd w:val="clear" w:color="auto" w:fill="F2F4F7"/>
          </w:tcPr>
          <w:p>
            <w:pPr>
              <w:jc w:val="center"/>
            </w:pPr>
            <w:r>
              <w:rPr>
                <w:rFonts w:ascii="Times New Roman" w:hAnsi="Times New Roman"/>
                <w:b w:val="0"/>
                <w:i w:val="0"/>
                <w:sz w:val="19"/>
              </w:rPr>
              <w:t>0.778 ± 0.014</w:t>
            </w:r>
          </w:p>
        </w:tc>
        <w:tc>
          <w:tcPr>
            <w:tcW w:type="dxa" w:w="2160"/>
            <w:shd w:val="clear" w:color="auto" w:fill="F2F4F7"/>
          </w:tcPr>
          <w:p>
            <w:pPr>
              <w:jc w:val="center"/>
            </w:pPr>
            <w:r>
              <w:rPr>
                <w:rFonts w:ascii="Times New Roman" w:hAnsi="Times New Roman"/>
                <w:b/>
                <w:i w:val="0"/>
                <w:sz w:val="19"/>
              </w:rPr>
              <w:t>0.813 ± 0.013</w:t>
            </w:r>
          </w:p>
        </w:tc>
        <w:tc>
          <w:tcPr>
            <w:tcW w:type="dxa" w:w="1296"/>
            <w:shd w:val="clear" w:color="auto" w:fill="F2F4F7"/>
          </w:tcPr>
          <w:p>
            <w:pPr>
              <w:jc w:val="center"/>
            </w:pPr>
            <w:r>
              <w:rPr>
                <w:rFonts w:ascii="Times New Roman" w:hAnsi="Times New Roman"/>
                <w:b w:val="0"/>
                <w:i w:val="0"/>
                <w:sz w:val="19"/>
              </w:rPr>
              <w:t>−0.035</w:t>
            </w:r>
          </w:p>
        </w:tc>
        <w:tc>
          <w:tcPr>
            <w:tcW w:type="dxa" w:w="1584"/>
            <w:shd w:val="clear" w:color="auto" w:fill="F2F4F7"/>
          </w:tcPr>
          <w:p>
            <w:pPr>
              <w:jc w:val="center"/>
            </w:pPr>
            <w:r>
              <w:rPr>
                <w:rFonts w:ascii="Times New Roman" w:hAnsi="Times New Roman"/>
                <w:b w:val="0"/>
                <w:i w:val="0"/>
                <w:sz w:val="19"/>
              </w:rPr>
              <w:t>&lt; 0.01 ✗</w:t>
            </w:r>
          </w:p>
        </w:tc>
      </w:tr>
      <w:tr>
        <w:tc>
          <w:tcPr>
            <w:tcW w:type="dxa" w:w="1728"/>
          </w:tcPr>
          <w:p>
            <w:pPr>
              <w:jc w:val="center"/>
            </w:pPr>
            <w:r>
              <w:rPr>
                <w:rFonts w:ascii="Times New Roman" w:hAnsi="Times New Roman"/>
                <w:b w:val="0"/>
                <w:i w:val="0"/>
                <w:sz w:val="19"/>
              </w:rPr>
              <w:t>luo_17</w:t>
            </w:r>
          </w:p>
        </w:tc>
        <w:tc>
          <w:tcPr>
            <w:tcW w:type="dxa" w:w="1584"/>
          </w:tcPr>
          <w:p>
            <w:pPr>
              <w:jc w:val="center"/>
            </w:pPr>
            <w:r>
              <w:rPr>
                <w:rFonts w:ascii="Times New Roman" w:hAnsi="Times New Roman"/>
                <w:b w:val="0"/>
                <w:i w:val="0"/>
                <w:sz w:val="19"/>
              </w:rPr>
              <w:t>cold_pair</w:t>
            </w:r>
          </w:p>
        </w:tc>
        <w:tc>
          <w:tcPr>
            <w:tcW w:type="dxa" w:w="2160"/>
          </w:tcPr>
          <w:p>
            <w:pPr>
              <w:jc w:val="center"/>
            </w:pPr>
            <w:r>
              <w:rPr>
                <w:rFonts w:ascii="Times New Roman" w:hAnsi="Times New Roman"/>
                <w:b/>
                <w:i w:val="0"/>
                <w:sz w:val="19"/>
              </w:rPr>
              <w:t>0.948 ± 0.002</w:t>
            </w:r>
          </w:p>
        </w:tc>
        <w:tc>
          <w:tcPr>
            <w:tcW w:type="dxa" w:w="2160"/>
          </w:tcPr>
          <w:p>
            <w:pPr>
              <w:jc w:val="center"/>
            </w:pPr>
            <w:r>
              <w:rPr>
                <w:rFonts w:ascii="Times New Roman" w:hAnsi="Times New Roman"/>
                <w:b w:val="0"/>
                <w:i w:val="0"/>
                <w:sz w:val="19"/>
              </w:rPr>
              <w:t>0.943 ± 0.005</w:t>
            </w:r>
          </w:p>
        </w:tc>
        <w:tc>
          <w:tcPr>
            <w:tcW w:type="dxa" w:w="1296"/>
          </w:tcPr>
          <w:p>
            <w:pPr>
              <w:jc w:val="center"/>
            </w:pPr>
            <w:r>
              <w:rPr>
                <w:rFonts w:ascii="Times New Roman" w:hAnsi="Times New Roman"/>
                <w:b w:val="0"/>
                <w:i w:val="0"/>
                <w:sz w:val="19"/>
              </w:rPr>
              <w:t>+0.005</w:t>
            </w:r>
          </w:p>
        </w:tc>
        <w:tc>
          <w:tcPr>
            <w:tcW w:type="dxa" w:w="1584"/>
          </w:tcPr>
          <w:p>
            <w:pPr>
              <w:jc w:val="center"/>
            </w:pPr>
            <w:r>
              <w:rPr>
                <w:rFonts w:ascii="Times New Roman" w:hAnsi="Times New Roman"/>
                <w:b w:val="0"/>
                <w:i w:val="0"/>
                <w:sz w:val="19"/>
              </w:rPr>
              <w:t>n.s.</w:t>
            </w:r>
          </w:p>
        </w:tc>
      </w:tr>
    </w:tbl>
    <w:p/>
    <w:p>
      <w:pPr>
        <w:spacing w:before="40" w:after="160"/>
        <w:jc w:val="center"/>
      </w:pPr>
      <w:r>
        <w:rPr>
          <w:rFonts w:ascii="Times New Roman" w:hAnsi="Times New Roman"/>
          <w:b w:val="0"/>
          <w:i/>
          <w:sz w:val="20"/>
        </w:rPr>
        <w:t>Table 4.1: AUROC comparison — H-GNN-RNN-DTI vs. ConcatBaseline (5 seeds, paired t-test). ✓=sig. better, ✗=sig. worse, n.s.=not significant.</w:t>
      </w:r>
    </w:p>
    <w:p>
      <w:pPr>
        <w:spacing w:after="80"/>
        <w:ind w:left="0"/>
        <w:jc w:val="both"/>
      </w:pPr>
      <w:r>
        <w:rPr>
          <w:rFonts w:ascii="Times New Roman" w:hAnsi="Times New Roman"/>
          <w:b w:val="0"/>
          <w:i w:val="0"/>
          <w:sz w:val="22"/>
        </w:rPr>
        <w:t>H-GNN-RNN-DTI is significantly better on 3 of 8 configurations (yamanishi_e random, cold_drug, cold_pair; all p&lt;0.05). The largest advantage is on yamanishi_e cold_drug (t=6.55, p&lt;0.01, Δ=+0.136 AUROC). One exception: ConcatBaseline is significantly better on luo_17 cold_target (p&lt;0.01, Δ=−0.035), suggesting that cross-attention may overfit to training protein embeddings when test proteins are completely novel in large datasets.</w:t>
      </w:r>
    </w:p>
    <w:p>
      <w:pPr>
        <w:spacing w:after="80"/>
        <w:ind w:left="0"/>
        <w:jc w:val="both"/>
      </w:pPr>
      <w:r>
        <w:rPr>
          <w:rFonts w:ascii="Times New Roman" w:hAnsi="Times New Roman"/>
          <w:b w:val="0"/>
          <w:i w:val="0"/>
          <w:sz w:val="22"/>
        </w:rPr>
        <w:t>The pattern is consistent: Gated Cross-Attention provides the largest benefit on small, sparse datasets (yamanishi_e, ~445 pairs) and cold-start splits where the model must leverage both modalities. On large datasets (luo_17, ~3,846 total pairs), simpler concatenation is competitive because sufficient data exists to learn the joint mapping directly.</w:t>
      </w:r>
    </w:p>
    <w:p>
      <w:pPr>
        <w:spacing w:before="160" w:after="60"/>
      </w:pPr>
      <w:r>
        <w:rPr>
          <w:rFonts w:ascii="Times New Roman" w:hAnsi="Times New Roman"/>
          <w:b/>
          <w:i/>
          <w:color w:val="C06A00"/>
          <w:sz w:val="24"/>
        </w:rPr>
        <w:t>4.2.2 Encoder Ablation: GNN-Only and RNN-Only</w:t>
      </w:r>
    </w:p>
    <w:p>
      <w:pPr>
        <w:spacing w:after="80"/>
        <w:ind w:left="0"/>
        <w:jc w:val="both"/>
      </w:pPr>
      <w:r>
        <w:rPr>
          <w:rFonts w:ascii="Times New Roman" w:hAnsi="Times New Roman"/>
          <w:b w:val="0"/>
          <w:i w:val="0"/>
          <w:sz w:val="22"/>
        </w:rPr>
        <w:t>To quantify each encoder's contribution, two ablation variants were evaluated: GNN-Only (zeroed protein embedding) and RNN-Only (zeroed drug embedding). Table 4.2 summarises results across all eight configurations.</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728"/>
            <w:shd w:val="clear" w:color="auto" w:fill="1A375C"/>
            <w:vAlign w:val="center"/>
          </w:tcPr>
          <w:p>
            <w:pPr>
              <w:jc w:val="center"/>
            </w:pPr>
            <w:r>
              <w:rPr>
                <w:rFonts w:ascii="Times New Roman" w:hAnsi="Times New Roman"/>
                <w:b/>
                <w:i w:val="0"/>
                <w:color w:val="FFFFFF"/>
                <w:sz w:val="19"/>
              </w:rPr>
              <w:t>Dataset</w:t>
            </w:r>
          </w:p>
        </w:tc>
        <w:tc>
          <w:tcPr>
            <w:tcW w:type="dxa" w:w="1584"/>
            <w:shd w:val="clear" w:color="auto" w:fill="1A375C"/>
            <w:vAlign w:val="center"/>
          </w:tcPr>
          <w:p>
            <w:pPr>
              <w:jc w:val="center"/>
            </w:pPr>
            <w:r>
              <w:rPr>
                <w:rFonts w:ascii="Times New Roman" w:hAnsi="Times New Roman"/>
                <w:b/>
                <w:i w:val="0"/>
                <w:color w:val="FFFFFF"/>
                <w:sz w:val="19"/>
              </w:rPr>
              <w:t>Split</w:t>
            </w:r>
          </w:p>
        </w:tc>
        <w:tc>
          <w:tcPr>
            <w:tcW w:type="dxa" w:w="1440"/>
            <w:shd w:val="clear" w:color="auto" w:fill="1A375C"/>
            <w:vAlign w:val="center"/>
          </w:tcPr>
          <w:p>
            <w:pPr>
              <w:jc w:val="center"/>
            </w:pPr>
            <w:r>
              <w:rPr>
                <w:rFonts w:ascii="Times New Roman" w:hAnsi="Times New Roman"/>
                <w:b/>
                <w:i w:val="0"/>
                <w:color w:val="FFFFFF"/>
                <w:sz w:val="19"/>
              </w:rPr>
              <w:t>H-GNN</w:t>
            </w:r>
          </w:p>
        </w:tc>
        <w:tc>
          <w:tcPr>
            <w:tcW w:type="dxa" w:w="1296"/>
            <w:shd w:val="clear" w:color="auto" w:fill="1A375C"/>
            <w:vAlign w:val="center"/>
          </w:tcPr>
          <w:p>
            <w:pPr>
              <w:jc w:val="center"/>
            </w:pPr>
            <w:r>
              <w:rPr>
                <w:rFonts w:ascii="Times New Roman" w:hAnsi="Times New Roman"/>
                <w:b/>
                <w:i w:val="0"/>
                <w:color w:val="FFFFFF"/>
                <w:sz w:val="19"/>
              </w:rPr>
              <w:t>Concat</w:t>
            </w:r>
          </w:p>
        </w:tc>
        <w:tc>
          <w:tcPr>
            <w:tcW w:type="dxa" w:w="1440"/>
            <w:shd w:val="clear" w:color="auto" w:fill="1A375C"/>
            <w:vAlign w:val="center"/>
          </w:tcPr>
          <w:p>
            <w:pPr>
              <w:jc w:val="center"/>
            </w:pPr>
            <w:r>
              <w:rPr>
                <w:rFonts w:ascii="Times New Roman" w:hAnsi="Times New Roman"/>
                <w:b/>
                <w:i w:val="0"/>
                <w:color w:val="FFFFFF"/>
                <w:sz w:val="19"/>
              </w:rPr>
              <w:t>GNN-Only</w:t>
            </w:r>
          </w:p>
        </w:tc>
        <w:tc>
          <w:tcPr>
            <w:tcW w:type="dxa" w:w="1440"/>
            <w:shd w:val="clear" w:color="auto" w:fill="1A375C"/>
            <w:vAlign w:val="center"/>
          </w:tcPr>
          <w:p>
            <w:pPr>
              <w:jc w:val="center"/>
            </w:pPr>
            <w:r>
              <w:rPr>
                <w:rFonts w:ascii="Times New Roman" w:hAnsi="Times New Roman"/>
                <w:b/>
                <w:i w:val="0"/>
                <w:color w:val="FFFFFF"/>
                <w:sz w:val="19"/>
              </w:rPr>
              <w:t>RNN-Only</w:t>
            </w:r>
          </w:p>
        </w:tc>
      </w:tr>
      <w:tr>
        <w:tc>
          <w:tcPr>
            <w:tcW w:type="dxa" w:w="1728"/>
            <w:shd w:val="clear" w:color="auto" w:fill="F2F4F7"/>
          </w:tcPr>
          <w:p>
            <w:pPr>
              <w:jc w:val="center"/>
            </w:pPr>
            <w:r>
              <w:rPr>
                <w:rFonts w:ascii="Times New Roman" w:hAnsi="Times New Roman"/>
                <w:b w:val="0"/>
                <w:i w:val="0"/>
                <w:sz w:val="19"/>
              </w:rPr>
              <w:t>yamanishi_e</w:t>
            </w:r>
          </w:p>
        </w:tc>
        <w:tc>
          <w:tcPr>
            <w:tcW w:type="dxa" w:w="1584"/>
            <w:shd w:val="clear" w:color="auto" w:fill="F2F4F7"/>
          </w:tcPr>
          <w:p>
            <w:pPr>
              <w:jc w:val="center"/>
            </w:pPr>
            <w:r>
              <w:rPr>
                <w:rFonts w:ascii="Times New Roman" w:hAnsi="Times New Roman"/>
                <w:b w:val="0"/>
                <w:i w:val="0"/>
                <w:sz w:val="19"/>
              </w:rPr>
              <w:t>random</w:t>
            </w:r>
          </w:p>
        </w:tc>
        <w:tc>
          <w:tcPr>
            <w:tcW w:type="dxa" w:w="1440"/>
            <w:shd w:val="clear" w:color="auto" w:fill="F2F4F7"/>
          </w:tcPr>
          <w:p>
            <w:pPr>
              <w:jc w:val="center"/>
            </w:pPr>
            <w:r>
              <w:rPr>
                <w:rFonts w:ascii="Times New Roman" w:hAnsi="Times New Roman"/>
                <w:b/>
                <w:i w:val="0"/>
                <w:sz w:val="19"/>
              </w:rPr>
              <w:t>0.756</w:t>
            </w:r>
          </w:p>
        </w:tc>
        <w:tc>
          <w:tcPr>
            <w:tcW w:type="dxa" w:w="1296"/>
            <w:shd w:val="clear" w:color="auto" w:fill="F2F4F7"/>
          </w:tcPr>
          <w:p>
            <w:pPr>
              <w:jc w:val="center"/>
            </w:pPr>
            <w:r>
              <w:rPr>
                <w:rFonts w:ascii="Times New Roman" w:hAnsi="Times New Roman"/>
                <w:b w:val="0"/>
                <w:i w:val="0"/>
                <w:sz w:val="19"/>
              </w:rPr>
              <w:t>0.559</w:t>
            </w:r>
          </w:p>
        </w:tc>
        <w:tc>
          <w:tcPr>
            <w:tcW w:type="dxa" w:w="1440"/>
            <w:shd w:val="clear" w:color="auto" w:fill="F2F4F7"/>
          </w:tcPr>
          <w:p>
            <w:pPr>
              <w:jc w:val="center"/>
            </w:pPr>
            <w:r>
              <w:rPr>
                <w:rFonts w:ascii="Times New Roman" w:hAnsi="Times New Roman"/>
                <w:b w:val="0"/>
                <w:i w:val="0"/>
                <w:sz w:val="19"/>
              </w:rPr>
              <w:t>0.527</w:t>
            </w:r>
          </w:p>
        </w:tc>
        <w:tc>
          <w:tcPr>
            <w:tcW w:type="dxa" w:w="1440"/>
            <w:shd w:val="clear" w:color="auto" w:fill="F2F4F7"/>
          </w:tcPr>
          <w:p>
            <w:pPr>
              <w:jc w:val="center"/>
            </w:pPr>
            <w:r>
              <w:rPr>
                <w:rFonts w:ascii="Times New Roman" w:hAnsi="Times New Roman"/>
                <w:b w:val="0"/>
                <w:i w:val="0"/>
                <w:sz w:val="19"/>
              </w:rPr>
              <w:t>0.674</w:t>
            </w:r>
          </w:p>
        </w:tc>
      </w:tr>
      <w:tr>
        <w:tc>
          <w:tcPr>
            <w:tcW w:type="dxa" w:w="1728"/>
          </w:tcPr>
          <w:p>
            <w:pPr>
              <w:jc w:val="center"/>
            </w:pPr>
            <w:r>
              <w:rPr>
                <w:rFonts w:ascii="Times New Roman" w:hAnsi="Times New Roman"/>
                <w:b w:val="0"/>
                <w:i w:val="0"/>
                <w:sz w:val="19"/>
              </w:rPr>
              <w:t>yamanishi_e</w:t>
            </w:r>
          </w:p>
        </w:tc>
        <w:tc>
          <w:tcPr>
            <w:tcW w:type="dxa" w:w="1584"/>
          </w:tcPr>
          <w:p>
            <w:pPr>
              <w:jc w:val="center"/>
            </w:pPr>
            <w:r>
              <w:rPr>
                <w:rFonts w:ascii="Times New Roman" w:hAnsi="Times New Roman"/>
                <w:b w:val="0"/>
                <w:i w:val="0"/>
                <w:sz w:val="19"/>
              </w:rPr>
              <w:t>cold_drug</w:t>
            </w:r>
          </w:p>
        </w:tc>
        <w:tc>
          <w:tcPr>
            <w:tcW w:type="dxa" w:w="1440"/>
          </w:tcPr>
          <w:p>
            <w:pPr>
              <w:jc w:val="center"/>
            </w:pPr>
            <w:r>
              <w:rPr>
                <w:rFonts w:ascii="Times New Roman" w:hAnsi="Times New Roman"/>
                <w:b/>
                <w:i w:val="0"/>
                <w:sz w:val="19"/>
              </w:rPr>
              <w:t>0.774</w:t>
            </w:r>
          </w:p>
        </w:tc>
        <w:tc>
          <w:tcPr>
            <w:tcW w:type="dxa" w:w="1296"/>
          </w:tcPr>
          <w:p>
            <w:pPr>
              <w:jc w:val="center"/>
            </w:pPr>
            <w:r>
              <w:rPr>
                <w:rFonts w:ascii="Times New Roman" w:hAnsi="Times New Roman"/>
                <w:b w:val="0"/>
                <w:i w:val="0"/>
                <w:sz w:val="19"/>
              </w:rPr>
              <w:t>0.638</w:t>
            </w:r>
          </w:p>
        </w:tc>
        <w:tc>
          <w:tcPr>
            <w:tcW w:type="dxa" w:w="1440"/>
          </w:tcPr>
          <w:p>
            <w:pPr>
              <w:jc w:val="center"/>
            </w:pPr>
            <w:r>
              <w:rPr>
                <w:rFonts w:ascii="Times New Roman" w:hAnsi="Times New Roman"/>
                <w:b w:val="0"/>
                <w:i w:val="0"/>
                <w:sz w:val="19"/>
              </w:rPr>
              <w:t>0.554</w:t>
            </w:r>
          </w:p>
        </w:tc>
        <w:tc>
          <w:tcPr>
            <w:tcW w:type="dxa" w:w="1440"/>
          </w:tcPr>
          <w:p>
            <w:pPr>
              <w:jc w:val="center"/>
            </w:pPr>
            <w:r>
              <w:rPr>
                <w:rFonts w:ascii="Times New Roman" w:hAnsi="Times New Roman"/>
                <w:b w:val="0"/>
                <w:i w:val="0"/>
                <w:sz w:val="19"/>
              </w:rPr>
              <w:t>0.625</w:t>
            </w:r>
          </w:p>
        </w:tc>
      </w:tr>
      <w:tr>
        <w:tc>
          <w:tcPr>
            <w:tcW w:type="dxa" w:w="1728"/>
            <w:shd w:val="clear" w:color="auto" w:fill="F2F4F7"/>
          </w:tcPr>
          <w:p>
            <w:pPr>
              <w:jc w:val="center"/>
            </w:pPr>
            <w:r>
              <w:rPr>
                <w:rFonts w:ascii="Times New Roman" w:hAnsi="Times New Roman"/>
                <w:b w:val="0"/>
                <w:i w:val="0"/>
                <w:sz w:val="19"/>
              </w:rPr>
              <w:t>yamanishi_e</w:t>
            </w:r>
          </w:p>
        </w:tc>
        <w:tc>
          <w:tcPr>
            <w:tcW w:type="dxa" w:w="1584"/>
            <w:shd w:val="clear" w:color="auto" w:fill="F2F4F7"/>
          </w:tcPr>
          <w:p>
            <w:pPr>
              <w:jc w:val="center"/>
            </w:pPr>
            <w:r>
              <w:rPr>
                <w:rFonts w:ascii="Times New Roman" w:hAnsi="Times New Roman"/>
                <w:b w:val="0"/>
                <w:i w:val="0"/>
                <w:sz w:val="19"/>
              </w:rPr>
              <w:t>cold_target</w:t>
            </w:r>
          </w:p>
        </w:tc>
        <w:tc>
          <w:tcPr>
            <w:tcW w:type="dxa" w:w="1440"/>
            <w:shd w:val="clear" w:color="auto" w:fill="F2F4F7"/>
          </w:tcPr>
          <w:p>
            <w:pPr>
              <w:jc w:val="center"/>
            </w:pPr>
            <w:r>
              <w:rPr>
                <w:rFonts w:ascii="Times New Roman" w:hAnsi="Times New Roman"/>
                <w:b w:val="0"/>
                <w:i w:val="0"/>
                <w:sz w:val="19"/>
              </w:rPr>
              <w:t>0.438</w:t>
            </w:r>
          </w:p>
        </w:tc>
        <w:tc>
          <w:tcPr>
            <w:tcW w:type="dxa" w:w="1296"/>
            <w:shd w:val="clear" w:color="auto" w:fill="F2F4F7"/>
          </w:tcPr>
          <w:p>
            <w:pPr>
              <w:jc w:val="center"/>
            </w:pPr>
            <w:r>
              <w:rPr>
                <w:rFonts w:ascii="Times New Roman" w:hAnsi="Times New Roman"/>
                <w:b w:val="0"/>
                <w:i w:val="0"/>
                <w:sz w:val="19"/>
              </w:rPr>
              <w:t>0.415</w:t>
            </w:r>
          </w:p>
        </w:tc>
        <w:tc>
          <w:tcPr>
            <w:tcW w:type="dxa" w:w="1440"/>
            <w:shd w:val="clear" w:color="auto" w:fill="F2F4F7"/>
          </w:tcPr>
          <w:p>
            <w:pPr>
              <w:jc w:val="center"/>
            </w:pPr>
            <w:r>
              <w:rPr>
                <w:rFonts w:ascii="Times New Roman" w:hAnsi="Times New Roman"/>
                <w:b w:val="0"/>
                <w:i w:val="0"/>
                <w:sz w:val="19"/>
              </w:rPr>
              <w:t>0.508</w:t>
            </w:r>
          </w:p>
        </w:tc>
        <w:tc>
          <w:tcPr>
            <w:tcW w:type="dxa" w:w="1440"/>
            <w:shd w:val="clear" w:color="auto" w:fill="F2F4F7"/>
          </w:tcPr>
          <w:p>
            <w:pPr>
              <w:jc w:val="center"/>
            </w:pPr>
            <w:r>
              <w:rPr>
                <w:rFonts w:ascii="Times New Roman" w:hAnsi="Times New Roman"/>
                <w:b w:val="0"/>
                <w:i w:val="0"/>
                <w:sz w:val="19"/>
              </w:rPr>
              <w:t>0.412</w:t>
            </w:r>
          </w:p>
        </w:tc>
      </w:tr>
      <w:tr>
        <w:tc>
          <w:tcPr>
            <w:tcW w:type="dxa" w:w="1728"/>
          </w:tcPr>
          <w:p>
            <w:pPr>
              <w:jc w:val="center"/>
            </w:pPr>
            <w:r>
              <w:rPr>
                <w:rFonts w:ascii="Times New Roman" w:hAnsi="Times New Roman"/>
                <w:b w:val="0"/>
                <w:i w:val="0"/>
                <w:sz w:val="19"/>
              </w:rPr>
              <w:t>yamanishi_e</w:t>
            </w:r>
          </w:p>
        </w:tc>
        <w:tc>
          <w:tcPr>
            <w:tcW w:type="dxa" w:w="1584"/>
          </w:tcPr>
          <w:p>
            <w:pPr>
              <w:jc w:val="center"/>
            </w:pPr>
            <w:r>
              <w:rPr>
                <w:rFonts w:ascii="Times New Roman" w:hAnsi="Times New Roman"/>
                <w:b w:val="0"/>
                <w:i w:val="0"/>
                <w:sz w:val="19"/>
              </w:rPr>
              <w:t>cold_pair</w:t>
            </w:r>
          </w:p>
        </w:tc>
        <w:tc>
          <w:tcPr>
            <w:tcW w:type="dxa" w:w="1440"/>
          </w:tcPr>
          <w:p>
            <w:pPr>
              <w:jc w:val="center"/>
            </w:pPr>
            <w:r>
              <w:rPr>
                <w:rFonts w:ascii="Times New Roman" w:hAnsi="Times New Roman"/>
                <w:b/>
                <w:i w:val="0"/>
                <w:sz w:val="19"/>
              </w:rPr>
              <w:t>0.746</w:t>
            </w:r>
          </w:p>
        </w:tc>
        <w:tc>
          <w:tcPr>
            <w:tcW w:type="dxa" w:w="1296"/>
          </w:tcPr>
          <w:p>
            <w:pPr>
              <w:jc w:val="center"/>
            </w:pPr>
            <w:r>
              <w:rPr>
                <w:rFonts w:ascii="Times New Roman" w:hAnsi="Times New Roman"/>
                <w:b w:val="0"/>
                <w:i w:val="0"/>
                <w:sz w:val="19"/>
              </w:rPr>
              <w:t>0.631</w:t>
            </w:r>
          </w:p>
        </w:tc>
        <w:tc>
          <w:tcPr>
            <w:tcW w:type="dxa" w:w="1440"/>
          </w:tcPr>
          <w:p>
            <w:pPr>
              <w:jc w:val="center"/>
            </w:pPr>
            <w:r>
              <w:rPr>
                <w:rFonts w:ascii="Times New Roman" w:hAnsi="Times New Roman"/>
                <w:b w:val="0"/>
                <w:i w:val="0"/>
                <w:sz w:val="19"/>
              </w:rPr>
              <w:t>0.515</w:t>
            </w:r>
          </w:p>
        </w:tc>
        <w:tc>
          <w:tcPr>
            <w:tcW w:type="dxa" w:w="1440"/>
          </w:tcPr>
          <w:p>
            <w:pPr>
              <w:jc w:val="center"/>
            </w:pPr>
            <w:r>
              <w:rPr>
                <w:rFonts w:ascii="Times New Roman" w:hAnsi="Times New Roman"/>
                <w:b w:val="0"/>
                <w:i w:val="0"/>
                <w:sz w:val="19"/>
              </w:rPr>
              <w:t>0.704</w:t>
            </w:r>
          </w:p>
        </w:tc>
      </w:tr>
      <w:tr>
        <w:tc>
          <w:tcPr>
            <w:tcW w:type="dxa" w:w="1728"/>
            <w:shd w:val="clear" w:color="auto" w:fill="F2F4F7"/>
          </w:tcPr>
          <w:p>
            <w:pPr>
              <w:jc w:val="center"/>
            </w:pPr>
            <w:r>
              <w:rPr>
                <w:rFonts w:ascii="Times New Roman" w:hAnsi="Times New Roman"/>
                <w:b w:val="0"/>
                <w:i w:val="0"/>
                <w:sz w:val="19"/>
              </w:rPr>
              <w:t>luo_17</w:t>
            </w:r>
          </w:p>
        </w:tc>
        <w:tc>
          <w:tcPr>
            <w:tcW w:type="dxa" w:w="1584"/>
            <w:shd w:val="clear" w:color="auto" w:fill="F2F4F7"/>
          </w:tcPr>
          <w:p>
            <w:pPr>
              <w:jc w:val="center"/>
            </w:pPr>
            <w:r>
              <w:rPr>
                <w:rFonts w:ascii="Times New Roman" w:hAnsi="Times New Roman"/>
                <w:b w:val="0"/>
                <w:i w:val="0"/>
                <w:sz w:val="19"/>
              </w:rPr>
              <w:t>random</w:t>
            </w:r>
          </w:p>
        </w:tc>
        <w:tc>
          <w:tcPr>
            <w:tcW w:type="dxa" w:w="1440"/>
            <w:shd w:val="clear" w:color="auto" w:fill="F2F4F7"/>
          </w:tcPr>
          <w:p>
            <w:pPr>
              <w:jc w:val="center"/>
            </w:pPr>
            <w:r>
              <w:rPr>
                <w:rFonts w:ascii="Times New Roman" w:hAnsi="Times New Roman"/>
                <w:b/>
                <w:i w:val="0"/>
                <w:sz w:val="19"/>
              </w:rPr>
              <w:t>0.946</w:t>
            </w:r>
          </w:p>
        </w:tc>
        <w:tc>
          <w:tcPr>
            <w:tcW w:type="dxa" w:w="1296"/>
            <w:shd w:val="clear" w:color="auto" w:fill="F2F4F7"/>
          </w:tcPr>
          <w:p>
            <w:pPr>
              <w:jc w:val="center"/>
            </w:pPr>
            <w:r>
              <w:rPr>
                <w:rFonts w:ascii="Times New Roman" w:hAnsi="Times New Roman"/>
                <w:b w:val="0"/>
                <w:i w:val="0"/>
                <w:sz w:val="19"/>
              </w:rPr>
              <w:t>0.948</w:t>
            </w:r>
          </w:p>
        </w:tc>
        <w:tc>
          <w:tcPr>
            <w:tcW w:type="dxa" w:w="1440"/>
            <w:shd w:val="clear" w:color="auto" w:fill="F2F4F7"/>
          </w:tcPr>
          <w:p>
            <w:pPr>
              <w:jc w:val="center"/>
            </w:pPr>
            <w:r>
              <w:rPr>
                <w:rFonts w:ascii="Times New Roman" w:hAnsi="Times New Roman"/>
                <w:b w:val="0"/>
                <w:i w:val="0"/>
                <w:sz w:val="19"/>
              </w:rPr>
              <w:t>0.902</w:t>
            </w:r>
          </w:p>
        </w:tc>
        <w:tc>
          <w:tcPr>
            <w:tcW w:type="dxa" w:w="1440"/>
            <w:shd w:val="clear" w:color="auto" w:fill="F2F4F7"/>
          </w:tcPr>
          <w:p>
            <w:pPr>
              <w:jc w:val="center"/>
            </w:pPr>
            <w:r>
              <w:rPr>
                <w:rFonts w:ascii="Times New Roman" w:hAnsi="Times New Roman"/>
                <w:b w:val="0"/>
                <w:i w:val="0"/>
                <w:sz w:val="19"/>
              </w:rPr>
              <w:t>0.875</w:t>
            </w:r>
          </w:p>
        </w:tc>
      </w:tr>
      <w:tr>
        <w:tc>
          <w:tcPr>
            <w:tcW w:type="dxa" w:w="1728"/>
          </w:tcPr>
          <w:p>
            <w:pPr>
              <w:jc w:val="center"/>
            </w:pPr>
            <w:r>
              <w:rPr>
                <w:rFonts w:ascii="Times New Roman" w:hAnsi="Times New Roman"/>
                <w:b w:val="0"/>
                <w:i w:val="0"/>
                <w:sz w:val="19"/>
              </w:rPr>
              <w:t>luo_17</w:t>
            </w:r>
          </w:p>
        </w:tc>
        <w:tc>
          <w:tcPr>
            <w:tcW w:type="dxa" w:w="1584"/>
          </w:tcPr>
          <w:p>
            <w:pPr>
              <w:jc w:val="center"/>
            </w:pPr>
            <w:r>
              <w:rPr>
                <w:rFonts w:ascii="Times New Roman" w:hAnsi="Times New Roman"/>
                <w:b w:val="0"/>
                <w:i w:val="0"/>
                <w:sz w:val="19"/>
              </w:rPr>
              <w:t>cold_drug</w:t>
            </w:r>
          </w:p>
        </w:tc>
        <w:tc>
          <w:tcPr>
            <w:tcW w:type="dxa" w:w="1440"/>
          </w:tcPr>
          <w:p>
            <w:pPr>
              <w:jc w:val="center"/>
            </w:pPr>
            <w:r>
              <w:rPr>
                <w:rFonts w:ascii="Times New Roman" w:hAnsi="Times New Roman"/>
                <w:b/>
                <w:i w:val="0"/>
                <w:sz w:val="19"/>
              </w:rPr>
              <w:t>0.913</w:t>
            </w:r>
          </w:p>
        </w:tc>
        <w:tc>
          <w:tcPr>
            <w:tcW w:type="dxa" w:w="1296"/>
          </w:tcPr>
          <w:p>
            <w:pPr>
              <w:jc w:val="center"/>
            </w:pPr>
            <w:r>
              <w:rPr>
                <w:rFonts w:ascii="Times New Roman" w:hAnsi="Times New Roman"/>
                <w:b w:val="0"/>
                <w:i w:val="0"/>
                <w:sz w:val="19"/>
              </w:rPr>
              <w:t>0.907</w:t>
            </w:r>
          </w:p>
        </w:tc>
        <w:tc>
          <w:tcPr>
            <w:tcW w:type="dxa" w:w="1440"/>
          </w:tcPr>
          <w:p>
            <w:pPr>
              <w:jc w:val="center"/>
            </w:pPr>
            <w:r>
              <w:rPr>
                <w:rFonts w:ascii="Times New Roman" w:hAnsi="Times New Roman"/>
                <w:b w:val="0"/>
                <w:i w:val="0"/>
                <w:sz w:val="19"/>
              </w:rPr>
              <w:t>0.707</w:t>
            </w:r>
          </w:p>
        </w:tc>
        <w:tc>
          <w:tcPr>
            <w:tcW w:type="dxa" w:w="1440"/>
          </w:tcPr>
          <w:p>
            <w:pPr>
              <w:jc w:val="center"/>
            </w:pPr>
            <w:r>
              <w:rPr>
                <w:rFonts w:ascii="Times New Roman" w:hAnsi="Times New Roman"/>
                <w:b w:val="0"/>
                <w:i w:val="0"/>
                <w:sz w:val="19"/>
              </w:rPr>
              <w:t>0.909</w:t>
            </w:r>
          </w:p>
        </w:tc>
      </w:tr>
      <w:tr>
        <w:tc>
          <w:tcPr>
            <w:tcW w:type="dxa" w:w="1728"/>
            <w:shd w:val="clear" w:color="auto" w:fill="F2F4F7"/>
          </w:tcPr>
          <w:p>
            <w:pPr>
              <w:jc w:val="center"/>
            </w:pPr>
            <w:r>
              <w:rPr>
                <w:rFonts w:ascii="Times New Roman" w:hAnsi="Times New Roman"/>
                <w:b w:val="0"/>
                <w:i w:val="0"/>
                <w:sz w:val="19"/>
              </w:rPr>
              <w:t>luo_17</w:t>
            </w:r>
          </w:p>
        </w:tc>
        <w:tc>
          <w:tcPr>
            <w:tcW w:type="dxa" w:w="1584"/>
            <w:shd w:val="clear" w:color="auto" w:fill="F2F4F7"/>
          </w:tcPr>
          <w:p>
            <w:pPr>
              <w:jc w:val="center"/>
            </w:pPr>
            <w:r>
              <w:rPr>
                <w:rFonts w:ascii="Times New Roman" w:hAnsi="Times New Roman"/>
                <w:b w:val="0"/>
                <w:i w:val="0"/>
                <w:sz w:val="19"/>
              </w:rPr>
              <w:t>cold_target</w:t>
            </w:r>
          </w:p>
        </w:tc>
        <w:tc>
          <w:tcPr>
            <w:tcW w:type="dxa" w:w="1440"/>
            <w:shd w:val="clear" w:color="auto" w:fill="F2F4F7"/>
          </w:tcPr>
          <w:p>
            <w:pPr>
              <w:jc w:val="center"/>
            </w:pPr>
            <w:r>
              <w:rPr>
                <w:rFonts w:ascii="Times New Roman" w:hAnsi="Times New Roman"/>
                <w:b w:val="0"/>
                <w:i w:val="0"/>
                <w:sz w:val="19"/>
              </w:rPr>
              <w:t>0.778</w:t>
            </w:r>
          </w:p>
        </w:tc>
        <w:tc>
          <w:tcPr>
            <w:tcW w:type="dxa" w:w="1296"/>
            <w:shd w:val="clear" w:color="auto" w:fill="F2F4F7"/>
          </w:tcPr>
          <w:p>
            <w:pPr>
              <w:jc w:val="center"/>
            </w:pPr>
            <w:r>
              <w:rPr>
                <w:rFonts w:ascii="Times New Roman" w:hAnsi="Times New Roman"/>
                <w:b w:val="0"/>
                <w:i w:val="0"/>
                <w:sz w:val="19"/>
              </w:rPr>
              <w:t>0.813</w:t>
            </w:r>
          </w:p>
        </w:tc>
        <w:tc>
          <w:tcPr>
            <w:tcW w:type="dxa" w:w="1440"/>
            <w:shd w:val="clear" w:color="auto" w:fill="F2F4F7"/>
          </w:tcPr>
          <w:p>
            <w:pPr>
              <w:jc w:val="center"/>
            </w:pPr>
            <w:r>
              <w:rPr>
                <w:rFonts w:ascii="Times New Roman" w:hAnsi="Times New Roman"/>
                <w:b/>
                <w:i w:val="0"/>
                <w:sz w:val="19"/>
              </w:rPr>
              <w:t>0.901</w:t>
            </w:r>
          </w:p>
        </w:tc>
        <w:tc>
          <w:tcPr>
            <w:tcW w:type="dxa" w:w="1440"/>
            <w:shd w:val="clear" w:color="auto" w:fill="F2F4F7"/>
          </w:tcPr>
          <w:p>
            <w:pPr>
              <w:jc w:val="center"/>
            </w:pPr>
            <w:r>
              <w:rPr>
                <w:rFonts w:ascii="Times New Roman" w:hAnsi="Times New Roman"/>
                <w:b w:val="0"/>
                <w:i w:val="0"/>
                <w:sz w:val="19"/>
              </w:rPr>
              <w:t>0.603</w:t>
            </w:r>
          </w:p>
        </w:tc>
      </w:tr>
      <w:tr>
        <w:tc>
          <w:tcPr>
            <w:tcW w:type="dxa" w:w="1728"/>
          </w:tcPr>
          <w:p>
            <w:pPr>
              <w:jc w:val="center"/>
            </w:pPr>
            <w:r>
              <w:rPr>
                <w:rFonts w:ascii="Times New Roman" w:hAnsi="Times New Roman"/>
                <w:b w:val="0"/>
                <w:i w:val="0"/>
                <w:sz w:val="19"/>
              </w:rPr>
              <w:t>luo_17</w:t>
            </w:r>
          </w:p>
        </w:tc>
        <w:tc>
          <w:tcPr>
            <w:tcW w:type="dxa" w:w="1584"/>
          </w:tcPr>
          <w:p>
            <w:pPr>
              <w:jc w:val="center"/>
            </w:pPr>
            <w:r>
              <w:rPr>
                <w:rFonts w:ascii="Times New Roman" w:hAnsi="Times New Roman"/>
                <w:b w:val="0"/>
                <w:i w:val="0"/>
                <w:sz w:val="19"/>
              </w:rPr>
              <w:t>cold_pair</w:t>
            </w:r>
          </w:p>
        </w:tc>
        <w:tc>
          <w:tcPr>
            <w:tcW w:type="dxa" w:w="1440"/>
          </w:tcPr>
          <w:p>
            <w:pPr>
              <w:jc w:val="center"/>
            </w:pPr>
            <w:r>
              <w:rPr>
                <w:rFonts w:ascii="Times New Roman" w:hAnsi="Times New Roman"/>
                <w:b/>
                <w:i w:val="0"/>
                <w:sz w:val="19"/>
              </w:rPr>
              <w:t>0.948</w:t>
            </w:r>
          </w:p>
        </w:tc>
        <w:tc>
          <w:tcPr>
            <w:tcW w:type="dxa" w:w="1296"/>
          </w:tcPr>
          <w:p>
            <w:pPr>
              <w:jc w:val="center"/>
            </w:pPr>
            <w:r>
              <w:rPr>
                <w:rFonts w:ascii="Times New Roman" w:hAnsi="Times New Roman"/>
                <w:b w:val="0"/>
                <w:i w:val="0"/>
                <w:sz w:val="19"/>
              </w:rPr>
              <w:t>0.943</w:t>
            </w:r>
          </w:p>
        </w:tc>
        <w:tc>
          <w:tcPr>
            <w:tcW w:type="dxa" w:w="1440"/>
          </w:tcPr>
          <w:p>
            <w:pPr>
              <w:jc w:val="center"/>
            </w:pPr>
            <w:r>
              <w:rPr>
                <w:rFonts w:ascii="Times New Roman" w:hAnsi="Times New Roman"/>
                <w:b w:val="0"/>
                <w:i w:val="0"/>
                <w:sz w:val="19"/>
              </w:rPr>
              <w:t>0.901</w:t>
            </w:r>
          </w:p>
        </w:tc>
        <w:tc>
          <w:tcPr>
            <w:tcW w:type="dxa" w:w="1440"/>
          </w:tcPr>
          <w:p>
            <w:pPr>
              <w:jc w:val="center"/>
            </w:pPr>
            <w:r>
              <w:rPr>
                <w:rFonts w:ascii="Times New Roman" w:hAnsi="Times New Roman"/>
                <w:b w:val="0"/>
                <w:i w:val="0"/>
                <w:sz w:val="19"/>
              </w:rPr>
              <w:t>0.888</w:t>
            </w:r>
          </w:p>
        </w:tc>
      </w:tr>
    </w:tbl>
    <w:p/>
    <w:p>
      <w:pPr>
        <w:spacing w:before="40" w:after="160"/>
        <w:jc w:val="center"/>
      </w:pPr>
      <w:r>
        <w:rPr>
          <w:rFonts w:ascii="Times New Roman" w:hAnsi="Times New Roman"/>
          <w:b w:val="0"/>
          <w:i/>
          <w:sz w:val="20"/>
        </w:rPr>
        <w:t>Table 4.2: Encoder ablation — AUROC mean (5 seeds). Bold = best per row.</w:t>
      </w:r>
    </w:p>
    <w:p>
      <w:pPr>
        <w:spacing w:after="80"/>
        <w:ind w:left="0"/>
        <w:jc w:val="both"/>
      </w:pPr>
      <w:r>
        <w:rPr>
          <w:rFonts w:ascii="Times New Roman" w:hAnsi="Times New Roman"/>
          <w:b w:val="0"/>
          <w:i w:val="0"/>
          <w:sz w:val="22"/>
        </w:rPr>
        <w:t>The encoder ablation reveals a symmetric complementarity pattern. Removing the drug encoder (RNN-Only) causes significant degradation on cold_drug splits (luo_17 cold_drug: −0.206, p&lt;0.001), confirming that drug structural features are the primary source of generalisation to novel compounds. Conversely, removing the protein encoder (GNN-Only) causes significant degradation on cold_target splits (luo_17 cold_target: −0.174 for RNN-Only, p&lt;0.001). Notably, GNN-Only achieves 0.901 on luo_17 cold_target — outperforming the full model. This anomaly reflects drug promiscuity: certain drug scaffolds bind broadly regardless of protein identity, and cross-attention incorporating completely unseen ESM-2 protein embeddings introduces noise that hurts prediction.</w:t>
      </w:r>
    </w:p>
    <w:p>
      <w:pPr>
        <w:spacing w:before="160" w:after="60"/>
      </w:pPr>
      <w:r>
        <w:rPr>
          <w:rFonts w:ascii="Times New Roman" w:hAnsi="Times New Roman"/>
          <w:b/>
          <w:i/>
          <w:color w:val="C06A00"/>
          <w:sz w:val="24"/>
        </w:rPr>
        <w:t>4.2.3 DTA Regression Performance</w:t>
      </w:r>
    </w:p>
    <w:p>
      <w:pPr>
        <w:spacing w:after="80"/>
        <w:ind w:left="0"/>
        <w:jc w:val="both"/>
      </w:pPr>
      <w:r>
        <w:rPr>
          <w:rFonts w:ascii="Times New Roman" w:hAnsi="Times New Roman"/>
          <w:b w:val="0"/>
          <w:i w:val="0"/>
          <w:sz w:val="22"/>
        </w:rPr>
        <w:t>Table 4.3 presents DTA regression results on DAVIS and KIBA. H-GNN-RNN-DTI consistently outperforms ConcatBaseline, confirming that the Gated Cross-Attention advantage extends from binary classification to continuous affinity prediction.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728"/>
            <w:shd w:val="clear" w:color="auto" w:fill="1A375C"/>
            <w:vAlign w:val="center"/>
          </w:tcPr>
          <w:p>
            <w:pPr>
              <w:jc w:val="center"/>
            </w:pPr>
            <w:r>
              <w:rPr>
                <w:rFonts w:ascii="Times New Roman" w:hAnsi="Times New Roman"/>
                <w:b/>
                <w:i w:val="0"/>
                <w:color w:val="FFFFFF"/>
                <w:sz w:val="19"/>
              </w:rPr>
              <w:t>Dataset</w:t>
            </w:r>
          </w:p>
        </w:tc>
        <w:tc>
          <w:tcPr>
            <w:tcW w:type="dxa" w:w="2016"/>
            <w:shd w:val="clear" w:color="auto" w:fill="1A375C"/>
            <w:vAlign w:val="center"/>
          </w:tcPr>
          <w:p>
            <w:pPr>
              <w:jc w:val="center"/>
            </w:pPr>
            <w:r>
              <w:rPr>
                <w:rFonts w:ascii="Times New Roman" w:hAnsi="Times New Roman"/>
                <w:b/>
                <w:i w:val="0"/>
                <w:color w:val="FFFFFF"/>
                <w:sz w:val="19"/>
              </w:rPr>
              <w:t>Model</w:t>
            </w:r>
          </w:p>
        </w:tc>
        <w:tc>
          <w:tcPr>
            <w:tcW w:type="dxa" w:w="1584"/>
            <w:shd w:val="clear" w:color="auto" w:fill="1A375C"/>
            <w:vAlign w:val="center"/>
          </w:tcPr>
          <w:p>
            <w:pPr>
              <w:jc w:val="center"/>
            </w:pPr>
            <w:r>
              <w:rPr>
                <w:rFonts w:ascii="Times New Roman" w:hAnsi="Times New Roman"/>
                <w:b/>
                <w:i w:val="0"/>
                <w:color w:val="FFFFFF"/>
                <w:sz w:val="19"/>
              </w:rPr>
              <w:t>MSE ↓</w:t>
            </w:r>
          </w:p>
        </w:tc>
        <w:tc>
          <w:tcPr>
            <w:tcW w:type="dxa" w:w="1440"/>
            <w:shd w:val="clear" w:color="auto" w:fill="1A375C"/>
            <w:vAlign w:val="center"/>
          </w:tcPr>
          <w:p>
            <w:pPr>
              <w:jc w:val="center"/>
            </w:pPr>
            <w:r>
              <w:rPr>
                <w:rFonts w:ascii="Times New Roman" w:hAnsi="Times New Roman"/>
                <w:b/>
                <w:i w:val="0"/>
                <w:color w:val="FFFFFF"/>
                <w:sz w:val="19"/>
              </w:rPr>
              <w:t>MAE ↓</w:t>
            </w:r>
          </w:p>
        </w:tc>
        <w:tc>
          <w:tcPr>
            <w:tcW w:type="dxa" w:w="1440"/>
            <w:shd w:val="clear" w:color="auto" w:fill="1A375C"/>
            <w:vAlign w:val="center"/>
          </w:tcPr>
          <w:p>
            <w:pPr>
              <w:jc w:val="center"/>
            </w:pPr>
            <w:r>
              <w:rPr>
                <w:rFonts w:ascii="Times New Roman" w:hAnsi="Times New Roman"/>
                <w:b/>
                <w:i w:val="0"/>
                <w:color w:val="FFFFFF"/>
                <w:sz w:val="19"/>
              </w:rPr>
              <w:t>R² ↑</w:t>
            </w:r>
          </w:p>
        </w:tc>
        <w:tc>
          <w:tcPr>
            <w:tcW w:type="dxa" w:w="1584"/>
            <w:shd w:val="clear" w:color="auto" w:fill="1A375C"/>
            <w:vAlign w:val="center"/>
          </w:tcPr>
          <w:p>
            <w:pPr>
              <w:jc w:val="center"/>
            </w:pPr>
            <w:r>
              <w:rPr>
                <w:rFonts w:ascii="Times New Roman" w:hAnsi="Times New Roman"/>
                <w:b/>
                <w:i w:val="0"/>
                <w:color w:val="FFFFFF"/>
                <w:sz w:val="19"/>
              </w:rPr>
              <w:t>Pearson r ↑</w:t>
            </w:r>
          </w:p>
        </w:tc>
        <w:tc>
          <w:tcPr>
            <w:tcW w:type="dxa" w:w="1728"/>
            <w:shd w:val="clear" w:color="auto" w:fill="1A375C"/>
            <w:vAlign w:val="center"/>
          </w:tcPr>
          <w:p>
            <w:pPr>
              <w:jc w:val="center"/>
            </w:pPr>
            <w:r>
              <w:rPr>
                <w:rFonts w:ascii="Times New Roman" w:hAnsi="Times New Roman"/>
                <w:b/>
                <w:i w:val="0"/>
                <w:color w:val="FFFFFF"/>
                <w:sz w:val="19"/>
              </w:rPr>
              <w:t>Spearman ρ ↑</w:t>
            </w:r>
          </w:p>
        </w:tc>
      </w:tr>
      <w:tr>
        <w:tc>
          <w:tcPr>
            <w:tcW w:type="dxa" w:w="1728"/>
            <w:shd w:val="clear" w:color="auto" w:fill="F2F4F7"/>
          </w:tcPr>
          <w:p>
            <w:pPr>
              <w:jc w:val="center"/>
            </w:pPr>
            <w:r>
              <w:rPr>
                <w:rFonts w:ascii="Times New Roman" w:hAnsi="Times New Roman"/>
                <w:b w:val="0"/>
                <w:i w:val="0"/>
                <w:sz w:val="19"/>
              </w:rPr>
              <w:t>Davis (pKd)</w:t>
            </w:r>
          </w:p>
        </w:tc>
        <w:tc>
          <w:tcPr>
            <w:tcW w:type="dxa" w:w="2016"/>
            <w:shd w:val="clear" w:color="auto" w:fill="F2F4F7"/>
          </w:tcPr>
          <w:p>
            <w:pPr>
              <w:jc w:val="center"/>
            </w:pPr>
            <w:r>
              <w:rPr>
                <w:rFonts w:ascii="Times New Roman" w:hAnsi="Times New Roman"/>
                <w:b w:val="0"/>
                <w:i w:val="0"/>
                <w:sz w:val="19"/>
              </w:rPr>
              <w:t>H-GNN-RNN-DTI</w:t>
            </w:r>
          </w:p>
        </w:tc>
        <w:tc>
          <w:tcPr>
            <w:tcW w:type="dxa" w:w="1584"/>
            <w:shd w:val="clear" w:color="auto" w:fill="F2F4F7"/>
          </w:tcPr>
          <w:p>
            <w:pPr>
              <w:jc w:val="center"/>
            </w:pPr>
            <w:r>
              <w:rPr>
                <w:rFonts w:ascii="Times New Roman" w:hAnsi="Times New Roman"/>
                <w:b/>
                <w:i w:val="0"/>
                <w:sz w:val="19"/>
              </w:rPr>
              <w:t>0.379±0.011</w:t>
            </w:r>
          </w:p>
        </w:tc>
        <w:tc>
          <w:tcPr>
            <w:tcW w:type="dxa" w:w="1440"/>
            <w:shd w:val="clear" w:color="auto" w:fill="F2F4F7"/>
          </w:tcPr>
          <w:p>
            <w:pPr>
              <w:jc w:val="center"/>
            </w:pPr>
            <w:r>
              <w:rPr>
                <w:rFonts w:ascii="Times New Roman" w:hAnsi="Times New Roman"/>
                <w:b/>
                <w:i w:val="0"/>
                <w:sz w:val="19"/>
              </w:rPr>
              <w:t>0.415±0.008</w:t>
            </w:r>
          </w:p>
        </w:tc>
        <w:tc>
          <w:tcPr>
            <w:tcW w:type="dxa" w:w="1440"/>
            <w:shd w:val="clear" w:color="auto" w:fill="F2F4F7"/>
          </w:tcPr>
          <w:p>
            <w:pPr>
              <w:jc w:val="center"/>
            </w:pPr>
            <w:r>
              <w:rPr>
                <w:rFonts w:ascii="Times New Roman" w:hAnsi="Times New Roman"/>
                <w:b/>
                <w:i w:val="0"/>
                <w:sz w:val="19"/>
              </w:rPr>
              <w:t>0.508±0.014</w:t>
            </w:r>
          </w:p>
        </w:tc>
        <w:tc>
          <w:tcPr>
            <w:tcW w:type="dxa" w:w="1584"/>
            <w:shd w:val="clear" w:color="auto" w:fill="F2F4F7"/>
          </w:tcPr>
          <w:p>
            <w:pPr>
              <w:jc w:val="center"/>
            </w:pPr>
            <w:r>
              <w:rPr>
                <w:rFonts w:ascii="Times New Roman" w:hAnsi="Times New Roman"/>
                <w:b/>
                <w:i w:val="0"/>
                <w:sz w:val="19"/>
              </w:rPr>
              <w:t>0.721±0.013</w:t>
            </w:r>
          </w:p>
        </w:tc>
        <w:tc>
          <w:tcPr>
            <w:tcW w:type="dxa" w:w="1728"/>
            <w:shd w:val="clear" w:color="auto" w:fill="F2F4F7"/>
          </w:tcPr>
          <w:p>
            <w:pPr>
              <w:jc w:val="center"/>
            </w:pPr>
            <w:r>
              <w:rPr>
                <w:rFonts w:ascii="Times New Roman" w:hAnsi="Times New Roman"/>
                <w:b/>
                <w:i w:val="0"/>
                <w:sz w:val="19"/>
              </w:rPr>
              <w:t>0.610±0.011</w:t>
            </w:r>
          </w:p>
        </w:tc>
      </w:tr>
      <w:tr>
        <w:tc>
          <w:tcPr>
            <w:tcW w:type="dxa" w:w="1728"/>
          </w:tcPr>
          <w:p>
            <w:pPr>
              <w:jc w:val="center"/>
            </w:pPr>
            <w:r>
              <w:rPr>
                <w:rFonts w:ascii="Times New Roman" w:hAnsi="Times New Roman"/>
                <w:b w:val="0"/>
                <w:i w:val="0"/>
                <w:sz w:val="19"/>
              </w:rPr>
              <w:t>Davis (pKd)</w:t>
            </w:r>
          </w:p>
        </w:tc>
        <w:tc>
          <w:tcPr>
            <w:tcW w:type="dxa" w:w="2016"/>
          </w:tcPr>
          <w:p>
            <w:pPr>
              <w:jc w:val="center"/>
            </w:pPr>
            <w:r>
              <w:rPr>
                <w:rFonts w:ascii="Times New Roman" w:hAnsi="Times New Roman"/>
                <w:b w:val="0"/>
                <w:i w:val="0"/>
                <w:sz w:val="19"/>
              </w:rPr>
              <w:t>ConcatBaseline</w:t>
            </w:r>
          </w:p>
        </w:tc>
        <w:tc>
          <w:tcPr>
            <w:tcW w:type="dxa" w:w="1584"/>
          </w:tcPr>
          <w:p>
            <w:pPr>
              <w:jc w:val="center"/>
            </w:pPr>
            <w:r>
              <w:rPr>
                <w:rFonts w:ascii="Times New Roman" w:hAnsi="Times New Roman"/>
                <w:b w:val="0"/>
                <w:i w:val="0"/>
                <w:sz w:val="19"/>
              </w:rPr>
              <w:t>0.468±0.029</w:t>
            </w:r>
          </w:p>
        </w:tc>
        <w:tc>
          <w:tcPr>
            <w:tcW w:type="dxa" w:w="1440"/>
          </w:tcPr>
          <w:p>
            <w:pPr>
              <w:jc w:val="center"/>
            </w:pPr>
            <w:r>
              <w:rPr>
                <w:rFonts w:ascii="Times New Roman" w:hAnsi="Times New Roman"/>
                <w:b w:val="0"/>
                <w:i w:val="0"/>
                <w:sz w:val="19"/>
              </w:rPr>
              <w:t>0.444±0.021</w:t>
            </w:r>
          </w:p>
        </w:tc>
        <w:tc>
          <w:tcPr>
            <w:tcW w:type="dxa" w:w="1440"/>
          </w:tcPr>
          <w:p>
            <w:pPr>
              <w:jc w:val="center"/>
            </w:pPr>
            <w:r>
              <w:rPr>
                <w:rFonts w:ascii="Times New Roman" w:hAnsi="Times New Roman"/>
                <w:b w:val="0"/>
                <w:i w:val="0"/>
                <w:sz w:val="19"/>
              </w:rPr>
              <w:t>0.391±0.037</w:t>
            </w:r>
          </w:p>
        </w:tc>
        <w:tc>
          <w:tcPr>
            <w:tcW w:type="dxa" w:w="1584"/>
          </w:tcPr>
          <w:p>
            <w:pPr>
              <w:jc w:val="center"/>
            </w:pPr>
            <w:r>
              <w:rPr>
                <w:rFonts w:ascii="Times New Roman" w:hAnsi="Times New Roman"/>
                <w:b w:val="0"/>
                <w:i w:val="0"/>
                <w:sz w:val="19"/>
              </w:rPr>
              <w:t>0.626±0.030</w:t>
            </w:r>
          </w:p>
        </w:tc>
        <w:tc>
          <w:tcPr>
            <w:tcW w:type="dxa" w:w="1728"/>
          </w:tcPr>
          <w:p>
            <w:pPr>
              <w:jc w:val="center"/>
            </w:pPr>
            <w:r>
              <w:rPr>
                <w:rFonts w:ascii="Times New Roman" w:hAnsi="Times New Roman"/>
                <w:b w:val="0"/>
                <w:i w:val="0"/>
                <w:sz w:val="19"/>
              </w:rPr>
              <w:t>0.565±0.019</w:t>
            </w:r>
          </w:p>
        </w:tc>
      </w:tr>
      <w:tr>
        <w:tc>
          <w:tcPr>
            <w:tcW w:type="dxa" w:w="1728"/>
            <w:shd w:val="clear" w:color="auto" w:fill="F2F4F7"/>
          </w:tcPr>
          <w:p>
            <w:pPr>
              <w:jc w:val="center"/>
            </w:pPr>
            <w:r>
              <w:rPr>
                <w:rFonts w:ascii="Times New Roman" w:hAnsi="Times New Roman"/>
                <w:b w:val="0"/>
                <w:i w:val="0"/>
                <w:sz w:val="19"/>
              </w:rPr>
              <w:t>KIBA (score)</w:t>
            </w:r>
          </w:p>
        </w:tc>
        <w:tc>
          <w:tcPr>
            <w:tcW w:type="dxa" w:w="2016"/>
            <w:shd w:val="clear" w:color="auto" w:fill="F2F4F7"/>
          </w:tcPr>
          <w:p>
            <w:pPr>
              <w:jc w:val="center"/>
            </w:pPr>
            <w:r>
              <w:rPr>
                <w:rFonts w:ascii="Times New Roman" w:hAnsi="Times New Roman"/>
                <w:b w:val="0"/>
                <w:i w:val="0"/>
                <w:sz w:val="19"/>
              </w:rPr>
              <w:t>H-GNN-RNN-DTI</w:t>
            </w:r>
          </w:p>
        </w:tc>
        <w:tc>
          <w:tcPr>
            <w:tcW w:type="dxa" w:w="1584"/>
            <w:shd w:val="clear" w:color="auto" w:fill="F2F4F7"/>
          </w:tcPr>
          <w:p>
            <w:pPr>
              <w:jc w:val="center"/>
            </w:pPr>
            <w:r>
              <w:rPr>
                <w:rFonts w:ascii="Times New Roman" w:hAnsi="Times New Roman"/>
                <w:b/>
                <w:i w:val="0"/>
                <w:sz w:val="19"/>
              </w:rPr>
              <w:t>0.274±0.014</w:t>
            </w:r>
          </w:p>
        </w:tc>
        <w:tc>
          <w:tcPr>
            <w:tcW w:type="dxa" w:w="1440"/>
            <w:shd w:val="clear" w:color="auto" w:fill="F2F4F7"/>
          </w:tcPr>
          <w:p>
            <w:pPr>
              <w:jc w:val="center"/>
            </w:pPr>
            <w:r>
              <w:rPr>
                <w:rFonts w:ascii="Times New Roman" w:hAnsi="Times New Roman"/>
                <w:b w:val="0"/>
                <w:i w:val="0"/>
                <w:sz w:val="19"/>
              </w:rPr>
              <w:t>0.354±0.013</w:t>
            </w:r>
          </w:p>
        </w:tc>
        <w:tc>
          <w:tcPr>
            <w:tcW w:type="dxa" w:w="1440"/>
            <w:shd w:val="clear" w:color="auto" w:fill="F2F4F7"/>
          </w:tcPr>
          <w:p>
            <w:pPr>
              <w:jc w:val="center"/>
            </w:pPr>
            <w:r>
              <w:rPr>
                <w:rFonts w:ascii="Times New Roman" w:hAnsi="Times New Roman"/>
                <w:b/>
                <w:i w:val="0"/>
                <w:sz w:val="19"/>
              </w:rPr>
              <w:t>0.613±0.019</w:t>
            </w:r>
          </w:p>
        </w:tc>
        <w:tc>
          <w:tcPr>
            <w:tcW w:type="dxa" w:w="1584"/>
            <w:shd w:val="clear" w:color="auto" w:fill="F2F4F7"/>
          </w:tcPr>
          <w:p>
            <w:pPr>
              <w:jc w:val="center"/>
            </w:pPr>
            <w:r>
              <w:rPr>
                <w:rFonts w:ascii="Times New Roman" w:hAnsi="Times New Roman"/>
                <w:b/>
                <w:i w:val="0"/>
                <w:sz w:val="19"/>
              </w:rPr>
              <w:t>0.787±0.012</w:t>
            </w:r>
          </w:p>
        </w:tc>
        <w:tc>
          <w:tcPr>
            <w:tcW w:type="dxa" w:w="1728"/>
            <w:shd w:val="clear" w:color="auto" w:fill="F2F4F7"/>
          </w:tcPr>
          <w:p>
            <w:pPr>
              <w:jc w:val="center"/>
            </w:pPr>
            <w:r>
              <w:rPr>
                <w:rFonts w:ascii="Times New Roman" w:hAnsi="Times New Roman"/>
                <w:b/>
                <w:i w:val="0"/>
                <w:sz w:val="19"/>
              </w:rPr>
              <w:t>0.759±0.016</w:t>
            </w:r>
          </w:p>
        </w:tc>
      </w:tr>
      <w:tr>
        <w:tc>
          <w:tcPr>
            <w:tcW w:type="dxa" w:w="1728"/>
          </w:tcPr>
          <w:p>
            <w:pPr>
              <w:jc w:val="center"/>
            </w:pPr>
            <w:r>
              <w:rPr>
                <w:rFonts w:ascii="Times New Roman" w:hAnsi="Times New Roman"/>
                <w:b w:val="0"/>
                <w:i w:val="0"/>
                <w:sz w:val="19"/>
              </w:rPr>
              <w:t>KIBA (score)</w:t>
            </w:r>
          </w:p>
        </w:tc>
        <w:tc>
          <w:tcPr>
            <w:tcW w:type="dxa" w:w="2016"/>
          </w:tcPr>
          <w:p>
            <w:pPr>
              <w:jc w:val="center"/>
            </w:pPr>
            <w:r>
              <w:rPr>
                <w:rFonts w:ascii="Times New Roman" w:hAnsi="Times New Roman"/>
                <w:b w:val="0"/>
                <w:i w:val="0"/>
                <w:sz w:val="19"/>
              </w:rPr>
              <w:t>ConcatBaseline</w:t>
            </w:r>
          </w:p>
        </w:tc>
        <w:tc>
          <w:tcPr>
            <w:tcW w:type="dxa" w:w="1584"/>
          </w:tcPr>
          <w:p>
            <w:pPr>
              <w:jc w:val="center"/>
            </w:pPr>
            <w:r>
              <w:rPr>
                <w:rFonts w:ascii="Times New Roman" w:hAnsi="Times New Roman"/>
                <w:b w:val="0"/>
                <w:i w:val="0"/>
                <w:sz w:val="19"/>
              </w:rPr>
              <w:t>0.304±0.011</w:t>
            </w:r>
          </w:p>
        </w:tc>
        <w:tc>
          <w:tcPr>
            <w:tcW w:type="dxa" w:w="1440"/>
          </w:tcPr>
          <w:p>
            <w:pPr>
              <w:jc w:val="center"/>
            </w:pPr>
            <w:r>
              <w:rPr>
                <w:rFonts w:ascii="Times New Roman" w:hAnsi="Times New Roman"/>
                <w:b/>
                <w:i w:val="0"/>
                <w:sz w:val="19"/>
              </w:rPr>
              <w:t>0.351±0.008</w:t>
            </w:r>
          </w:p>
        </w:tc>
        <w:tc>
          <w:tcPr>
            <w:tcW w:type="dxa" w:w="1440"/>
          </w:tcPr>
          <w:p>
            <w:pPr>
              <w:jc w:val="center"/>
            </w:pPr>
            <w:r>
              <w:rPr>
                <w:rFonts w:ascii="Times New Roman" w:hAnsi="Times New Roman"/>
                <w:b w:val="0"/>
                <w:i w:val="0"/>
                <w:sz w:val="19"/>
              </w:rPr>
              <w:t>0.570±0.015</w:t>
            </w:r>
          </w:p>
        </w:tc>
        <w:tc>
          <w:tcPr>
            <w:tcW w:type="dxa" w:w="1584"/>
          </w:tcPr>
          <w:p>
            <w:pPr>
              <w:jc w:val="center"/>
            </w:pPr>
            <w:r>
              <w:rPr>
                <w:rFonts w:ascii="Times New Roman" w:hAnsi="Times New Roman"/>
                <w:b w:val="0"/>
                <w:i w:val="0"/>
                <w:sz w:val="19"/>
              </w:rPr>
              <w:t>0.756±0.010</w:t>
            </w:r>
          </w:p>
        </w:tc>
        <w:tc>
          <w:tcPr>
            <w:tcW w:type="dxa" w:w="1728"/>
          </w:tcPr>
          <w:p>
            <w:pPr>
              <w:jc w:val="center"/>
            </w:pPr>
            <w:r>
              <w:rPr>
                <w:rFonts w:ascii="Times New Roman" w:hAnsi="Times New Roman"/>
                <w:b w:val="0"/>
                <w:i w:val="0"/>
                <w:sz w:val="19"/>
              </w:rPr>
              <w:t>0.747±0.011</w:t>
            </w:r>
          </w:p>
        </w:tc>
      </w:tr>
    </w:tbl>
    <w:p/>
    <w:p>
      <w:pPr>
        <w:spacing w:before="40" w:after="160"/>
        <w:jc w:val="center"/>
      </w:pPr>
      <w:r>
        <w:rPr>
          <w:rFonts w:ascii="Times New Roman" w:hAnsi="Times New Roman"/>
          <w:b w:val="0"/>
          <w:i/>
          <w:sz w:val="20"/>
        </w:rPr>
        <w:t>Table 4.3: DTA regression results — mean ± std (5 seeds). Bold = significantly better (p&lt;0.05).</w:t>
      </w:r>
    </w:p>
    <w:p>
      <w:pPr>
        <w:spacing w:after="80"/>
        <w:ind w:left="0"/>
        <w:jc w:val="both"/>
      </w:pPr>
      <w:r>
        <w:rPr>
          <w:rFonts w:ascii="Times New Roman" w:hAnsi="Times New Roman"/>
          <w:b w:val="0"/>
          <w:i w:val="0"/>
          <w:sz w:val="22"/>
        </w:rPr>
        <w:t>On DAVIS, H-GNN-RNN-DTI outperforms ConcatBaseline on all six metrics (MSE/RMSE/R²/Pearson/Spearman all p&lt;0.01, MAE p&lt;0.05). The MSE advantage is Δ=−0.090 (p=0.003). On KIBA, improvements are smaller but significant on primary metrics (MSE Δ=−0.031, p=0.009; Pearson Δ=+0.032, p=0.006; R² Δ=+0.043, p=0.009). The KIBA MSE of 0.274 ± 0.014 explains ~61% of affinity variance (R²=0.613). Davis MSE is higher relative to literature models such as GraphDTA (0.254), partially attributed to the smaller training set under 70/10/20 holdout vs. 5-fold CV used in published comparisons.</w:t>
      </w:r>
    </w:p>
    <w:p>
      <w:pPr>
        <w:spacing w:before="160" w:after="60"/>
      </w:pPr>
      <w:r>
        <w:rPr>
          <w:rFonts w:ascii="Times New Roman" w:hAnsi="Times New Roman"/>
          <w:b/>
          <w:i/>
          <w:color w:val="C06A00"/>
          <w:sz w:val="24"/>
        </w:rPr>
        <w:t>4.2.4 External Baseline Comparison</w:t>
      </w:r>
    </w:p>
    <w:p>
      <w:pPr>
        <w:spacing w:after="80"/>
        <w:ind w:left="0"/>
        <w:jc w:val="both"/>
      </w:pPr>
      <w:r>
        <w:rPr>
          <w:rFonts w:ascii="Times New Roman" w:hAnsi="Times New Roman"/>
          <w:b w:val="0"/>
          <w:i w:val="0"/>
          <w:sz w:val="22"/>
        </w:rPr>
        <w:t>Tables 4.4 and 4.5 compare H-GNN-RNN-DTI against GSRF-DTI (Zhu et al., 2024) on Luo_17 and DTKGIN (Luo et al., 2024) on Yamanishi_e. External baselines were re-implemented with 3 seeds on our standardised 4-split protocol.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28"/>
            <w:shd w:val="clear" w:color="auto" w:fill="1A375C"/>
            <w:vAlign w:val="center"/>
          </w:tcPr>
          <w:p>
            <w:pPr>
              <w:jc w:val="center"/>
            </w:pPr>
            <w:r>
              <w:rPr>
                <w:rFonts w:ascii="Times New Roman" w:hAnsi="Times New Roman"/>
                <w:b/>
                <w:i w:val="0"/>
                <w:color w:val="FFFFFF"/>
                <w:sz w:val="19"/>
              </w:rPr>
              <w:t>Split</w:t>
            </w:r>
          </w:p>
        </w:tc>
        <w:tc>
          <w:tcPr>
            <w:tcW w:type="dxa" w:w="2160"/>
            <w:shd w:val="clear" w:color="auto" w:fill="1A375C"/>
            <w:vAlign w:val="center"/>
          </w:tcPr>
          <w:p>
            <w:pPr>
              <w:jc w:val="center"/>
            </w:pPr>
            <w:r>
              <w:rPr>
                <w:rFonts w:ascii="Times New Roman" w:hAnsi="Times New Roman"/>
                <w:b/>
                <w:i w:val="0"/>
                <w:color w:val="FFFFFF"/>
                <w:sz w:val="19"/>
              </w:rPr>
              <w:t>H-GNN-RNN-DTI</w:t>
            </w:r>
          </w:p>
        </w:tc>
        <w:tc>
          <w:tcPr>
            <w:tcW w:type="dxa" w:w="2160"/>
            <w:shd w:val="clear" w:color="auto" w:fill="1A375C"/>
            <w:vAlign w:val="center"/>
          </w:tcPr>
          <w:p>
            <w:pPr>
              <w:jc w:val="center"/>
            </w:pPr>
            <w:r>
              <w:rPr>
                <w:rFonts w:ascii="Times New Roman" w:hAnsi="Times New Roman"/>
                <w:b/>
                <w:i w:val="0"/>
                <w:color w:val="FFFFFF"/>
                <w:sz w:val="19"/>
              </w:rPr>
              <w:t>ConcatBaseline</w:t>
            </w:r>
          </w:p>
        </w:tc>
        <w:tc>
          <w:tcPr>
            <w:tcW w:type="dxa" w:w="2592"/>
            <w:shd w:val="clear" w:color="auto" w:fill="1A375C"/>
            <w:vAlign w:val="center"/>
          </w:tcPr>
          <w:p>
            <w:pPr>
              <w:jc w:val="center"/>
            </w:pPr>
            <w:r>
              <w:rPr>
                <w:rFonts w:ascii="Times New Roman" w:hAnsi="Times New Roman"/>
                <w:b/>
                <w:i w:val="0"/>
                <w:color w:val="FFFFFF"/>
                <w:sz w:val="19"/>
              </w:rPr>
              <w:t>GSRF-DTI (re-impl.)</w:t>
            </w:r>
          </w:p>
        </w:tc>
      </w:tr>
      <w:tr>
        <w:tc>
          <w:tcPr>
            <w:tcW w:type="dxa" w:w="1728"/>
            <w:shd w:val="clear" w:color="auto" w:fill="F2F4F7"/>
          </w:tcPr>
          <w:p>
            <w:pPr>
              <w:jc w:val="center"/>
            </w:pPr>
            <w:r>
              <w:rPr>
                <w:rFonts w:ascii="Times New Roman" w:hAnsi="Times New Roman"/>
                <w:b w:val="0"/>
                <w:i w:val="0"/>
                <w:sz w:val="19"/>
              </w:rPr>
              <w:t>random</w:t>
            </w:r>
          </w:p>
        </w:tc>
        <w:tc>
          <w:tcPr>
            <w:tcW w:type="dxa" w:w="2160"/>
            <w:shd w:val="clear" w:color="auto" w:fill="F2F4F7"/>
          </w:tcPr>
          <w:p>
            <w:pPr>
              <w:jc w:val="center"/>
            </w:pPr>
            <w:r>
              <w:rPr>
                <w:rFonts w:ascii="Times New Roman" w:hAnsi="Times New Roman"/>
                <w:b/>
                <w:i w:val="0"/>
                <w:sz w:val="19"/>
              </w:rPr>
              <w:t>0.946 ± 0.005</w:t>
            </w:r>
          </w:p>
        </w:tc>
        <w:tc>
          <w:tcPr>
            <w:tcW w:type="dxa" w:w="2160"/>
            <w:shd w:val="clear" w:color="auto" w:fill="F2F4F7"/>
          </w:tcPr>
          <w:p>
            <w:pPr>
              <w:jc w:val="center"/>
            </w:pPr>
            <w:r>
              <w:rPr>
                <w:rFonts w:ascii="Times New Roman" w:hAnsi="Times New Roman"/>
                <w:b w:val="0"/>
                <w:i w:val="0"/>
                <w:sz w:val="19"/>
              </w:rPr>
              <w:t>0.948 ± 0.004</w:t>
            </w:r>
          </w:p>
        </w:tc>
        <w:tc>
          <w:tcPr>
            <w:tcW w:type="dxa" w:w="2592"/>
            <w:shd w:val="clear" w:color="auto" w:fill="F2F4F7"/>
          </w:tcPr>
          <w:p>
            <w:pPr>
              <w:jc w:val="center"/>
            </w:pPr>
            <w:r>
              <w:rPr>
                <w:rFonts w:ascii="Times New Roman" w:hAnsi="Times New Roman"/>
                <w:b w:val="0"/>
                <w:i w:val="0"/>
                <w:sz w:val="19"/>
              </w:rPr>
              <w:t>0.767 ± 0.053</w:t>
            </w:r>
          </w:p>
        </w:tc>
      </w:tr>
      <w:tr>
        <w:tc>
          <w:tcPr>
            <w:tcW w:type="dxa" w:w="1728"/>
          </w:tcPr>
          <w:p>
            <w:pPr>
              <w:jc w:val="center"/>
            </w:pPr>
            <w:r>
              <w:rPr>
                <w:rFonts w:ascii="Times New Roman" w:hAnsi="Times New Roman"/>
                <w:b w:val="0"/>
                <w:i w:val="0"/>
                <w:sz w:val="19"/>
              </w:rPr>
              <w:t>cold_drug</w:t>
            </w:r>
          </w:p>
        </w:tc>
        <w:tc>
          <w:tcPr>
            <w:tcW w:type="dxa" w:w="2160"/>
          </w:tcPr>
          <w:p>
            <w:pPr>
              <w:jc w:val="center"/>
            </w:pPr>
            <w:r>
              <w:rPr>
                <w:rFonts w:ascii="Times New Roman" w:hAnsi="Times New Roman"/>
                <w:b/>
                <w:i w:val="0"/>
                <w:sz w:val="19"/>
              </w:rPr>
              <w:t>0.913 ± 0.009</w:t>
            </w:r>
          </w:p>
        </w:tc>
        <w:tc>
          <w:tcPr>
            <w:tcW w:type="dxa" w:w="2160"/>
          </w:tcPr>
          <w:p>
            <w:pPr>
              <w:jc w:val="center"/>
            </w:pPr>
            <w:r>
              <w:rPr>
                <w:rFonts w:ascii="Times New Roman" w:hAnsi="Times New Roman"/>
                <w:b w:val="0"/>
                <w:i w:val="0"/>
                <w:sz w:val="19"/>
              </w:rPr>
              <w:t>0.907 ± 0.006</w:t>
            </w:r>
          </w:p>
        </w:tc>
        <w:tc>
          <w:tcPr>
            <w:tcW w:type="dxa" w:w="2592"/>
          </w:tcPr>
          <w:p>
            <w:pPr>
              <w:jc w:val="center"/>
            </w:pPr>
            <w:r>
              <w:rPr>
                <w:rFonts w:ascii="Times New Roman" w:hAnsi="Times New Roman"/>
                <w:b w:val="0"/>
                <w:i w:val="0"/>
                <w:sz w:val="19"/>
              </w:rPr>
              <w:t>0.775 ± 0.047</w:t>
            </w:r>
          </w:p>
        </w:tc>
      </w:tr>
      <w:tr>
        <w:tc>
          <w:tcPr>
            <w:tcW w:type="dxa" w:w="1728"/>
            <w:shd w:val="clear" w:color="auto" w:fill="F2F4F7"/>
          </w:tcPr>
          <w:p>
            <w:pPr>
              <w:jc w:val="center"/>
            </w:pPr>
            <w:r>
              <w:rPr>
                <w:rFonts w:ascii="Times New Roman" w:hAnsi="Times New Roman"/>
                <w:b w:val="0"/>
                <w:i w:val="0"/>
                <w:sz w:val="19"/>
              </w:rPr>
              <w:t>cold_target</w:t>
            </w:r>
          </w:p>
        </w:tc>
        <w:tc>
          <w:tcPr>
            <w:tcW w:type="dxa" w:w="2160"/>
            <w:shd w:val="clear" w:color="auto" w:fill="F2F4F7"/>
          </w:tcPr>
          <w:p>
            <w:pPr>
              <w:jc w:val="center"/>
            </w:pPr>
            <w:r>
              <w:rPr>
                <w:rFonts w:ascii="Times New Roman" w:hAnsi="Times New Roman"/>
                <w:b w:val="0"/>
                <w:i w:val="0"/>
                <w:sz w:val="19"/>
              </w:rPr>
              <w:t>0.778 ± 0.014</w:t>
            </w:r>
          </w:p>
        </w:tc>
        <w:tc>
          <w:tcPr>
            <w:tcW w:type="dxa" w:w="2160"/>
            <w:shd w:val="clear" w:color="auto" w:fill="F2F4F7"/>
          </w:tcPr>
          <w:p>
            <w:pPr>
              <w:jc w:val="center"/>
            </w:pPr>
            <w:r>
              <w:rPr>
                <w:rFonts w:ascii="Times New Roman" w:hAnsi="Times New Roman"/>
                <w:b/>
                <w:i w:val="0"/>
                <w:sz w:val="19"/>
              </w:rPr>
              <w:t>0.813 ± 0.013</w:t>
            </w:r>
          </w:p>
        </w:tc>
        <w:tc>
          <w:tcPr>
            <w:tcW w:type="dxa" w:w="2592"/>
            <w:shd w:val="clear" w:color="auto" w:fill="F2F4F7"/>
          </w:tcPr>
          <w:p>
            <w:pPr>
              <w:jc w:val="center"/>
            </w:pPr>
            <w:r>
              <w:rPr>
                <w:rFonts w:ascii="Times New Roman" w:hAnsi="Times New Roman"/>
                <w:b w:val="0"/>
                <w:i w:val="0"/>
                <w:sz w:val="19"/>
              </w:rPr>
              <w:t>0.362 ± 0.055 ‼</w:t>
            </w:r>
          </w:p>
        </w:tc>
      </w:tr>
      <w:tr>
        <w:tc>
          <w:tcPr>
            <w:tcW w:type="dxa" w:w="1728"/>
          </w:tcPr>
          <w:p>
            <w:pPr>
              <w:jc w:val="center"/>
            </w:pPr>
            <w:r>
              <w:rPr>
                <w:rFonts w:ascii="Times New Roman" w:hAnsi="Times New Roman"/>
                <w:b w:val="0"/>
                <w:i w:val="0"/>
                <w:sz w:val="19"/>
              </w:rPr>
              <w:t>cold_pair</w:t>
            </w:r>
          </w:p>
        </w:tc>
        <w:tc>
          <w:tcPr>
            <w:tcW w:type="dxa" w:w="2160"/>
          </w:tcPr>
          <w:p>
            <w:pPr>
              <w:jc w:val="center"/>
            </w:pPr>
            <w:r>
              <w:rPr>
                <w:rFonts w:ascii="Times New Roman" w:hAnsi="Times New Roman"/>
                <w:b/>
                <w:i w:val="0"/>
                <w:sz w:val="19"/>
              </w:rPr>
              <w:t>0.948 ± 0.002</w:t>
            </w:r>
          </w:p>
        </w:tc>
        <w:tc>
          <w:tcPr>
            <w:tcW w:type="dxa" w:w="2160"/>
          </w:tcPr>
          <w:p>
            <w:pPr>
              <w:jc w:val="center"/>
            </w:pPr>
            <w:r>
              <w:rPr>
                <w:rFonts w:ascii="Times New Roman" w:hAnsi="Times New Roman"/>
                <w:b w:val="0"/>
                <w:i w:val="0"/>
                <w:sz w:val="19"/>
              </w:rPr>
              <w:t>0.943 ± 0.005</w:t>
            </w:r>
          </w:p>
        </w:tc>
        <w:tc>
          <w:tcPr>
            <w:tcW w:type="dxa" w:w="2592"/>
          </w:tcPr>
          <w:p>
            <w:pPr>
              <w:jc w:val="center"/>
            </w:pPr>
            <w:r>
              <w:rPr>
                <w:rFonts w:ascii="Times New Roman" w:hAnsi="Times New Roman"/>
                <w:b w:val="0"/>
                <w:i w:val="0"/>
                <w:sz w:val="19"/>
              </w:rPr>
              <w:t>0.859 ± 0.016</w:t>
            </w:r>
          </w:p>
        </w:tc>
      </w:tr>
    </w:tbl>
    <w:p/>
    <w:p>
      <w:pPr>
        <w:spacing w:before="40" w:after="160"/>
        <w:jc w:val="center"/>
      </w:pPr>
      <w:r>
        <w:rPr>
          <w:rFonts w:ascii="Times New Roman" w:hAnsi="Times New Roman"/>
          <w:b w:val="0"/>
          <w:i/>
          <w:sz w:val="20"/>
        </w:rPr>
        <w:t>Table 4.4: AUROC on Luo_17. ‼ = near-random (transductive baseline fails cold_target).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28"/>
            <w:shd w:val="clear" w:color="auto" w:fill="1A375C"/>
            <w:vAlign w:val="center"/>
          </w:tcPr>
          <w:p>
            <w:pPr>
              <w:jc w:val="center"/>
            </w:pPr>
            <w:r>
              <w:rPr>
                <w:rFonts w:ascii="Times New Roman" w:hAnsi="Times New Roman"/>
                <w:b/>
                <w:i w:val="0"/>
                <w:color w:val="FFFFFF"/>
                <w:sz w:val="19"/>
              </w:rPr>
              <w:t>Split</w:t>
            </w:r>
          </w:p>
        </w:tc>
        <w:tc>
          <w:tcPr>
            <w:tcW w:type="dxa" w:w="2160"/>
            <w:shd w:val="clear" w:color="auto" w:fill="1A375C"/>
            <w:vAlign w:val="center"/>
          </w:tcPr>
          <w:p>
            <w:pPr>
              <w:jc w:val="center"/>
            </w:pPr>
            <w:r>
              <w:rPr>
                <w:rFonts w:ascii="Times New Roman" w:hAnsi="Times New Roman"/>
                <w:b/>
                <w:i w:val="0"/>
                <w:color w:val="FFFFFF"/>
                <w:sz w:val="19"/>
              </w:rPr>
              <w:t>H-GNN-RNN-DTI</w:t>
            </w:r>
          </w:p>
        </w:tc>
        <w:tc>
          <w:tcPr>
            <w:tcW w:type="dxa" w:w="2160"/>
            <w:shd w:val="clear" w:color="auto" w:fill="1A375C"/>
            <w:vAlign w:val="center"/>
          </w:tcPr>
          <w:p>
            <w:pPr>
              <w:jc w:val="center"/>
            </w:pPr>
            <w:r>
              <w:rPr>
                <w:rFonts w:ascii="Times New Roman" w:hAnsi="Times New Roman"/>
                <w:b/>
                <w:i w:val="0"/>
                <w:color w:val="FFFFFF"/>
                <w:sz w:val="19"/>
              </w:rPr>
              <w:t>ConcatBaseline</w:t>
            </w:r>
          </w:p>
        </w:tc>
        <w:tc>
          <w:tcPr>
            <w:tcW w:type="dxa" w:w="2592"/>
            <w:shd w:val="clear" w:color="auto" w:fill="1A375C"/>
            <w:vAlign w:val="center"/>
          </w:tcPr>
          <w:p>
            <w:pPr>
              <w:jc w:val="center"/>
            </w:pPr>
            <w:r>
              <w:rPr>
                <w:rFonts w:ascii="Times New Roman" w:hAnsi="Times New Roman"/>
                <w:b/>
                <w:i w:val="0"/>
                <w:color w:val="FFFFFF"/>
                <w:sz w:val="19"/>
              </w:rPr>
              <w:t>DTKGIN (re-impl.)</w:t>
            </w:r>
          </w:p>
        </w:tc>
      </w:tr>
      <w:tr>
        <w:tc>
          <w:tcPr>
            <w:tcW w:type="dxa" w:w="1728"/>
            <w:shd w:val="clear" w:color="auto" w:fill="F2F4F7"/>
          </w:tcPr>
          <w:p>
            <w:pPr>
              <w:jc w:val="center"/>
            </w:pPr>
            <w:r>
              <w:rPr>
                <w:rFonts w:ascii="Times New Roman" w:hAnsi="Times New Roman"/>
                <w:b w:val="0"/>
                <w:i w:val="0"/>
                <w:sz w:val="19"/>
              </w:rPr>
              <w:t>random</w:t>
            </w:r>
          </w:p>
        </w:tc>
        <w:tc>
          <w:tcPr>
            <w:tcW w:type="dxa" w:w="2160"/>
            <w:shd w:val="clear" w:color="auto" w:fill="F2F4F7"/>
          </w:tcPr>
          <w:p>
            <w:pPr>
              <w:jc w:val="center"/>
            </w:pPr>
            <w:r>
              <w:rPr>
                <w:rFonts w:ascii="Times New Roman" w:hAnsi="Times New Roman"/>
                <w:b w:val="0"/>
                <w:i w:val="0"/>
                <w:sz w:val="19"/>
              </w:rPr>
              <w:t>0.756 ± 0.125</w:t>
            </w:r>
          </w:p>
        </w:tc>
        <w:tc>
          <w:tcPr>
            <w:tcW w:type="dxa" w:w="2160"/>
            <w:shd w:val="clear" w:color="auto" w:fill="F2F4F7"/>
          </w:tcPr>
          <w:p>
            <w:pPr>
              <w:jc w:val="center"/>
            </w:pPr>
            <w:r>
              <w:rPr>
                <w:rFonts w:ascii="Times New Roman" w:hAnsi="Times New Roman"/>
                <w:b w:val="0"/>
                <w:i w:val="0"/>
                <w:sz w:val="19"/>
              </w:rPr>
              <w:t>0.559 ± 0.093</w:t>
            </w:r>
          </w:p>
        </w:tc>
        <w:tc>
          <w:tcPr>
            <w:tcW w:type="dxa" w:w="2592"/>
            <w:shd w:val="clear" w:color="auto" w:fill="F2F4F7"/>
          </w:tcPr>
          <w:p>
            <w:pPr>
              <w:jc w:val="center"/>
            </w:pPr>
            <w:r>
              <w:rPr>
                <w:rFonts w:ascii="Times New Roman" w:hAnsi="Times New Roman"/>
                <w:b/>
                <w:i w:val="0"/>
                <w:sz w:val="19"/>
              </w:rPr>
              <w:t>0.869 ± 0.011</w:t>
            </w:r>
          </w:p>
        </w:tc>
      </w:tr>
      <w:tr>
        <w:tc>
          <w:tcPr>
            <w:tcW w:type="dxa" w:w="1728"/>
          </w:tcPr>
          <w:p>
            <w:pPr>
              <w:jc w:val="center"/>
            </w:pPr>
            <w:r>
              <w:rPr>
                <w:rFonts w:ascii="Times New Roman" w:hAnsi="Times New Roman"/>
                <w:b w:val="0"/>
                <w:i w:val="0"/>
                <w:sz w:val="19"/>
              </w:rPr>
              <w:t>cold_drug</w:t>
            </w:r>
          </w:p>
        </w:tc>
        <w:tc>
          <w:tcPr>
            <w:tcW w:type="dxa" w:w="2160"/>
          </w:tcPr>
          <w:p>
            <w:pPr>
              <w:jc w:val="center"/>
            </w:pPr>
            <w:r>
              <w:rPr>
                <w:rFonts w:ascii="Times New Roman" w:hAnsi="Times New Roman"/>
                <w:b/>
                <w:i w:val="0"/>
                <w:sz w:val="19"/>
              </w:rPr>
              <w:t>0.774 ± 0.011</w:t>
            </w:r>
          </w:p>
        </w:tc>
        <w:tc>
          <w:tcPr>
            <w:tcW w:type="dxa" w:w="2160"/>
          </w:tcPr>
          <w:p>
            <w:pPr>
              <w:jc w:val="center"/>
            </w:pPr>
            <w:r>
              <w:rPr>
                <w:rFonts w:ascii="Times New Roman" w:hAnsi="Times New Roman"/>
                <w:b w:val="0"/>
                <w:i w:val="0"/>
                <w:sz w:val="19"/>
              </w:rPr>
              <w:t>0.638 ± 0.041</w:t>
            </w:r>
          </w:p>
        </w:tc>
        <w:tc>
          <w:tcPr>
            <w:tcW w:type="dxa" w:w="2592"/>
          </w:tcPr>
          <w:p>
            <w:pPr>
              <w:jc w:val="center"/>
            </w:pPr>
            <w:r>
              <w:rPr>
                <w:rFonts w:ascii="Times New Roman" w:hAnsi="Times New Roman"/>
                <w:b w:val="0"/>
                <w:i w:val="0"/>
                <w:sz w:val="19"/>
              </w:rPr>
              <w:t>0.747 ± 0.100</w:t>
            </w:r>
          </w:p>
        </w:tc>
      </w:tr>
      <w:tr>
        <w:tc>
          <w:tcPr>
            <w:tcW w:type="dxa" w:w="1728"/>
            <w:shd w:val="clear" w:color="auto" w:fill="F2F4F7"/>
          </w:tcPr>
          <w:p>
            <w:pPr>
              <w:jc w:val="center"/>
            </w:pPr>
            <w:r>
              <w:rPr>
                <w:rFonts w:ascii="Times New Roman" w:hAnsi="Times New Roman"/>
                <w:b w:val="0"/>
                <w:i w:val="0"/>
                <w:sz w:val="19"/>
              </w:rPr>
              <w:t>cold_target</w:t>
            </w:r>
          </w:p>
        </w:tc>
        <w:tc>
          <w:tcPr>
            <w:tcW w:type="dxa" w:w="2160"/>
            <w:shd w:val="clear" w:color="auto" w:fill="F2F4F7"/>
          </w:tcPr>
          <w:p>
            <w:pPr>
              <w:jc w:val="center"/>
            </w:pPr>
            <w:r>
              <w:rPr>
                <w:rFonts w:ascii="Times New Roman" w:hAnsi="Times New Roman"/>
                <w:b w:val="0"/>
                <w:i w:val="0"/>
                <w:sz w:val="19"/>
              </w:rPr>
              <w:t>0.438 ± 0.045</w:t>
            </w:r>
          </w:p>
        </w:tc>
        <w:tc>
          <w:tcPr>
            <w:tcW w:type="dxa" w:w="2160"/>
            <w:shd w:val="clear" w:color="auto" w:fill="F2F4F7"/>
          </w:tcPr>
          <w:p>
            <w:pPr>
              <w:jc w:val="center"/>
            </w:pPr>
            <w:r>
              <w:rPr>
                <w:rFonts w:ascii="Times New Roman" w:hAnsi="Times New Roman"/>
                <w:b w:val="0"/>
                <w:i w:val="0"/>
                <w:sz w:val="19"/>
              </w:rPr>
              <w:t>0.415 ± 0.123</w:t>
            </w:r>
          </w:p>
        </w:tc>
        <w:tc>
          <w:tcPr>
            <w:tcW w:type="dxa" w:w="2592"/>
            <w:shd w:val="clear" w:color="auto" w:fill="F2F4F7"/>
          </w:tcPr>
          <w:p>
            <w:pPr>
              <w:jc w:val="center"/>
            </w:pPr>
            <w:r>
              <w:rPr>
                <w:rFonts w:ascii="Times New Roman" w:hAnsi="Times New Roman"/>
                <w:b w:val="0"/>
                <w:i w:val="0"/>
                <w:sz w:val="19"/>
              </w:rPr>
              <w:t>0.557 ± 0.082</w:t>
            </w:r>
          </w:p>
        </w:tc>
      </w:tr>
      <w:tr>
        <w:tc>
          <w:tcPr>
            <w:tcW w:type="dxa" w:w="1728"/>
          </w:tcPr>
          <w:p>
            <w:pPr>
              <w:jc w:val="center"/>
            </w:pPr>
            <w:r>
              <w:rPr>
                <w:rFonts w:ascii="Times New Roman" w:hAnsi="Times New Roman"/>
                <w:b w:val="0"/>
                <w:i w:val="0"/>
                <w:sz w:val="19"/>
              </w:rPr>
              <w:t>cold_pair</w:t>
            </w:r>
          </w:p>
        </w:tc>
        <w:tc>
          <w:tcPr>
            <w:tcW w:type="dxa" w:w="2160"/>
          </w:tcPr>
          <w:p>
            <w:pPr>
              <w:jc w:val="center"/>
            </w:pPr>
            <w:r>
              <w:rPr>
                <w:rFonts w:ascii="Times New Roman" w:hAnsi="Times New Roman"/>
                <w:b w:val="0"/>
                <w:i w:val="0"/>
                <w:sz w:val="19"/>
              </w:rPr>
              <w:t>0.746 ± 0.054</w:t>
            </w:r>
          </w:p>
        </w:tc>
        <w:tc>
          <w:tcPr>
            <w:tcW w:type="dxa" w:w="2160"/>
          </w:tcPr>
          <w:p>
            <w:pPr>
              <w:jc w:val="center"/>
            </w:pPr>
            <w:r>
              <w:rPr>
                <w:rFonts w:ascii="Times New Roman" w:hAnsi="Times New Roman"/>
                <w:b w:val="0"/>
                <w:i w:val="0"/>
                <w:sz w:val="19"/>
              </w:rPr>
              <w:t>0.631 ± 0.021</w:t>
            </w:r>
          </w:p>
        </w:tc>
        <w:tc>
          <w:tcPr>
            <w:tcW w:type="dxa" w:w="2592"/>
          </w:tcPr>
          <w:p>
            <w:pPr>
              <w:jc w:val="center"/>
            </w:pPr>
            <w:r>
              <w:rPr>
                <w:rFonts w:ascii="Times New Roman" w:hAnsi="Times New Roman"/>
                <w:b/>
                <w:i w:val="0"/>
                <w:sz w:val="19"/>
              </w:rPr>
              <w:t>0.863 ± 0.015</w:t>
            </w:r>
          </w:p>
        </w:tc>
      </w:tr>
    </w:tbl>
    <w:p/>
    <w:p>
      <w:pPr>
        <w:spacing w:before="40" w:after="160"/>
        <w:jc w:val="center"/>
      </w:pPr>
      <w:r>
        <w:rPr>
          <w:rFonts w:ascii="Times New Roman" w:hAnsi="Times New Roman"/>
          <w:b w:val="0"/>
          <w:i/>
          <w:sz w:val="20"/>
        </w:rPr>
        <w:t>Table 4.5: AUROC on Yamanishi_e.</w:t>
      </w:r>
    </w:p>
    <w:p>
      <w:pPr>
        <w:spacing w:after="80"/>
        <w:ind w:left="0"/>
        <w:jc w:val="both"/>
      </w:pPr>
      <w:r>
        <w:rPr>
          <w:rFonts w:ascii="Times New Roman" w:hAnsi="Times New Roman"/>
          <w:b w:val="0"/>
          <w:i w:val="0"/>
          <w:sz w:val="22"/>
        </w:rPr>
        <w:t>H-GNN-RNN-DTI outperforms GSRF-DTI on all four Luo_17 splits. The gap is dramatic on cold_target (0.778 vs. 0.362): GSRF-DTI is transductive — it requires the PPI network to embed proteins and cannot generalise to cold proteins absent from the network. H-GNN-RNN-DTI processes each protein independently from its sequence embedding, enabling cold-target prediction. This is a fundamental architectural advantage for prospective drug discovery.</w:t>
      </w:r>
    </w:p>
    <w:p>
      <w:pPr>
        <w:spacing w:after="80"/>
        <w:ind w:left="0"/>
        <w:jc w:val="both"/>
      </w:pPr>
      <w:r>
        <w:rPr>
          <w:rFonts w:ascii="Times New Roman" w:hAnsi="Times New Roman"/>
          <w:b w:val="0"/>
          <w:i w:val="0"/>
          <w:sz w:val="22"/>
        </w:rPr>
        <w:t>On Yamanishi_e, DTKGIN outperforms H-GNN-RNN-DTI on random, cold_target, and cold_pair. This is attributable to DTKGIN's use of drug chemical similarity edges — on a small dataset (68 drugs), collaborative filtering through structural similarity is powerful. However, H-GNN-RNN-DTI leads on cold_drug (0.774 vs. 0.747), which is the most practically important cold-start scenario for drug discovery. Critically, H-GNN-RNN-DTI shows substantially lower variance on cold_drug (±0.011 vs. DTKGIN ±0.100), indicating greater stability across seeds.</w:t>
      </w:r>
    </w:p>
    <w:p>
      <w:pPr>
        <w:spacing w:before="160" w:after="60"/>
      </w:pPr>
      <w:r>
        <w:rPr>
          <w:rFonts w:ascii="Times New Roman" w:hAnsi="Times New Roman"/>
          <w:b/>
          <w:i/>
          <w:color w:val="C06A00"/>
          <w:sz w:val="24"/>
        </w:rPr>
        <w:t>4.2.5 Cross-Dataset Generalisation</w:t>
      </w:r>
    </w:p>
    <w:p>
      <w:pPr>
        <w:spacing w:after="80"/>
        <w:ind w:left="0"/>
        <w:jc w:val="both"/>
      </w:pPr>
      <w:r>
        <w:rPr>
          <w:rFonts w:ascii="Times New Roman" w:hAnsi="Times New Roman"/>
          <w:b w:val="0"/>
          <w:i w:val="0"/>
          <w:sz w:val="22"/>
        </w:rPr>
        <w:t>To assess zero-shot transfer, H-GNN-RNN-DTI trained on Luo_17 (random split) was evaluated on all of Yamanishi_e (zero overlap in drugs or proteins). Cross-dataset AUROC was 0.508 ± 0.020 — indistinguishable from random (0.5). This is the expected and interpretable result: H-GNN-RNN-DTI is a discriminative model that learns which molecular graphs and protein embeddings correspond to interactions in the training distribution. With zero drug-protein overlap between datasets, no transfer is possible. This finding motivates future domain-adaptive pre-training strategies.</w:t>
      </w:r>
    </w:p>
    <w:p>
      <w:pPr>
        <w:spacing w:before="160" w:after="60"/>
      </w:pPr>
      <w:r>
        <w:rPr>
          <w:rFonts w:ascii="Times New Roman" w:hAnsi="Times New Roman"/>
          <w:b/>
          <w:i/>
          <w:color w:val="C06A00"/>
          <w:sz w:val="24"/>
        </w:rPr>
        <w:t>4.2.6 Discussion: Objective 1</w:t>
      </w:r>
    </w:p>
    <w:p>
      <w:pPr>
        <w:spacing w:after="80"/>
        <w:ind w:left="0"/>
        <w:jc w:val="both"/>
      </w:pPr>
      <w:r>
        <w:rPr>
          <w:rFonts w:ascii="Times New Roman" w:hAnsi="Times New Roman"/>
          <w:b w:val="0"/>
          <w:i w:val="0"/>
          <w:sz w:val="22"/>
        </w:rPr>
        <w:t>The results establish three key findings for Objective 1. First, Gated Cross-Attention provides a significant and consistent benefit over concatenation fusion on small, sparse datasets and cold-start splits where bidirectional attention enables structural regularisation. Second, both encoders contribute symmetrically: the drug GNN drives cold_drug generalisation and the protein BiGRU drives cold_target generalisation. Third, the fully inductive design provides a 2.15× advantage over GSRF-DTI on the cold_target scenario (0.778 vs. 0.362), confirming that sequence-based protein encoding is essential for prospective prediction of interactions involving novel protein targets.</w:t>
      </w:r>
    </w:p>
    <w:p>
      <w:pPr>
        <w:spacing w:before="240" w:after="80"/>
        <w:jc w:val="left"/>
      </w:pPr>
      <w:r>
        <w:rPr>
          <w:rFonts w:ascii="Times New Roman" w:hAnsi="Times New Roman"/>
          <w:b/>
          <w:i w:val="0"/>
          <w:color w:val="007B8A"/>
          <w:sz w:val="26"/>
        </w:rPr>
        <w:t>4.3 Objective 2: Enhancement Strategies for Cold-Start Generalisation</w:t>
      </w:r>
    </w:p>
    <w:p>
      <w:pPr>
        <w:spacing w:after="80"/>
        <w:ind w:left="0"/>
        <w:jc w:val="both"/>
      </w:pPr>
      <w:r>
        <w:rPr>
          <w:rFonts w:ascii="Times New Roman" w:hAnsi="Times New Roman"/>
          <w:b w:val="0"/>
          <w:i w:val="0"/>
          <w:sz w:val="22"/>
        </w:rPr>
        <w:t>Objective 2 evaluated three complementary enhancement strategies: (Phase 2) imbalance-aware training through negative-sampling ratio and loss function adjustment; (Phase 1) larger protein language model embeddings (ESM-2 150M); and (Phase 3) BindingDB pre-training. A combined sequential ablation (C0→C1→C2→C3) assessed whether improvements are additive.</w:t>
      </w:r>
    </w:p>
    <w:p>
      <w:pPr>
        <w:spacing w:before="160" w:after="60"/>
      </w:pPr>
      <w:r>
        <w:rPr>
          <w:rFonts w:ascii="Times New Roman" w:hAnsi="Times New Roman"/>
          <w:b/>
          <w:i/>
          <w:color w:val="C06A00"/>
          <w:sz w:val="24"/>
        </w:rPr>
        <w:t>4.3.1 Phase 2: Imbalance-Aware Training — Negative Sampling Ratio</w:t>
      </w:r>
    </w:p>
    <w:p>
      <w:pPr>
        <w:spacing w:after="80"/>
        <w:ind w:left="0"/>
        <w:jc w:val="both"/>
      </w:pPr>
      <w:r>
        <w:rPr>
          <w:rFonts w:ascii="Times New Roman" w:hAnsi="Times New Roman"/>
          <w:b w:val="0"/>
          <w:i w:val="0"/>
          <w:sz w:val="22"/>
        </w:rPr>
        <w:t>Table 4.6 reports AUROC for ratio sweep configurations (1:1 baseline, 1:5 and 1:10 negative sampling) and loss function variants at 1:1 ratio.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304"/>
            <w:shd w:val="clear" w:color="auto" w:fill="1A375C"/>
            <w:vAlign w:val="center"/>
          </w:tcPr>
          <w:p>
            <w:pPr>
              <w:jc w:val="center"/>
            </w:pPr>
            <w:r>
              <w:rPr>
                <w:rFonts w:ascii="Times New Roman" w:hAnsi="Times New Roman"/>
                <w:b/>
                <w:i w:val="0"/>
                <w:color w:val="FFFFFF"/>
                <w:sz w:val="19"/>
              </w:rPr>
              <w:t>Config</w:t>
            </w:r>
          </w:p>
        </w:tc>
        <w:tc>
          <w:tcPr>
            <w:tcW w:type="dxa" w:w="1728"/>
            <w:shd w:val="clear" w:color="auto" w:fill="1A375C"/>
            <w:vAlign w:val="center"/>
          </w:tcPr>
          <w:p>
            <w:pPr>
              <w:jc w:val="center"/>
            </w:pPr>
            <w:r>
              <w:rPr>
                <w:rFonts w:ascii="Times New Roman" w:hAnsi="Times New Roman"/>
                <w:b/>
                <w:i w:val="0"/>
                <w:color w:val="FFFFFF"/>
                <w:sz w:val="19"/>
              </w:rPr>
              <w:t>yam. random</w:t>
            </w:r>
          </w:p>
        </w:tc>
        <w:tc>
          <w:tcPr>
            <w:tcW w:type="dxa" w:w="1872"/>
            <w:shd w:val="clear" w:color="auto" w:fill="1A375C"/>
            <w:vAlign w:val="center"/>
          </w:tcPr>
          <w:p>
            <w:pPr>
              <w:jc w:val="center"/>
            </w:pPr>
            <w:r>
              <w:rPr>
                <w:rFonts w:ascii="Times New Roman" w:hAnsi="Times New Roman"/>
                <w:b/>
                <w:i w:val="0"/>
                <w:color w:val="FFFFFF"/>
                <w:sz w:val="19"/>
              </w:rPr>
              <w:t>yam. cold_drug</w:t>
            </w:r>
          </w:p>
        </w:tc>
        <w:tc>
          <w:tcPr>
            <w:tcW w:type="dxa" w:w="2016"/>
            <w:shd w:val="clear" w:color="auto" w:fill="1A375C"/>
            <w:vAlign w:val="center"/>
          </w:tcPr>
          <w:p>
            <w:pPr>
              <w:jc w:val="center"/>
            </w:pPr>
            <w:r>
              <w:rPr>
                <w:rFonts w:ascii="Times New Roman" w:hAnsi="Times New Roman"/>
                <w:b/>
                <w:i w:val="0"/>
                <w:color w:val="FFFFFF"/>
                <w:sz w:val="19"/>
              </w:rPr>
              <w:t>yam. cold_target</w:t>
            </w:r>
          </w:p>
        </w:tc>
        <w:tc>
          <w:tcPr>
            <w:tcW w:type="dxa" w:w="1872"/>
            <w:shd w:val="clear" w:color="auto" w:fill="1A375C"/>
            <w:vAlign w:val="center"/>
          </w:tcPr>
          <w:p>
            <w:pPr>
              <w:jc w:val="center"/>
            </w:pPr>
            <w:r>
              <w:rPr>
                <w:rFonts w:ascii="Times New Roman" w:hAnsi="Times New Roman"/>
                <w:b/>
                <w:i w:val="0"/>
                <w:color w:val="FFFFFF"/>
                <w:sz w:val="19"/>
              </w:rPr>
              <w:t>yam. cold_pair</w:t>
            </w:r>
          </w:p>
        </w:tc>
      </w:tr>
      <w:tr>
        <w:tc>
          <w:tcPr>
            <w:tcW w:type="dxa" w:w="2304"/>
            <w:shd w:val="clear" w:color="auto" w:fill="F2F4F7"/>
          </w:tcPr>
          <w:p>
            <w:pPr>
              <w:jc w:val="center"/>
            </w:pPr>
            <w:r>
              <w:rPr>
                <w:rFonts w:ascii="Times New Roman" w:hAnsi="Times New Roman"/>
                <w:b w:val="0"/>
                <w:i w:val="0"/>
                <w:sz w:val="19"/>
              </w:rPr>
              <w:t>C0 (1:1, Focal γ=2)</w:t>
            </w:r>
          </w:p>
        </w:tc>
        <w:tc>
          <w:tcPr>
            <w:tcW w:type="dxa" w:w="1728"/>
            <w:shd w:val="clear" w:color="auto" w:fill="F2F4F7"/>
          </w:tcPr>
          <w:p>
            <w:pPr>
              <w:jc w:val="center"/>
            </w:pPr>
            <w:r>
              <w:rPr>
                <w:rFonts w:ascii="Times New Roman" w:hAnsi="Times New Roman"/>
                <w:b w:val="0"/>
                <w:i w:val="0"/>
                <w:sz w:val="19"/>
              </w:rPr>
              <w:t>0.756±0.125</w:t>
            </w:r>
          </w:p>
        </w:tc>
        <w:tc>
          <w:tcPr>
            <w:tcW w:type="dxa" w:w="1872"/>
            <w:shd w:val="clear" w:color="auto" w:fill="F2F4F7"/>
          </w:tcPr>
          <w:p>
            <w:pPr>
              <w:jc w:val="center"/>
            </w:pPr>
            <w:r>
              <w:rPr>
                <w:rFonts w:ascii="Times New Roman" w:hAnsi="Times New Roman"/>
                <w:b w:val="0"/>
                <w:i w:val="0"/>
                <w:sz w:val="19"/>
              </w:rPr>
              <w:t>0.774±0.011</w:t>
            </w:r>
          </w:p>
        </w:tc>
        <w:tc>
          <w:tcPr>
            <w:tcW w:type="dxa" w:w="2016"/>
            <w:shd w:val="clear" w:color="auto" w:fill="F2F4F7"/>
          </w:tcPr>
          <w:p>
            <w:pPr>
              <w:jc w:val="center"/>
            </w:pPr>
            <w:r>
              <w:rPr>
                <w:rFonts w:ascii="Times New Roman" w:hAnsi="Times New Roman"/>
                <w:b w:val="0"/>
                <w:i w:val="0"/>
                <w:sz w:val="19"/>
              </w:rPr>
              <w:t>0.438±0.045</w:t>
            </w:r>
          </w:p>
        </w:tc>
        <w:tc>
          <w:tcPr>
            <w:tcW w:type="dxa" w:w="1872"/>
            <w:shd w:val="clear" w:color="auto" w:fill="F2F4F7"/>
          </w:tcPr>
          <w:p>
            <w:pPr>
              <w:jc w:val="center"/>
            </w:pPr>
            <w:r>
              <w:rPr>
                <w:rFonts w:ascii="Times New Roman" w:hAnsi="Times New Roman"/>
                <w:b w:val="0"/>
                <w:i w:val="0"/>
                <w:sz w:val="19"/>
              </w:rPr>
              <w:t>0.746±0.054</w:t>
            </w:r>
          </w:p>
        </w:tc>
      </w:tr>
      <w:tr>
        <w:tc>
          <w:tcPr>
            <w:tcW w:type="dxa" w:w="2304"/>
          </w:tcPr>
          <w:p>
            <w:pPr>
              <w:jc w:val="center"/>
            </w:pPr>
            <w:r>
              <w:rPr>
                <w:rFonts w:ascii="Times New Roman" w:hAnsi="Times New Roman"/>
                <w:b w:val="0"/>
                <w:i w:val="0"/>
                <w:sz w:val="19"/>
              </w:rPr>
              <w:t>P2-F (1:5, Focal γ=2)</w:t>
            </w:r>
          </w:p>
        </w:tc>
        <w:tc>
          <w:tcPr>
            <w:tcW w:type="dxa" w:w="1728"/>
          </w:tcPr>
          <w:p>
            <w:pPr>
              <w:jc w:val="center"/>
            </w:pPr>
            <w:r>
              <w:rPr>
                <w:rFonts w:ascii="Times New Roman" w:hAnsi="Times New Roman"/>
                <w:b w:val="0"/>
                <w:i w:val="0"/>
                <w:sz w:val="19"/>
              </w:rPr>
              <w:t>0.852±0.006</w:t>
            </w:r>
          </w:p>
        </w:tc>
        <w:tc>
          <w:tcPr>
            <w:tcW w:type="dxa" w:w="1872"/>
          </w:tcPr>
          <w:p>
            <w:pPr>
              <w:jc w:val="center"/>
            </w:pPr>
            <w:r>
              <w:rPr>
                <w:rFonts w:ascii="Times New Roman" w:hAnsi="Times New Roman"/>
                <w:b w:val="0"/>
                <w:i w:val="0"/>
                <w:sz w:val="19"/>
              </w:rPr>
              <w:t>0.816±0.016</w:t>
            </w:r>
          </w:p>
        </w:tc>
        <w:tc>
          <w:tcPr>
            <w:tcW w:type="dxa" w:w="2016"/>
          </w:tcPr>
          <w:p>
            <w:pPr>
              <w:jc w:val="center"/>
            </w:pPr>
            <w:r>
              <w:rPr>
                <w:rFonts w:ascii="Times New Roman" w:hAnsi="Times New Roman"/>
                <w:b w:val="0"/>
                <w:i w:val="0"/>
                <w:sz w:val="19"/>
              </w:rPr>
              <w:t>0.706±0.104</w:t>
            </w:r>
          </w:p>
        </w:tc>
        <w:tc>
          <w:tcPr>
            <w:tcW w:type="dxa" w:w="1872"/>
          </w:tcPr>
          <w:p>
            <w:pPr>
              <w:jc w:val="center"/>
            </w:pPr>
            <w:r>
              <w:rPr>
                <w:rFonts w:ascii="Times New Roman" w:hAnsi="Times New Roman"/>
                <w:b w:val="0"/>
                <w:i w:val="0"/>
                <w:sz w:val="19"/>
              </w:rPr>
              <w:t>0.819±0.019</w:t>
            </w:r>
          </w:p>
        </w:tc>
      </w:tr>
      <w:tr>
        <w:tc>
          <w:tcPr>
            <w:tcW w:type="dxa" w:w="2304"/>
            <w:shd w:val="clear" w:color="auto" w:fill="F2F4F7"/>
          </w:tcPr>
          <w:p>
            <w:pPr>
              <w:jc w:val="center"/>
            </w:pPr>
            <w:r>
              <w:rPr>
                <w:rFonts w:ascii="Times New Roman" w:hAnsi="Times New Roman"/>
                <w:b w:val="0"/>
                <w:i w:val="0"/>
                <w:sz w:val="19"/>
              </w:rPr>
              <w:t>P2-G (1:10, Focal γ=2)</w:t>
            </w:r>
          </w:p>
        </w:tc>
        <w:tc>
          <w:tcPr>
            <w:tcW w:type="dxa" w:w="1728"/>
            <w:shd w:val="clear" w:color="auto" w:fill="F2F4F7"/>
          </w:tcPr>
          <w:p>
            <w:pPr>
              <w:jc w:val="center"/>
            </w:pPr>
            <w:r>
              <w:rPr>
                <w:rFonts w:ascii="Times New Roman" w:hAnsi="Times New Roman"/>
                <w:b w:val="0"/>
                <w:i w:val="0"/>
                <w:sz w:val="19"/>
              </w:rPr>
              <w:t>0.867±0.032</w:t>
            </w:r>
          </w:p>
        </w:tc>
        <w:tc>
          <w:tcPr>
            <w:tcW w:type="dxa" w:w="1872"/>
            <w:shd w:val="clear" w:color="auto" w:fill="F2F4F7"/>
          </w:tcPr>
          <w:p>
            <w:pPr>
              <w:jc w:val="center"/>
            </w:pPr>
            <w:r>
              <w:rPr>
                <w:rFonts w:ascii="Times New Roman" w:hAnsi="Times New Roman"/>
                <w:b/>
                <w:i w:val="0"/>
                <w:sz w:val="19"/>
              </w:rPr>
              <w:t>0.904±0.016</w:t>
            </w:r>
          </w:p>
        </w:tc>
        <w:tc>
          <w:tcPr>
            <w:tcW w:type="dxa" w:w="2016"/>
            <w:shd w:val="clear" w:color="auto" w:fill="F2F4F7"/>
          </w:tcPr>
          <w:p>
            <w:pPr>
              <w:jc w:val="center"/>
            </w:pPr>
            <w:r>
              <w:rPr>
                <w:rFonts w:ascii="Times New Roman" w:hAnsi="Times New Roman"/>
                <w:b/>
                <w:i w:val="0"/>
                <w:sz w:val="19"/>
              </w:rPr>
              <w:t>0.735±0.024</w:t>
            </w:r>
          </w:p>
        </w:tc>
        <w:tc>
          <w:tcPr>
            <w:tcW w:type="dxa" w:w="1872"/>
            <w:shd w:val="clear" w:color="auto" w:fill="F2F4F7"/>
          </w:tcPr>
          <w:p>
            <w:pPr>
              <w:jc w:val="center"/>
            </w:pPr>
            <w:r>
              <w:rPr>
                <w:rFonts w:ascii="Times New Roman" w:hAnsi="Times New Roman"/>
                <w:b/>
                <w:i w:val="0"/>
                <w:sz w:val="19"/>
              </w:rPr>
              <w:t>0.882±0.006</w:t>
            </w:r>
          </w:p>
        </w:tc>
      </w:tr>
      <w:tr>
        <w:tc>
          <w:tcPr>
            <w:tcW w:type="dxa" w:w="2304"/>
          </w:tcPr>
          <w:p>
            <w:pPr>
              <w:jc w:val="center"/>
            </w:pPr>
            <w:r>
              <w:rPr>
                <w:rFonts w:ascii="Times New Roman" w:hAnsi="Times New Roman"/>
                <w:b w:val="0"/>
                <w:i w:val="0"/>
                <w:sz w:val="19"/>
              </w:rPr>
              <w:t>P2-B (WeightedBCE 1:1)</w:t>
            </w:r>
          </w:p>
        </w:tc>
        <w:tc>
          <w:tcPr>
            <w:tcW w:type="dxa" w:w="1728"/>
          </w:tcPr>
          <w:p>
            <w:pPr>
              <w:jc w:val="center"/>
            </w:pPr>
            <w:r>
              <w:rPr>
                <w:rFonts w:ascii="Times New Roman" w:hAnsi="Times New Roman"/>
                <w:b w:val="0"/>
                <w:i w:val="0"/>
                <w:sz w:val="19"/>
              </w:rPr>
              <w:t>0.744±0.122</w:t>
            </w:r>
          </w:p>
        </w:tc>
        <w:tc>
          <w:tcPr>
            <w:tcW w:type="dxa" w:w="1872"/>
          </w:tcPr>
          <w:p>
            <w:pPr>
              <w:jc w:val="center"/>
            </w:pPr>
            <w:r>
              <w:rPr>
                <w:rFonts w:ascii="Times New Roman" w:hAnsi="Times New Roman"/>
                <w:b w:val="0"/>
                <w:i w:val="0"/>
                <w:sz w:val="19"/>
              </w:rPr>
              <w:t>0.757±0.023</w:t>
            </w:r>
          </w:p>
        </w:tc>
        <w:tc>
          <w:tcPr>
            <w:tcW w:type="dxa" w:w="2016"/>
          </w:tcPr>
          <w:p>
            <w:pPr>
              <w:jc w:val="center"/>
            </w:pPr>
            <w:r>
              <w:rPr>
                <w:rFonts w:ascii="Times New Roman" w:hAnsi="Times New Roman"/>
                <w:b w:val="0"/>
                <w:i w:val="0"/>
                <w:sz w:val="19"/>
              </w:rPr>
              <w:t>0.402±0.037</w:t>
            </w:r>
          </w:p>
        </w:tc>
        <w:tc>
          <w:tcPr>
            <w:tcW w:type="dxa" w:w="1872"/>
          </w:tcPr>
          <w:p>
            <w:pPr>
              <w:jc w:val="center"/>
            </w:pPr>
            <w:r>
              <w:rPr>
                <w:rFonts w:ascii="Times New Roman" w:hAnsi="Times New Roman"/>
                <w:b w:val="0"/>
                <w:i w:val="0"/>
                <w:sz w:val="19"/>
              </w:rPr>
              <w:t>0.772±0.016</w:t>
            </w:r>
          </w:p>
        </w:tc>
      </w:tr>
      <w:tr>
        <w:tc>
          <w:tcPr>
            <w:tcW w:type="dxa" w:w="2304"/>
            <w:shd w:val="clear" w:color="auto" w:fill="F2F4F7"/>
          </w:tcPr>
          <w:p>
            <w:pPr>
              <w:jc w:val="center"/>
            </w:pPr>
            <w:r>
              <w:rPr>
                <w:rFonts w:ascii="Times New Roman" w:hAnsi="Times New Roman"/>
                <w:b w:val="0"/>
                <w:i w:val="0"/>
                <w:sz w:val="19"/>
              </w:rPr>
              <w:t>P2-D (Focal γ=3 1:1)</w:t>
            </w:r>
          </w:p>
        </w:tc>
        <w:tc>
          <w:tcPr>
            <w:tcW w:type="dxa" w:w="1728"/>
            <w:shd w:val="clear" w:color="auto" w:fill="F2F4F7"/>
          </w:tcPr>
          <w:p>
            <w:pPr>
              <w:jc w:val="center"/>
            </w:pPr>
            <w:r>
              <w:rPr>
                <w:rFonts w:ascii="Times New Roman" w:hAnsi="Times New Roman"/>
                <w:b w:val="0"/>
                <w:i w:val="0"/>
                <w:sz w:val="19"/>
              </w:rPr>
              <w:t>0.818±0.012</w:t>
            </w:r>
          </w:p>
        </w:tc>
        <w:tc>
          <w:tcPr>
            <w:tcW w:type="dxa" w:w="1872"/>
            <w:shd w:val="clear" w:color="auto" w:fill="F2F4F7"/>
          </w:tcPr>
          <w:p>
            <w:pPr>
              <w:jc w:val="center"/>
            </w:pPr>
            <w:r>
              <w:rPr>
                <w:rFonts w:ascii="Times New Roman" w:hAnsi="Times New Roman"/>
                <w:b w:val="0"/>
                <w:i w:val="0"/>
                <w:sz w:val="19"/>
              </w:rPr>
              <w:t>0.776±0.020</w:t>
            </w:r>
          </w:p>
        </w:tc>
        <w:tc>
          <w:tcPr>
            <w:tcW w:type="dxa" w:w="2016"/>
            <w:shd w:val="clear" w:color="auto" w:fill="F2F4F7"/>
          </w:tcPr>
          <w:p>
            <w:pPr>
              <w:jc w:val="center"/>
            </w:pPr>
            <w:r>
              <w:rPr>
                <w:rFonts w:ascii="Times New Roman" w:hAnsi="Times New Roman"/>
                <w:b w:val="0"/>
                <w:i w:val="0"/>
                <w:sz w:val="19"/>
              </w:rPr>
              <w:t>0.439±0.081</w:t>
            </w:r>
          </w:p>
        </w:tc>
        <w:tc>
          <w:tcPr>
            <w:tcW w:type="dxa" w:w="1872"/>
            <w:shd w:val="clear" w:color="auto" w:fill="F2F4F7"/>
          </w:tcPr>
          <w:p>
            <w:pPr>
              <w:jc w:val="center"/>
            </w:pPr>
            <w:r>
              <w:rPr>
                <w:rFonts w:ascii="Times New Roman" w:hAnsi="Times New Roman"/>
                <w:b w:val="0"/>
                <w:i w:val="0"/>
                <w:sz w:val="19"/>
              </w:rPr>
              <w:t>0.714±0.066</w:t>
            </w:r>
          </w:p>
        </w:tc>
      </w:tr>
    </w:tbl>
    <w:p/>
    <w:p>
      <w:pPr>
        <w:spacing w:before="40" w:after="160"/>
        <w:jc w:val="center"/>
      </w:pPr>
      <w:r>
        <w:rPr>
          <w:rFonts w:ascii="Times New Roman" w:hAnsi="Times New Roman"/>
          <w:b w:val="0"/>
          <w:i/>
          <w:sz w:val="20"/>
        </w:rPr>
        <w:t>Table 4.6: Phase 2 AUROC on Yamanishi_e (5 seeds). Bold = best per column.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016"/>
            <w:shd w:val="clear" w:color="auto" w:fill="1A375C"/>
            <w:vAlign w:val="center"/>
          </w:tcPr>
          <w:p>
            <w:pPr>
              <w:jc w:val="center"/>
            </w:pPr>
            <w:r>
              <w:rPr>
                <w:rFonts w:ascii="Times New Roman" w:hAnsi="Times New Roman"/>
                <w:b/>
                <w:i w:val="0"/>
                <w:color w:val="FFFFFF"/>
                <w:sz w:val="19"/>
              </w:rPr>
              <w:t>Config</w:t>
            </w:r>
          </w:p>
        </w:tc>
        <w:tc>
          <w:tcPr>
            <w:tcW w:type="dxa" w:w="1872"/>
            <w:shd w:val="clear" w:color="auto" w:fill="1A375C"/>
            <w:vAlign w:val="center"/>
          </w:tcPr>
          <w:p>
            <w:pPr>
              <w:jc w:val="center"/>
            </w:pPr>
            <w:r>
              <w:rPr>
                <w:rFonts w:ascii="Times New Roman" w:hAnsi="Times New Roman"/>
                <w:b/>
                <w:i w:val="0"/>
                <w:color w:val="FFFFFF"/>
                <w:sz w:val="19"/>
              </w:rPr>
              <w:t>luo_17 random</w:t>
            </w:r>
          </w:p>
        </w:tc>
        <w:tc>
          <w:tcPr>
            <w:tcW w:type="dxa" w:w="2016"/>
            <w:shd w:val="clear" w:color="auto" w:fill="1A375C"/>
            <w:vAlign w:val="center"/>
          </w:tcPr>
          <w:p>
            <w:pPr>
              <w:jc w:val="center"/>
            </w:pPr>
            <w:r>
              <w:rPr>
                <w:rFonts w:ascii="Times New Roman" w:hAnsi="Times New Roman"/>
                <w:b/>
                <w:i w:val="0"/>
                <w:color w:val="FFFFFF"/>
                <w:sz w:val="19"/>
              </w:rPr>
              <w:t>luo_17 cold_drug</w:t>
            </w:r>
          </w:p>
        </w:tc>
        <w:tc>
          <w:tcPr>
            <w:tcW w:type="dxa" w:w="2016"/>
            <w:shd w:val="clear" w:color="auto" w:fill="1A375C"/>
            <w:vAlign w:val="center"/>
          </w:tcPr>
          <w:p>
            <w:pPr>
              <w:jc w:val="center"/>
            </w:pPr>
            <w:r>
              <w:rPr>
                <w:rFonts w:ascii="Times New Roman" w:hAnsi="Times New Roman"/>
                <w:b/>
                <w:i w:val="0"/>
                <w:color w:val="FFFFFF"/>
                <w:sz w:val="19"/>
              </w:rPr>
              <w:t>luo_17 cold_target</w:t>
            </w:r>
          </w:p>
        </w:tc>
        <w:tc>
          <w:tcPr>
            <w:tcW w:type="dxa" w:w="2016"/>
            <w:shd w:val="clear" w:color="auto" w:fill="1A375C"/>
            <w:vAlign w:val="center"/>
          </w:tcPr>
          <w:p>
            <w:pPr>
              <w:jc w:val="center"/>
            </w:pPr>
            <w:r>
              <w:rPr>
                <w:rFonts w:ascii="Times New Roman" w:hAnsi="Times New Roman"/>
                <w:b/>
                <w:i w:val="0"/>
                <w:color w:val="FFFFFF"/>
                <w:sz w:val="19"/>
              </w:rPr>
              <w:t>luo_17 cold_pair</w:t>
            </w:r>
          </w:p>
        </w:tc>
      </w:tr>
      <w:tr>
        <w:tc>
          <w:tcPr>
            <w:tcW w:type="dxa" w:w="2016"/>
            <w:shd w:val="clear" w:color="auto" w:fill="F2F4F7"/>
          </w:tcPr>
          <w:p>
            <w:pPr>
              <w:jc w:val="center"/>
            </w:pPr>
            <w:r>
              <w:rPr>
                <w:rFonts w:ascii="Times New Roman" w:hAnsi="Times New Roman"/>
                <w:b w:val="0"/>
                <w:i w:val="0"/>
                <w:sz w:val="19"/>
              </w:rPr>
              <w:t>C0 (1:1)</w:t>
            </w:r>
          </w:p>
        </w:tc>
        <w:tc>
          <w:tcPr>
            <w:tcW w:type="dxa" w:w="1872"/>
            <w:shd w:val="clear" w:color="auto" w:fill="F2F4F7"/>
          </w:tcPr>
          <w:p>
            <w:pPr>
              <w:jc w:val="center"/>
            </w:pPr>
            <w:r>
              <w:rPr>
                <w:rFonts w:ascii="Times New Roman" w:hAnsi="Times New Roman"/>
                <w:b w:val="0"/>
                <w:i w:val="0"/>
                <w:sz w:val="19"/>
              </w:rPr>
              <w:t>0.946±0.005</w:t>
            </w:r>
          </w:p>
        </w:tc>
        <w:tc>
          <w:tcPr>
            <w:tcW w:type="dxa" w:w="2016"/>
            <w:shd w:val="clear" w:color="auto" w:fill="F2F4F7"/>
          </w:tcPr>
          <w:p>
            <w:pPr>
              <w:jc w:val="center"/>
            </w:pPr>
            <w:r>
              <w:rPr>
                <w:rFonts w:ascii="Times New Roman" w:hAnsi="Times New Roman"/>
                <w:b w:val="0"/>
                <w:i w:val="0"/>
                <w:sz w:val="19"/>
              </w:rPr>
              <w:t>0.913±0.009</w:t>
            </w:r>
          </w:p>
        </w:tc>
        <w:tc>
          <w:tcPr>
            <w:tcW w:type="dxa" w:w="2016"/>
            <w:shd w:val="clear" w:color="auto" w:fill="F2F4F7"/>
          </w:tcPr>
          <w:p>
            <w:pPr>
              <w:jc w:val="center"/>
            </w:pPr>
            <w:r>
              <w:rPr>
                <w:rFonts w:ascii="Times New Roman" w:hAnsi="Times New Roman"/>
                <w:b w:val="0"/>
                <w:i w:val="0"/>
                <w:sz w:val="19"/>
              </w:rPr>
              <w:t>0.778±0.013</w:t>
            </w:r>
          </w:p>
        </w:tc>
        <w:tc>
          <w:tcPr>
            <w:tcW w:type="dxa" w:w="2016"/>
            <w:shd w:val="clear" w:color="auto" w:fill="F2F4F7"/>
          </w:tcPr>
          <w:p>
            <w:pPr>
              <w:jc w:val="center"/>
            </w:pPr>
            <w:r>
              <w:rPr>
                <w:rFonts w:ascii="Times New Roman" w:hAnsi="Times New Roman"/>
                <w:b w:val="0"/>
                <w:i w:val="0"/>
                <w:sz w:val="19"/>
              </w:rPr>
              <w:t>0.948±0.002</w:t>
            </w:r>
          </w:p>
        </w:tc>
      </w:tr>
      <w:tr>
        <w:tc>
          <w:tcPr>
            <w:tcW w:type="dxa" w:w="2016"/>
          </w:tcPr>
          <w:p>
            <w:pPr>
              <w:jc w:val="center"/>
            </w:pPr>
            <w:r>
              <w:rPr>
                <w:rFonts w:ascii="Times New Roman" w:hAnsi="Times New Roman"/>
                <w:b w:val="0"/>
                <w:i w:val="0"/>
                <w:sz w:val="19"/>
              </w:rPr>
              <w:t>P2-F (1:5)</w:t>
            </w:r>
          </w:p>
        </w:tc>
        <w:tc>
          <w:tcPr>
            <w:tcW w:type="dxa" w:w="1872"/>
          </w:tcPr>
          <w:p>
            <w:pPr>
              <w:jc w:val="center"/>
            </w:pPr>
            <w:r>
              <w:rPr>
                <w:rFonts w:ascii="Times New Roman" w:hAnsi="Times New Roman"/>
                <w:b/>
                <w:i w:val="0"/>
                <w:sz w:val="19"/>
              </w:rPr>
              <w:t>0.967±0.004</w:t>
            </w:r>
          </w:p>
        </w:tc>
        <w:tc>
          <w:tcPr>
            <w:tcW w:type="dxa" w:w="2016"/>
          </w:tcPr>
          <w:p>
            <w:pPr>
              <w:jc w:val="center"/>
            </w:pPr>
            <w:r>
              <w:rPr>
                <w:rFonts w:ascii="Times New Roman" w:hAnsi="Times New Roman"/>
                <w:b w:val="0"/>
                <w:i w:val="0"/>
                <w:sz w:val="19"/>
              </w:rPr>
              <w:t>0.897±0.011</w:t>
            </w:r>
          </w:p>
        </w:tc>
        <w:tc>
          <w:tcPr>
            <w:tcW w:type="dxa" w:w="2016"/>
          </w:tcPr>
          <w:p>
            <w:pPr>
              <w:jc w:val="center"/>
            </w:pPr>
            <w:r>
              <w:rPr>
                <w:rFonts w:ascii="Times New Roman" w:hAnsi="Times New Roman"/>
                <w:b/>
                <w:i w:val="0"/>
                <w:sz w:val="19"/>
              </w:rPr>
              <w:t>0.856±0.003</w:t>
            </w:r>
          </w:p>
        </w:tc>
        <w:tc>
          <w:tcPr>
            <w:tcW w:type="dxa" w:w="2016"/>
          </w:tcPr>
          <w:p>
            <w:pPr>
              <w:jc w:val="center"/>
            </w:pPr>
            <w:r>
              <w:rPr>
                <w:rFonts w:ascii="Times New Roman" w:hAnsi="Times New Roman"/>
                <w:b/>
                <w:i w:val="0"/>
                <w:sz w:val="19"/>
              </w:rPr>
              <w:t>0.957±0.003</w:t>
            </w:r>
          </w:p>
        </w:tc>
      </w:tr>
      <w:tr>
        <w:tc>
          <w:tcPr>
            <w:tcW w:type="dxa" w:w="2016"/>
            <w:shd w:val="clear" w:color="auto" w:fill="F2F4F7"/>
          </w:tcPr>
          <w:p>
            <w:pPr>
              <w:jc w:val="center"/>
            </w:pPr>
            <w:r>
              <w:rPr>
                <w:rFonts w:ascii="Times New Roman" w:hAnsi="Times New Roman"/>
                <w:b w:val="0"/>
                <w:i w:val="0"/>
                <w:sz w:val="19"/>
              </w:rPr>
              <w:t>P2-G (1:10)</w:t>
            </w:r>
          </w:p>
        </w:tc>
        <w:tc>
          <w:tcPr>
            <w:tcW w:type="dxa" w:w="1872"/>
            <w:shd w:val="clear" w:color="auto" w:fill="F2F4F7"/>
          </w:tcPr>
          <w:p>
            <w:pPr>
              <w:jc w:val="center"/>
            </w:pPr>
            <w:r>
              <w:rPr>
                <w:rFonts w:ascii="Times New Roman" w:hAnsi="Times New Roman"/>
                <w:b w:val="0"/>
                <w:i w:val="0"/>
                <w:sz w:val="19"/>
              </w:rPr>
              <w:t>0.975±0.001</w:t>
            </w:r>
          </w:p>
        </w:tc>
        <w:tc>
          <w:tcPr>
            <w:tcW w:type="dxa" w:w="2016"/>
            <w:shd w:val="clear" w:color="auto" w:fill="F2F4F7"/>
          </w:tcPr>
          <w:p>
            <w:pPr>
              <w:jc w:val="center"/>
            </w:pPr>
            <w:r>
              <w:rPr>
                <w:rFonts w:ascii="Times New Roman" w:hAnsi="Times New Roman"/>
                <w:b/>
                <w:i w:val="0"/>
                <w:sz w:val="19"/>
              </w:rPr>
              <w:t>0.921±0.005</w:t>
            </w:r>
          </w:p>
        </w:tc>
        <w:tc>
          <w:tcPr>
            <w:tcW w:type="dxa" w:w="2016"/>
            <w:shd w:val="clear" w:color="auto" w:fill="F2F4F7"/>
          </w:tcPr>
          <w:p>
            <w:pPr>
              <w:jc w:val="center"/>
            </w:pPr>
            <w:r>
              <w:rPr>
                <w:rFonts w:ascii="Times New Roman" w:hAnsi="Times New Roman"/>
                <w:b w:val="0"/>
                <w:i w:val="0"/>
                <w:sz w:val="19"/>
              </w:rPr>
              <w:t>0.819±0.014</w:t>
            </w:r>
          </w:p>
        </w:tc>
        <w:tc>
          <w:tcPr>
            <w:tcW w:type="dxa" w:w="2016"/>
            <w:shd w:val="clear" w:color="auto" w:fill="F2F4F7"/>
          </w:tcPr>
          <w:p>
            <w:pPr>
              <w:jc w:val="center"/>
            </w:pPr>
            <w:r>
              <w:rPr>
                <w:rFonts w:ascii="Times New Roman" w:hAnsi="Times New Roman"/>
                <w:b w:val="0"/>
                <w:i w:val="0"/>
                <w:sz w:val="19"/>
              </w:rPr>
              <w:t>0.960±0.004</w:t>
            </w:r>
          </w:p>
        </w:tc>
      </w:tr>
      <w:tr>
        <w:tc>
          <w:tcPr>
            <w:tcW w:type="dxa" w:w="2016"/>
          </w:tcPr>
          <w:p>
            <w:pPr>
              <w:jc w:val="center"/>
            </w:pPr>
            <w:r>
              <w:rPr>
                <w:rFonts w:ascii="Times New Roman" w:hAnsi="Times New Roman"/>
                <w:b w:val="0"/>
                <w:i w:val="0"/>
                <w:sz w:val="19"/>
              </w:rPr>
              <w:t>WeightedBCE</w:t>
            </w:r>
          </w:p>
        </w:tc>
        <w:tc>
          <w:tcPr>
            <w:tcW w:type="dxa" w:w="1872"/>
          </w:tcPr>
          <w:p>
            <w:pPr>
              <w:jc w:val="center"/>
            </w:pPr>
            <w:r>
              <w:rPr>
                <w:rFonts w:ascii="Times New Roman" w:hAnsi="Times New Roman"/>
                <w:b w:val="0"/>
                <w:i w:val="0"/>
                <w:sz w:val="19"/>
              </w:rPr>
              <w:t>0.941±0.003</w:t>
            </w:r>
          </w:p>
        </w:tc>
        <w:tc>
          <w:tcPr>
            <w:tcW w:type="dxa" w:w="2016"/>
          </w:tcPr>
          <w:p>
            <w:pPr>
              <w:jc w:val="center"/>
            </w:pPr>
            <w:r>
              <w:rPr>
                <w:rFonts w:ascii="Times New Roman" w:hAnsi="Times New Roman"/>
                <w:b w:val="0"/>
                <w:i w:val="0"/>
                <w:sz w:val="19"/>
              </w:rPr>
              <w:t>0.907±0.005</w:t>
            </w:r>
          </w:p>
        </w:tc>
        <w:tc>
          <w:tcPr>
            <w:tcW w:type="dxa" w:w="2016"/>
          </w:tcPr>
          <w:p>
            <w:pPr>
              <w:jc w:val="center"/>
            </w:pPr>
            <w:r>
              <w:rPr>
                <w:rFonts w:ascii="Times New Roman" w:hAnsi="Times New Roman"/>
                <w:b w:val="0"/>
                <w:i w:val="0"/>
                <w:sz w:val="19"/>
              </w:rPr>
              <w:t>0.782±0.007</w:t>
            </w:r>
          </w:p>
        </w:tc>
        <w:tc>
          <w:tcPr>
            <w:tcW w:type="dxa" w:w="2016"/>
          </w:tcPr>
          <w:p>
            <w:pPr>
              <w:jc w:val="center"/>
            </w:pPr>
            <w:r>
              <w:rPr>
                <w:rFonts w:ascii="Times New Roman" w:hAnsi="Times New Roman"/>
                <w:b w:val="0"/>
                <w:i w:val="0"/>
                <w:sz w:val="19"/>
              </w:rPr>
              <w:t>0.947±0.002</w:t>
            </w:r>
          </w:p>
        </w:tc>
      </w:tr>
      <w:tr>
        <w:tc>
          <w:tcPr>
            <w:tcW w:type="dxa" w:w="2016"/>
            <w:shd w:val="clear" w:color="auto" w:fill="F2F4F7"/>
          </w:tcPr>
          <w:p>
            <w:pPr>
              <w:jc w:val="center"/>
            </w:pPr>
            <w:r>
              <w:rPr>
                <w:rFonts w:ascii="Times New Roman" w:hAnsi="Times New Roman"/>
                <w:b w:val="0"/>
                <w:i w:val="0"/>
                <w:sz w:val="19"/>
              </w:rPr>
              <w:t>Focal γ=3</w:t>
            </w:r>
          </w:p>
        </w:tc>
        <w:tc>
          <w:tcPr>
            <w:tcW w:type="dxa" w:w="1872"/>
            <w:shd w:val="clear" w:color="auto" w:fill="F2F4F7"/>
          </w:tcPr>
          <w:p>
            <w:pPr>
              <w:jc w:val="center"/>
            </w:pPr>
            <w:r>
              <w:rPr>
                <w:rFonts w:ascii="Times New Roman" w:hAnsi="Times New Roman"/>
                <w:b w:val="0"/>
                <w:i w:val="0"/>
                <w:sz w:val="19"/>
              </w:rPr>
              <w:t>0.947±0.003</w:t>
            </w:r>
          </w:p>
        </w:tc>
        <w:tc>
          <w:tcPr>
            <w:tcW w:type="dxa" w:w="2016"/>
            <w:shd w:val="clear" w:color="auto" w:fill="F2F4F7"/>
          </w:tcPr>
          <w:p>
            <w:pPr>
              <w:jc w:val="center"/>
            </w:pPr>
            <w:r>
              <w:rPr>
                <w:rFonts w:ascii="Times New Roman" w:hAnsi="Times New Roman"/>
                <w:b w:val="0"/>
                <w:i w:val="0"/>
                <w:sz w:val="19"/>
              </w:rPr>
              <w:t>0.914±0.008</w:t>
            </w:r>
          </w:p>
        </w:tc>
        <w:tc>
          <w:tcPr>
            <w:tcW w:type="dxa" w:w="2016"/>
            <w:shd w:val="clear" w:color="auto" w:fill="F2F4F7"/>
          </w:tcPr>
          <w:p>
            <w:pPr>
              <w:jc w:val="center"/>
            </w:pPr>
            <w:r>
              <w:rPr>
                <w:rFonts w:ascii="Times New Roman" w:hAnsi="Times New Roman"/>
                <w:b w:val="0"/>
                <w:i w:val="0"/>
                <w:sz w:val="19"/>
              </w:rPr>
              <w:t>0.796±0.014</w:t>
            </w:r>
          </w:p>
        </w:tc>
        <w:tc>
          <w:tcPr>
            <w:tcW w:type="dxa" w:w="2016"/>
            <w:shd w:val="clear" w:color="auto" w:fill="F2F4F7"/>
          </w:tcPr>
          <w:p>
            <w:pPr>
              <w:jc w:val="center"/>
            </w:pPr>
            <w:r>
              <w:rPr>
                <w:rFonts w:ascii="Times New Roman" w:hAnsi="Times New Roman"/>
                <w:b w:val="0"/>
                <w:i w:val="0"/>
                <w:sz w:val="19"/>
              </w:rPr>
              <w:t>0.945±0.005</w:t>
            </w:r>
          </w:p>
        </w:tc>
      </w:tr>
    </w:tbl>
    <w:p/>
    <w:p>
      <w:pPr>
        <w:spacing w:before="40" w:after="160"/>
        <w:jc w:val="center"/>
      </w:pPr>
      <w:r>
        <w:rPr>
          <w:rFonts w:ascii="Times New Roman" w:hAnsi="Times New Roman"/>
          <w:b w:val="0"/>
          <w:i/>
          <w:sz w:val="20"/>
        </w:rPr>
        <w:t>Table 4.7: Phase 2 AUROC on Luo_17 (5 seeds).</w:t>
      </w:r>
    </w:p>
    <w:p>
      <w:pPr>
        <w:spacing w:after="80"/>
        <w:ind w:left="0"/>
        <w:jc w:val="both"/>
      </w:pPr>
      <w:r>
        <w:rPr>
          <w:rFonts w:ascii="Times New Roman" w:hAnsi="Times New Roman"/>
          <w:b w:val="0"/>
          <w:i w:val="0"/>
          <w:sz w:val="22"/>
        </w:rPr>
        <w:t>Negative-sampling ratio is the dominant lever. The 1:5 ratio produces statistically significant improvements on all key cold-start configurations:</w:t>
      </w:r>
    </w:p>
    <w:p>
      <w:pPr>
        <w:pStyle w:val="ListBullet"/>
        <w:spacing w:after="60"/>
        <w:ind w:left="432"/>
      </w:pPr>
      <w:r>
        <w:rPr>
          <w:rFonts w:ascii="Times New Roman" w:hAnsi="Times New Roman"/>
          <w:b w:val="0"/>
          <w:i w:val="0"/>
          <w:sz w:val="22"/>
        </w:rPr>
        <w:t>Yamanishi_e cold_drug: +0.042 (0.774→0.816, p&lt;0.01)</w:t>
      </w:r>
    </w:p>
    <w:p>
      <w:pPr>
        <w:pStyle w:val="ListBullet"/>
        <w:spacing w:after="60"/>
        <w:ind w:left="432"/>
      </w:pPr>
      <w:r>
        <w:rPr>
          <w:rFonts w:ascii="Times New Roman" w:hAnsi="Times New Roman"/>
          <w:b w:val="0"/>
          <w:i w:val="0"/>
          <w:sz w:val="22"/>
        </w:rPr>
        <w:t>Yamanishi_e cold_target: +0.268 (0.438→0.706, p&lt;0.01) — the largest single gain across all experiments</w:t>
      </w:r>
    </w:p>
    <w:p>
      <w:pPr>
        <w:pStyle w:val="ListBullet"/>
        <w:spacing w:after="60"/>
        <w:ind w:left="432"/>
      </w:pPr>
      <w:r>
        <w:rPr>
          <w:rFonts w:ascii="Times New Roman" w:hAnsi="Times New Roman"/>
          <w:b w:val="0"/>
          <w:i w:val="0"/>
          <w:sz w:val="22"/>
        </w:rPr>
        <w:t>Luo_17 cold_target: +0.078 (0.778→0.856, p&lt;0.01)</w:t>
      </w:r>
    </w:p>
    <w:p>
      <w:pPr>
        <w:pStyle w:val="ListBullet"/>
        <w:spacing w:after="60"/>
        <w:ind w:left="432"/>
      </w:pPr>
      <w:r>
        <w:rPr>
          <w:rFonts w:ascii="Times New Roman" w:hAnsi="Times New Roman"/>
          <w:b w:val="0"/>
          <w:i w:val="0"/>
          <w:sz w:val="22"/>
        </w:rPr>
        <w:t>Luo_17 random and cold_pair: both p&lt;0.01</w:t>
      </w:r>
    </w:p>
    <w:p>
      <w:pPr>
        <w:spacing w:after="80"/>
        <w:ind w:left="0"/>
        <w:jc w:val="both"/>
      </w:pPr>
      <w:r>
        <w:rPr>
          <w:rFonts w:ascii="Times New Roman" w:hAnsi="Times New Roman"/>
          <w:b w:val="0"/>
          <w:i w:val="0"/>
          <w:sz w:val="22"/>
        </w:rPr>
        <w:t>In contrast, loss function variants (WeightedBCE, Focal γ∈{1,3,5}) produce no statistically significant change in AUROC or AUPRC versus C0 (Focal γ=2) on either dataset. The gain from imbalance-aware training originates entirely from adjusting the number of negative examples, not from loss weighting. This is a practically important finding: collecting more diverse negative examples is more valuable than tuning the loss function.</w:t>
      </w:r>
    </w:p>
    <w:p>
      <w:pPr>
        <w:spacing w:after="80"/>
        <w:ind w:left="0"/>
        <w:jc w:val="both"/>
      </w:pPr>
      <w:r>
        <w:rPr>
          <w:rFonts w:ascii="Times New Roman" w:hAnsi="Times New Roman"/>
          <w:b w:val="0"/>
          <w:i w:val="0"/>
          <w:sz w:val="22"/>
        </w:rPr>
        <w:t>An important trade-off: increasing the negative ratio degrades AUPRC significantly. At 1:10, Luo_17 cold_target AUPRC drops from 0.702 to 0.330 (−0.372, p&lt;0.01). The 1:5 ratio provides the best AUROC improvement while limiting AUPRC cost and is the recommended configuration for applications where recall-oriented ranking is the primary objective.</w:t>
      </w:r>
    </w:p>
    <w:p>
      <w:pPr>
        <w:spacing w:before="160" w:after="60"/>
      </w:pPr>
      <w:r>
        <w:rPr>
          <w:rFonts w:ascii="Times New Roman" w:hAnsi="Times New Roman"/>
          <w:b/>
          <w:i/>
          <w:color w:val="C06A00"/>
          <w:sz w:val="24"/>
        </w:rPr>
        <w:t>4.3.2 Phase 1: Protein Embedding Scale — ESM-2 8M vs. ESM-2 150M</w:t>
      </w:r>
    </w:p>
    <w:p>
      <w:pPr>
        <w:spacing w:after="80"/>
        <w:ind w:left="0"/>
        <w:jc w:val="both"/>
      </w:pPr>
      <w:r>
        <w:rPr>
          <w:rFonts w:ascii="Times New Roman" w:hAnsi="Times New Roman"/>
          <w:b w:val="0"/>
          <w:i w:val="0"/>
          <w:sz w:val="22"/>
        </w:rPr>
        <w:t>Table 4.8 compares ESM-2 8M (P1-A) and ESM-2 150M (P1-B) across all splits and datasets.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shd w:val="clear" w:color="auto" w:fill="1A375C"/>
            <w:vAlign w:val="center"/>
          </w:tcPr>
          <w:p>
            <w:pPr>
              <w:jc w:val="center"/>
            </w:pPr>
            <w:r>
              <w:rPr>
                <w:rFonts w:ascii="Times New Roman" w:hAnsi="Times New Roman"/>
                <w:b/>
                <w:i w:val="0"/>
                <w:color w:val="FFFFFF"/>
                <w:sz w:val="19"/>
              </w:rPr>
              <w:t>Config</w:t>
            </w:r>
          </w:p>
        </w:tc>
        <w:tc>
          <w:tcPr>
            <w:tcW w:type="dxa" w:w="1728"/>
            <w:shd w:val="clear" w:color="auto" w:fill="1A375C"/>
            <w:vAlign w:val="center"/>
          </w:tcPr>
          <w:p>
            <w:pPr>
              <w:jc w:val="center"/>
            </w:pPr>
            <w:r>
              <w:rPr>
                <w:rFonts w:ascii="Times New Roman" w:hAnsi="Times New Roman"/>
                <w:b/>
                <w:i w:val="0"/>
                <w:color w:val="FFFFFF"/>
                <w:sz w:val="19"/>
              </w:rPr>
              <w:t>yam. random</w:t>
            </w:r>
          </w:p>
        </w:tc>
        <w:tc>
          <w:tcPr>
            <w:tcW w:type="dxa" w:w="1872"/>
            <w:shd w:val="clear" w:color="auto" w:fill="1A375C"/>
            <w:vAlign w:val="center"/>
          </w:tcPr>
          <w:p>
            <w:pPr>
              <w:jc w:val="center"/>
            </w:pPr>
            <w:r>
              <w:rPr>
                <w:rFonts w:ascii="Times New Roman" w:hAnsi="Times New Roman"/>
                <w:b/>
                <w:i w:val="0"/>
                <w:color w:val="FFFFFF"/>
                <w:sz w:val="19"/>
              </w:rPr>
              <w:t>yam. cold_drug</w:t>
            </w:r>
          </w:p>
        </w:tc>
        <w:tc>
          <w:tcPr>
            <w:tcW w:type="dxa" w:w="2016"/>
            <w:shd w:val="clear" w:color="auto" w:fill="1A375C"/>
            <w:vAlign w:val="center"/>
          </w:tcPr>
          <w:p>
            <w:pPr>
              <w:jc w:val="center"/>
            </w:pPr>
            <w:r>
              <w:rPr>
                <w:rFonts w:ascii="Times New Roman" w:hAnsi="Times New Roman"/>
                <w:b/>
                <w:i w:val="0"/>
                <w:color w:val="FFFFFF"/>
                <w:sz w:val="19"/>
              </w:rPr>
              <w:t>yam. cold_target</w:t>
            </w:r>
          </w:p>
        </w:tc>
        <w:tc>
          <w:tcPr>
            <w:tcW w:type="dxa" w:w="1872"/>
            <w:shd w:val="clear" w:color="auto" w:fill="1A375C"/>
            <w:vAlign w:val="center"/>
          </w:tcPr>
          <w:p>
            <w:pPr>
              <w:jc w:val="center"/>
            </w:pPr>
            <w:r>
              <w:rPr>
                <w:rFonts w:ascii="Times New Roman" w:hAnsi="Times New Roman"/>
                <w:b/>
                <w:i w:val="0"/>
                <w:color w:val="FFFFFF"/>
                <w:sz w:val="19"/>
              </w:rPr>
              <w:t>yam. cold_pair</w:t>
            </w:r>
          </w:p>
        </w:tc>
      </w:tr>
      <w:tr>
        <w:tc>
          <w:tcPr>
            <w:tcW w:type="dxa" w:w="2160"/>
            <w:shd w:val="clear" w:color="auto" w:fill="F2F4F7"/>
          </w:tcPr>
          <w:p>
            <w:pPr>
              <w:jc w:val="center"/>
            </w:pPr>
            <w:r>
              <w:rPr>
                <w:rFonts w:ascii="Times New Roman" w:hAnsi="Times New Roman"/>
                <w:b w:val="0"/>
                <w:i w:val="0"/>
                <w:sz w:val="19"/>
              </w:rPr>
              <w:t>P1-A ESM-2 8M</w:t>
            </w:r>
          </w:p>
        </w:tc>
        <w:tc>
          <w:tcPr>
            <w:tcW w:type="dxa" w:w="1728"/>
            <w:shd w:val="clear" w:color="auto" w:fill="F2F4F7"/>
          </w:tcPr>
          <w:p>
            <w:pPr>
              <w:jc w:val="center"/>
            </w:pPr>
            <w:r>
              <w:rPr>
                <w:rFonts w:ascii="Times New Roman" w:hAnsi="Times New Roman"/>
                <w:b w:val="0"/>
                <w:i w:val="0"/>
                <w:sz w:val="19"/>
              </w:rPr>
              <w:t>0.756±0.125</w:t>
            </w:r>
          </w:p>
        </w:tc>
        <w:tc>
          <w:tcPr>
            <w:tcW w:type="dxa" w:w="1872"/>
            <w:shd w:val="clear" w:color="auto" w:fill="F2F4F7"/>
          </w:tcPr>
          <w:p>
            <w:pPr>
              <w:jc w:val="center"/>
            </w:pPr>
            <w:r>
              <w:rPr>
                <w:rFonts w:ascii="Times New Roman" w:hAnsi="Times New Roman"/>
                <w:b w:val="0"/>
                <w:i w:val="0"/>
                <w:sz w:val="19"/>
              </w:rPr>
              <w:t>0.774±0.011</w:t>
            </w:r>
          </w:p>
        </w:tc>
        <w:tc>
          <w:tcPr>
            <w:tcW w:type="dxa" w:w="2016"/>
            <w:shd w:val="clear" w:color="auto" w:fill="F2F4F7"/>
          </w:tcPr>
          <w:p>
            <w:pPr>
              <w:jc w:val="center"/>
            </w:pPr>
            <w:r>
              <w:rPr>
                <w:rFonts w:ascii="Times New Roman" w:hAnsi="Times New Roman"/>
                <w:b w:val="0"/>
                <w:i w:val="0"/>
                <w:sz w:val="19"/>
              </w:rPr>
              <w:t>0.438±0.045</w:t>
            </w:r>
          </w:p>
        </w:tc>
        <w:tc>
          <w:tcPr>
            <w:tcW w:type="dxa" w:w="1872"/>
            <w:shd w:val="clear" w:color="auto" w:fill="F2F4F7"/>
          </w:tcPr>
          <w:p>
            <w:pPr>
              <w:jc w:val="center"/>
            </w:pPr>
            <w:r>
              <w:rPr>
                <w:rFonts w:ascii="Times New Roman" w:hAnsi="Times New Roman"/>
                <w:b w:val="0"/>
                <w:i w:val="0"/>
                <w:sz w:val="19"/>
              </w:rPr>
              <w:t>0.746±0.054</w:t>
            </w:r>
          </w:p>
        </w:tc>
      </w:tr>
      <w:tr>
        <w:tc>
          <w:tcPr>
            <w:tcW w:type="dxa" w:w="2160"/>
          </w:tcPr>
          <w:p>
            <w:pPr>
              <w:jc w:val="center"/>
            </w:pPr>
            <w:r>
              <w:rPr>
                <w:rFonts w:ascii="Times New Roman" w:hAnsi="Times New Roman"/>
                <w:b w:val="0"/>
                <w:i w:val="0"/>
                <w:sz w:val="19"/>
              </w:rPr>
              <w:t>P1-B ESM-2 150M</w:t>
            </w:r>
          </w:p>
        </w:tc>
        <w:tc>
          <w:tcPr>
            <w:tcW w:type="dxa" w:w="1728"/>
          </w:tcPr>
          <w:p>
            <w:pPr>
              <w:jc w:val="center"/>
            </w:pPr>
            <w:r>
              <w:rPr>
                <w:rFonts w:ascii="Times New Roman" w:hAnsi="Times New Roman"/>
                <w:b w:val="0"/>
                <w:i w:val="0"/>
                <w:sz w:val="19"/>
              </w:rPr>
              <w:t>0.830±0.040</w:t>
            </w:r>
          </w:p>
        </w:tc>
        <w:tc>
          <w:tcPr>
            <w:tcW w:type="dxa" w:w="1872"/>
          </w:tcPr>
          <w:p>
            <w:pPr>
              <w:jc w:val="center"/>
            </w:pPr>
            <w:r>
              <w:rPr>
                <w:rFonts w:ascii="Times New Roman" w:hAnsi="Times New Roman"/>
                <w:b w:val="0"/>
                <w:i w:val="0"/>
                <w:sz w:val="19"/>
              </w:rPr>
              <w:t>0.743±0.021</w:t>
            </w:r>
          </w:p>
        </w:tc>
        <w:tc>
          <w:tcPr>
            <w:tcW w:type="dxa" w:w="2016"/>
          </w:tcPr>
          <w:p>
            <w:pPr>
              <w:jc w:val="center"/>
            </w:pPr>
            <w:r>
              <w:rPr>
                <w:rFonts w:ascii="Times New Roman" w:hAnsi="Times New Roman"/>
                <w:b w:val="0"/>
                <w:i w:val="0"/>
                <w:sz w:val="19"/>
              </w:rPr>
              <w:t>0.378±0.070</w:t>
            </w:r>
          </w:p>
        </w:tc>
        <w:tc>
          <w:tcPr>
            <w:tcW w:type="dxa" w:w="1872"/>
          </w:tcPr>
          <w:p>
            <w:pPr>
              <w:jc w:val="center"/>
            </w:pPr>
            <w:r>
              <w:rPr>
                <w:rFonts w:ascii="Times New Roman" w:hAnsi="Times New Roman"/>
                <w:b w:val="0"/>
                <w:i w:val="0"/>
                <w:sz w:val="19"/>
              </w:rPr>
              <w:t>0.778±0.024</w:t>
            </w:r>
          </w:p>
        </w:tc>
      </w:tr>
      <w:tr>
        <w:tc>
          <w:tcPr>
            <w:tcW w:type="dxa" w:w="2160"/>
            <w:shd w:val="clear" w:color="auto" w:fill="F2F4F7"/>
          </w:tcPr>
          <w:p>
            <w:pPr>
              <w:jc w:val="center"/>
            </w:pPr>
            <w:r>
              <w:rPr>
                <w:rFonts w:ascii="Times New Roman" w:hAnsi="Times New Roman"/>
                <w:b w:val="0"/>
                <w:i w:val="0"/>
                <w:sz w:val="19"/>
              </w:rPr>
              <w:t>Sig. vs P1-A</w:t>
            </w:r>
          </w:p>
        </w:tc>
        <w:tc>
          <w:tcPr>
            <w:tcW w:type="dxa" w:w="1728"/>
            <w:shd w:val="clear" w:color="auto" w:fill="F2F4F7"/>
          </w:tcPr>
          <w:p>
            <w:pPr>
              <w:jc w:val="center"/>
            </w:pPr>
            <w:r>
              <w:rPr>
                <w:rFonts w:ascii="Times New Roman" w:hAnsi="Times New Roman"/>
                <w:b w:val="0"/>
                <w:i w:val="0"/>
                <w:sz w:val="19"/>
              </w:rPr>
              <w:t>n.s.</w:t>
            </w:r>
          </w:p>
        </w:tc>
        <w:tc>
          <w:tcPr>
            <w:tcW w:type="dxa" w:w="1872"/>
            <w:shd w:val="clear" w:color="auto" w:fill="F2F4F7"/>
          </w:tcPr>
          <w:p>
            <w:pPr>
              <w:jc w:val="center"/>
            </w:pPr>
            <w:r>
              <w:rPr>
                <w:rFonts w:ascii="Times New Roman" w:hAnsi="Times New Roman"/>
                <w:b w:val="0"/>
                <w:i w:val="0"/>
                <w:sz w:val="19"/>
              </w:rPr>
              <w:t>n.s.</w:t>
            </w:r>
          </w:p>
        </w:tc>
        <w:tc>
          <w:tcPr>
            <w:tcW w:type="dxa" w:w="2016"/>
            <w:shd w:val="clear" w:color="auto" w:fill="F2F4F7"/>
          </w:tcPr>
          <w:p>
            <w:pPr>
              <w:jc w:val="center"/>
            </w:pPr>
            <w:r>
              <w:rPr>
                <w:rFonts w:ascii="Times New Roman" w:hAnsi="Times New Roman"/>
                <w:b w:val="0"/>
                <w:i w:val="0"/>
                <w:sz w:val="19"/>
              </w:rPr>
              <w:t>n.s.</w:t>
            </w:r>
          </w:p>
        </w:tc>
        <w:tc>
          <w:tcPr>
            <w:tcW w:type="dxa" w:w="1872"/>
            <w:shd w:val="clear" w:color="auto" w:fill="F2F4F7"/>
          </w:tcPr>
          <w:p>
            <w:pPr>
              <w:jc w:val="center"/>
            </w:pPr>
            <w:r>
              <w:rPr>
                <w:rFonts w:ascii="Times New Roman" w:hAnsi="Times New Roman"/>
                <w:b w:val="0"/>
                <w:i w:val="0"/>
                <w:sz w:val="19"/>
              </w:rPr>
              <w:t>n.s.</w:t>
            </w:r>
          </w:p>
        </w:tc>
      </w:tr>
    </w:tbl>
    <w:p/>
    <w:p>
      <w:pPr>
        <w:spacing w:before="40" w:after="160"/>
        <w:jc w:val="center"/>
      </w:pPr>
      <w:r>
        <w:rPr>
          <w:rFonts w:ascii="Times New Roman" w:hAnsi="Times New Roman"/>
          <w:b w:val="0"/>
          <w:i/>
          <w:sz w:val="20"/>
        </w:rPr>
        <w:t>Table 4.8: Phase 1 AUROC — Yamanishi_e. All differences n.s. (paired t-test, n=5).</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shd w:val="clear" w:color="auto" w:fill="1A375C"/>
            <w:vAlign w:val="center"/>
          </w:tcPr>
          <w:p>
            <w:pPr>
              <w:jc w:val="center"/>
            </w:pPr>
            <w:r>
              <w:rPr>
                <w:rFonts w:ascii="Times New Roman" w:hAnsi="Times New Roman"/>
                <w:b/>
                <w:i w:val="0"/>
                <w:color w:val="FFFFFF"/>
                <w:sz w:val="19"/>
              </w:rPr>
              <w:t>Config</w:t>
            </w:r>
          </w:p>
        </w:tc>
        <w:tc>
          <w:tcPr>
            <w:tcW w:type="dxa" w:w="1872"/>
            <w:shd w:val="clear" w:color="auto" w:fill="1A375C"/>
            <w:vAlign w:val="center"/>
          </w:tcPr>
          <w:p>
            <w:pPr>
              <w:jc w:val="center"/>
            </w:pPr>
            <w:r>
              <w:rPr>
                <w:rFonts w:ascii="Times New Roman" w:hAnsi="Times New Roman"/>
                <w:b/>
                <w:i w:val="0"/>
                <w:color w:val="FFFFFF"/>
                <w:sz w:val="19"/>
              </w:rPr>
              <w:t>luo_17 random</w:t>
            </w:r>
          </w:p>
        </w:tc>
        <w:tc>
          <w:tcPr>
            <w:tcW w:type="dxa" w:w="2016"/>
            <w:shd w:val="clear" w:color="auto" w:fill="1A375C"/>
            <w:vAlign w:val="center"/>
          </w:tcPr>
          <w:p>
            <w:pPr>
              <w:jc w:val="center"/>
            </w:pPr>
            <w:r>
              <w:rPr>
                <w:rFonts w:ascii="Times New Roman" w:hAnsi="Times New Roman"/>
                <w:b/>
                <w:i w:val="0"/>
                <w:color w:val="FFFFFF"/>
                <w:sz w:val="19"/>
              </w:rPr>
              <w:t>luo_17 cold_drug</w:t>
            </w:r>
          </w:p>
        </w:tc>
        <w:tc>
          <w:tcPr>
            <w:tcW w:type="dxa" w:w="2160"/>
            <w:shd w:val="clear" w:color="auto" w:fill="1A375C"/>
            <w:vAlign w:val="center"/>
          </w:tcPr>
          <w:p>
            <w:pPr>
              <w:jc w:val="center"/>
            </w:pPr>
            <w:r>
              <w:rPr>
                <w:rFonts w:ascii="Times New Roman" w:hAnsi="Times New Roman"/>
                <w:b/>
                <w:i w:val="0"/>
                <w:color w:val="FFFFFF"/>
                <w:sz w:val="19"/>
              </w:rPr>
              <w:t>luo_17 cold_target</w:t>
            </w:r>
          </w:p>
        </w:tc>
        <w:tc>
          <w:tcPr>
            <w:tcW w:type="dxa" w:w="2016"/>
            <w:shd w:val="clear" w:color="auto" w:fill="1A375C"/>
            <w:vAlign w:val="center"/>
          </w:tcPr>
          <w:p>
            <w:pPr>
              <w:jc w:val="center"/>
            </w:pPr>
            <w:r>
              <w:rPr>
                <w:rFonts w:ascii="Times New Roman" w:hAnsi="Times New Roman"/>
                <w:b/>
                <w:i w:val="0"/>
                <w:color w:val="FFFFFF"/>
                <w:sz w:val="19"/>
              </w:rPr>
              <w:t>luo_17 cold_pair</w:t>
            </w:r>
          </w:p>
        </w:tc>
      </w:tr>
      <w:tr>
        <w:tc>
          <w:tcPr>
            <w:tcW w:type="dxa" w:w="2160"/>
            <w:shd w:val="clear" w:color="auto" w:fill="F2F4F7"/>
          </w:tcPr>
          <w:p>
            <w:pPr>
              <w:jc w:val="center"/>
            </w:pPr>
            <w:r>
              <w:rPr>
                <w:rFonts w:ascii="Times New Roman" w:hAnsi="Times New Roman"/>
                <w:b w:val="0"/>
                <w:i w:val="0"/>
                <w:sz w:val="19"/>
              </w:rPr>
              <w:t>P1-A ESM-2 8M</w:t>
            </w:r>
          </w:p>
        </w:tc>
        <w:tc>
          <w:tcPr>
            <w:tcW w:type="dxa" w:w="1872"/>
            <w:shd w:val="clear" w:color="auto" w:fill="F2F4F7"/>
          </w:tcPr>
          <w:p>
            <w:pPr>
              <w:jc w:val="center"/>
            </w:pPr>
            <w:r>
              <w:rPr>
                <w:rFonts w:ascii="Times New Roman" w:hAnsi="Times New Roman"/>
                <w:b w:val="0"/>
                <w:i w:val="0"/>
                <w:sz w:val="19"/>
              </w:rPr>
              <w:t>0.946±0.005</w:t>
            </w:r>
          </w:p>
        </w:tc>
        <w:tc>
          <w:tcPr>
            <w:tcW w:type="dxa" w:w="2016"/>
            <w:shd w:val="clear" w:color="auto" w:fill="F2F4F7"/>
          </w:tcPr>
          <w:p>
            <w:pPr>
              <w:jc w:val="center"/>
            </w:pPr>
            <w:r>
              <w:rPr>
                <w:rFonts w:ascii="Times New Roman" w:hAnsi="Times New Roman"/>
                <w:b w:val="0"/>
                <w:i w:val="0"/>
                <w:sz w:val="19"/>
              </w:rPr>
              <w:t>0.913±0.009</w:t>
            </w:r>
          </w:p>
        </w:tc>
        <w:tc>
          <w:tcPr>
            <w:tcW w:type="dxa" w:w="2160"/>
            <w:shd w:val="clear" w:color="auto" w:fill="F2F4F7"/>
          </w:tcPr>
          <w:p>
            <w:pPr>
              <w:jc w:val="center"/>
            </w:pPr>
            <w:r>
              <w:rPr>
                <w:rFonts w:ascii="Times New Roman" w:hAnsi="Times New Roman"/>
                <w:b w:val="0"/>
                <w:i w:val="0"/>
                <w:sz w:val="19"/>
              </w:rPr>
              <w:t>0.778±0.013</w:t>
            </w:r>
          </w:p>
        </w:tc>
        <w:tc>
          <w:tcPr>
            <w:tcW w:type="dxa" w:w="2016"/>
            <w:shd w:val="clear" w:color="auto" w:fill="F2F4F7"/>
          </w:tcPr>
          <w:p>
            <w:pPr>
              <w:jc w:val="center"/>
            </w:pPr>
            <w:r>
              <w:rPr>
                <w:rFonts w:ascii="Times New Roman" w:hAnsi="Times New Roman"/>
                <w:b w:val="0"/>
                <w:i w:val="0"/>
                <w:sz w:val="19"/>
              </w:rPr>
              <w:t>0.948±0.002</w:t>
            </w:r>
          </w:p>
        </w:tc>
      </w:tr>
      <w:tr>
        <w:tc>
          <w:tcPr>
            <w:tcW w:type="dxa" w:w="2160"/>
          </w:tcPr>
          <w:p>
            <w:pPr>
              <w:jc w:val="center"/>
            </w:pPr>
            <w:r>
              <w:rPr>
                <w:rFonts w:ascii="Times New Roman" w:hAnsi="Times New Roman"/>
                <w:b w:val="0"/>
                <w:i w:val="0"/>
                <w:sz w:val="19"/>
              </w:rPr>
              <w:t>P1-B ESM-2 150M</w:t>
            </w:r>
          </w:p>
        </w:tc>
        <w:tc>
          <w:tcPr>
            <w:tcW w:type="dxa" w:w="1872"/>
          </w:tcPr>
          <w:p>
            <w:pPr>
              <w:jc w:val="center"/>
            </w:pPr>
            <w:r>
              <w:rPr>
                <w:rFonts w:ascii="Times New Roman" w:hAnsi="Times New Roman"/>
                <w:b w:val="0"/>
                <w:i w:val="0"/>
                <w:sz w:val="19"/>
              </w:rPr>
              <w:t>0.952±0.006</w:t>
            </w:r>
          </w:p>
        </w:tc>
        <w:tc>
          <w:tcPr>
            <w:tcW w:type="dxa" w:w="2016"/>
          </w:tcPr>
          <w:p>
            <w:pPr>
              <w:jc w:val="center"/>
            </w:pPr>
            <w:r>
              <w:rPr>
                <w:rFonts w:ascii="Times New Roman" w:hAnsi="Times New Roman"/>
                <w:b w:val="0"/>
                <w:i w:val="0"/>
                <w:sz w:val="19"/>
              </w:rPr>
              <w:t>0.905±0.005</w:t>
            </w:r>
          </w:p>
        </w:tc>
        <w:tc>
          <w:tcPr>
            <w:tcW w:type="dxa" w:w="2160"/>
          </w:tcPr>
          <w:p>
            <w:pPr>
              <w:jc w:val="center"/>
            </w:pPr>
            <w:r>
              <w:rPr>
                <w:rFonts w:ascii="Times New Roman" w:hAnsi="Times New Roman"/>
                <w:b/>
                <w:i w:val="0"/>
                <w:sz w:val="19"/>
              </w:rPr>
              <w:t>0.847±0.010</w:t>
            </w:r>
          </w:p>
        </w:tc>
        <w:tc>
          <w:tcPr>
            <w:tcW w:type="dxa" w:w="2016"/>
          </w:tcPr>
          <w:p>
            <w:pPr>
              <w:jc w:val="center"/>
            </w:pPr>
            <w:r>
              <w:rPr>
                <w:rFonts w:ascii="Times New Roman" w:hAnsi="Times New Roman"/>
                <w:b w:val="0"/>
                <w:i w:val="0"/>
                <w:sz w:val="19"/>
              </w:rPr>
              <w:t>0.952±0.003</w:t>
            </w:r>
          </w:p>
        </w:tc>
      </w:tr>
      <w:tr>
        <w:tc>
          <w:tcPr>
            <w:tcW w:type="dxa" w:w="2160"/>
            <w:shd w:val="clear" w:color="auto" w:fill="F2F4F7"/>
          </w:tcPr>
          <w:p>
            <w:pPr>
              <w:jc w:val="center"/>
            </w:pPr>
            <w:r>
              <w:rPr>
                <w:rFonts w:ascii="Times New Roman" w:hAnsi="Times New Roman"/>
                <w:b w:val="0"/>
                <w:i w:val="0"/>
                <w:sz w:val="19"/>
              </w:rPr>
              <w:t>Δ vs P1-A</w:t>
            </w:r>
          </w:p>
        </w:tc>
        <w:tc>
          <w:tcPr>
            <w:tcW w:type="dxa" w:w="1872"/>
            <w:shd w:val="clear" w:color="auto" w:fill="F2F4F7"/>
          </w:tcPr>
          <w:p>
            <w:pPr>
              <w:jc w:val="center"/>
            </w:pPr>
            <w:r>
              <w:rPr>
                <w:rFonts w:ascii="Times New Roman" w:hAnsi="Times New Roman"/>
                <w:b w:val="0"/>
                <w:i w:val="0"/>
                <w:sz w:val="19"/>
              </w:rPr>
              <w:t>+0.006 n.s.</w:t>
            </w:r>
          </w:p>
        </w:tc>
        <w:tc>
          <w:tcPr>
            <w:tcW w:type="dxa" w:w="2016"/>
            <w:shd w:val="clear" w:color="auto" w:fill="F2F4F7"/>
          </w:tcPr>
          <w:p>
            <w:pPr>
              <w:jc w:val="center"/>
            </w:pPr>
            <w:r>
              <w:rPr>
                <w:rFonts w:ascii="Times New Roman" w:hAnsi="Times New Roman"/>
                <w:b w:val="0"/>
                <w:i w:val="0"/>
                <w:sz w:val="19"/>
              </w:rPr>
              <w:t>−0.008 p&lt;0.05</w:t>
            </w:r>
          </w:p>
        </w:tc>
        <w:tc>
          <w:tcPr>
            <w:tcW w:type="dxa" w:w="2160"/>
            <w:shd w:val="clear" w:color="auto" w:fill="F2F4F7"/>
          </w:tcPr>
          <w:p>
            <w:pPr>
              <w:jc w:val="center"/>
            </w:pPr>
            <w:r>
              <w:rPr>
                <w:rFonts w:ascii="Times New Roman" w:hAnsi="Times New Roman"/>
                <w:b/>
                <w:i w:val="0"/>
                <w:sz w:val="19"/>
              </w:rPr>
              <w:t>+0.069 p&lt;0.01</w:t>
            </w:r>
          </w:p>
        </w:tc>
        <w:tc>
          <w:tcPr>
            <w:tcW w:type="dxa" w:w="2016"/>
            <w:shd w:val="clear" w:color="auto" w:fill="F2F4F7"/>
          </w:tcPr>
          <w:p>
            <w:pPr>
              <w:jc w:val="center"/>
            </w:pPr>
            <w:r>
              <w:rPr>
                <w:rFonts w:ascii="Times New Roman" w:hAnsi="Times New Roman"/>
                <w:b/>
                <w:i w:val="0"/>
                <w:sz w:val="19"/>
              </w:rPr>
              <w:t>+0.004 p&lt;0.01</w:t>
            </w:r>
          </w:p>
        </w:tc>
      </w:tr>
    </w:tbl>
    <w:p/>
    <w:p>
      <w:pPr>
        <w:spacing w:before="40" w:after="160"/>
        <w:jc w:val="center"/>
      </w:pPr>
      <w:r>
        <w:rPr>
          <w:rFonts w:ascii="Times New Roman" w:hAnsi="Times New Roman"/>
          <w:b w:val="0"/>
          <w:i/>
          <w:sz w:val="20"/>
        </w:rPr>
        <w:t>Table 4.9: Phase 1 AUROC — Luo_17. ESM-2 150M significantly improves cold_target (+0.069, p&lt;0.01).</w:t>
      </w:r>
    </w:p>
    <w:p>
      <w:pPr>
        <w:spacing w:after="80"/>
        <w:ind w:left="0"/>
        <w:jc w:val="both"/>
      </w:pPr>
      <w:r>
        <w:rPr>
          <w:rFonts w:ascii="Times New Roman" w:hAnsi="Times New Roman"/>
          <w:b w:val="0"/>
          <w:i w:val="0"/>
          <w:sz w:val="22"/>
        </w:rPr>
        <w:t>ESM-2 150M provides a significant cold_target improvement on Luo_17 (AUROC +0.069, AUPRC +0.096, both p&lt;0.01), but shows no statistically significant effect on Yamanishi_e (all n.s.). The dataset-size mediation is interpretable: Luo_17 has 1,512 proteins — sufficient for richer 480-dim representations to meaningfully improve unseen-protein coverage. Yamanishi_e has only 89 proteins; high seed variance (std up to 0.125 AUROC) swamps any embedding-scale signal. ESM-2 150M is recommended for large-dataset cold_target evaluation but adds unnecessary complexity for small benchmarks.</w:t>
      </w:r>
    </w:p>
    <w:p>
      <w:pPr>
        <w:spacing w:before="160" w:after="60"/>
      </w:pPr>
      <w:r>
        <w:rPr>
          <w:rFonts w:ascii="Times New Roman" w:hAnsi="Times New Roman"/>
          <w:b/>
          <w:i/>
          <w:color w:val="C06A00"/>
          <w:sz w:val="24"/>
        </w:rPr>
        <w:t>4.3.3 Phase 3: BindingDB Pre-Training</w:t>
      </w:r>
    </w:p>
    <w:p>
      <w:pPr>
        <w:spacing w:after="80"/>
        <w:ind w:left="0"/>
        <w:jc w:val="both"/>
      </w:pPr>
      <w:r>
        <w:rPr>
          <w:rFonts w:ascii="Times New Roman" w:hAnsi="Times New Roman"/>
          <w:b w:val="0"/>
          <w:i w:val="0"/>
          <w:sz w:val="22"/>
        </w:rPr>
        <w:t>Table 4.10 compares scratch training (C0) against BindingDB pre-training + fine-tuning (P3-A).</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448"/>
            <w:shd w:val="clear" w:color="auto" w:fill="1A375C"/>
            <w:vAlign w:val="center"/>
          </w:tcPr>
          <w:p>
            <w:pPr>
              <w:jc w:val="center"/>
            </w:pPr>
            <w:r>
              <w:rPr>
                <w:rFonts w:ascii="Times New Roman" w:hAnsi="Times New Roman"/>
                <w:b/>
                <w:i w:val="0"/>
                <w:color w:val="FFFFFF"/>
                <w:sz w:val="19"/>
              </w:rPr>
              <w:t>Config</w:t>
            </w:r>
          </w:p>
        </w:tc>
        <w:tc>
          <w:tcPr>
            <w:tcW w:type="dxa" w:w="1728"/>
            <w:shd w:val="clear" w:color="auto" w:fill="1A375C"/>
            <w:vAlign w:val="center"/>
          </w:tcPr>
          <w:p>
            <w:pPr>
              <w:jc w:val="center"/>
            </w:pPr>
            <w:r>
              <w:rPr>
                <w:rFonts w:ascii="Times New Roman" w:hAnsi="Times New Roman"/>
                <w:b/>
                <w:i w:val="0"/>
                <w:color w:val="FFFFFF"/>
                <w:sz w:val="19"/>
              </w:rPr>
              <w:t>yam. random</w:t>
            </w:r>
          </w:p>
        </w:tc>
        <w:tc>
          <w:tcPr>
            <w:tcW w:type="dxa" w:w="2016"/>
            <w:shd w:val="clear" w:color="auto" w:fill="1A375C"/>
            <w:vAlign w:val="center"/>
          </w:tcPr>
          <w:p>
            <w:pPr>
              <w:jc w:val="center"/>
            </w:pPr>
            <w:r>
              <w:rPr>
                <w:rFonts w:ascii="Times New Roman" w:hAnsi="Times New Roman"/>
                <w:b/>
                <w:i w:val="0"/>
                <w:color w:val="FFFFFF"/>
                <w:sz w:val="19"/>
              </w:rPr>
              <w:t>yam. cold_target</w:t>
            </w:r>
          </w:p>
        </w:tc>
        <w:tc>
          <w:tcPr>
            <w:tcW w:type="dxa" w:w="1872"/>
            <w:shd w:val="clear" w:color="auto" w:fill="1A375C"/>
            <w:vAlign w:val="center"/>
          </w:tcPr>
          <w:p>
            <w:pPr>
              <w:jc w:val="center"/>
            </w:pPr>
            <w:r>
              <w:rPr>
                <w:rFonts w:ascii="Times New Roman" w:hAnsi="Times New Roman"/>
                <w:b/>
                <w:i w:val="0"/>
                <w:color w:val="FFFFFF"/>
                <w:sz w:val="19"/>
              </w:rPr>
              <w:t>luo_17 random</w:t>
            </w:r>
          </w:p>
        </w:tc>
        <w:tc>
          <w:tcPr>
            <w:tcW w:type="dxa" w:w="2016"/>
            <w:shd w:val="clear" w:color="auto" w:fill="1A375C"/>
            <w:vAlign w:val="center"/>
          </w:tcPr>
          <w:p>
            <w:pPr>
              <w:jc w:val="center"/>
            </w:pPr>
            <w:r>
              <w:rPr>
                <w:rFonts w:ascii="Times New Roman" w:hAnsi="Times New Roman"/>
                <w:b/>
                <w:i w:val="0"/>
                <w:color w:val="FFFFFF"/>
                <w:sz w:val="19"/>
              </w:rPr>
              <w:t>luo_17 cold_target</w:t>
            </w:r>
          </w:p>
        </w:tc>
      </w:tr>
      <w:tr>
        <w:tc>
          <w:tcPr>
            <w:tcW w:type="dxa" w:w="2448"/>
            <w:shd w:val="clear" w:color="auto" w:fill="F2F4F7"/>
          </w:tcPr>
          <w:p>
            <w:pPr>
              <w:jc w:val="center"/>
            </w:pPr>
            <w:r>
              <w:rPr>
                <w:rFonts w:ascii="Times New Roman" w:hAnsi="Times New Roman"/>
                <w:b w:val="0"/>
                <w:i w:val="0"/>
                <w:sz w:val="19"/>
              </w:rPr>
              <w:t>C0 (scratch)</w:t>
            </w:r>
          </w:p>
        </w:tc>
        <w:tc>
          <w:tcPr>
            <w:tcW w:type="dxa" w:w="1728"/>
            <w:shd w:val="clear" w:color="auto" w:fill="F2F4F7"/>
          </w:tcPr>
          <w:p>
            <w:pPr>
              <w:jc w:val="center"/>
            </w:pPr>
            <w:r>
              <w:rPr>
                <w:rFonts w:ascii="Times New Roman" w:hAnsi="Times New Roman"/>
                <w:b w:val="0"/>
                <w:i w:val="0"/>
                <w:sz w:val="19"/>
              </w:rPr>
              <w:t>0.756±0.125</w:t>
            </w:r>
          </w:p>
        </w:tc>
        <w:tc>
          <w:tcPr>
            <w:tcW w:type="dxa" w:w="2016"/>
            <w:shd w:val="clear" w:color="auto" w:fill="F2F4F7"/>
          </w:tcPr>
          <w:p>
            <w:pPr>
              <w:jc w:val="center"/>
            </w:pPr>
            <w:r>
              <w:rPr>
                <w:rFonts w:ascii="Times New Roman" w:hAnsi="Times New Roman"/>
                <w:b w:val="0"/>
                <w:i w:val="0"/>
                <w:sz w:val="19"/>
              </w:rPr>
              <w:t>0.438±0.045</w:t>
            </w:r>
          </w:p>
        </w:tc>
        <w:tc>
          <w:tcPr>
            <w:tcW w:type="dxa" w:w="1872"/>
            <w:shd w:val="clear" w:color="auto" w:fill="F2F4F7"/>
          </w:tcPr>
          <w:p>
            <w:pPr>
              <w:jc w:val="center"/>
            </w:pPr>
            <w:r>
              <w:rPr>
                <w:rFonts w:ascii="Times New Roman" w:hAnsi="Times New Roman"/>
                <w:b w:val="0"/>
                <w:i w:val="0"/>
                <w:sz w:val="19"/>
              </w:rPr>
              <w:t>0.946±0.005</w:t>
            </w:r>
          </w:p>
        </w:tc>
        <w:tc>
          <w:tcPr>
            <w:tcW w:type="dxa" w:w="2016"/>
            <w:shd w:val="clear" w:color="auto" w:fill="F2F4F7"/>
          </w:tcPr>
          <w:p>
            <w:pPr>
              <w:jc w:val="center"/>
            </w:pPr>
            <w:r>
              <w:rPr>
                <w:rFonts w:ascii="Times New Roman" w:hAnsi="Times New Roman"/>
                <w:b w:val="0"/>
                <w:i w:val="0"/>
                <w:sz w:val="19"/>
              </w:rPr>
              <w:t>0.778±0.013</w:t>
            </w:r>
          </w:p>
        </w:tc>
      </w:tr>
      <w:tr>
        <w:tc>
          <w:tcPr>
            <w:tcW w:type="dxa" w:w="2448"/>
          </w:tcPr>
          <w:p>
            <w:pPr>
              <w:jc w:val="center"/>
            </w:pPr>
            <w:r>
              <w:rPr>
                <w:rFonts w:ascii="Times New Roman" w:hAnsi="Times New Roman"/>
                <w:b w:val="0"/>
                <w:i w:val="0"/>
                <w:sz w:val="19"/>
              </w:rPr>
              <w:t>P3-A (BindingDB pre.)</w:t>
            </w:r>
          </w:p>
        </w:tc>
        <w:tc>
          <w:tcPr>
            <w:tcW w:type="dxa" w:w="1728"/>
          </w:tcPr>
          <w:p>
            <w:pPr>
              <w:jc w:val="center"/>
            </w:pPr>
            <w:r>
              <w:rPr>
                <w:rFonts w:ascii="Times New Roman" w:hAnsi="Times New Roman"/>
                <w:b w:val="0"/>
                <w:i w:val="0"/>
                <w:sz w:val="19"/>
              </w:rPr>
              <w:t>0.624±0.103</w:t>
            </w:r>
          </w:p>
        </w:tc>
        <w:tc>
          <w:tcPr>
            <w:tcW w:type="dxa" w:w="2016"/>
          </w:tcPr>
          <w:p>
            <w:pPr>
              <w:jc w:val="center"/>
            </w:pPr>
            <w:r>
              <w:rPr>
                <w:rFonts w:ascii="Times New Roman" w:hAnsi="Times New Roman"/>
                <w:b w:val="0"/>
                <w:i w:val="0"/>
                <w:sz w:val="19"/>
              </w:rPr>
              <w:t>0.347±0.048</w:t>
            </w:r>
          </w:p>
        </w:tc>
        <w:tc>
          <w:tcPr>
            <w:tcW w:type="dxa" w:w="1872"/>
          </w:tcPr>
          <w:p>
            <w:pPr>
              <w:jc w:val="center"/>
            </w:pPr>
            <w:r>
              <w:rPr>
                <w:rFonts w:ascii="Times New Roman" w:hAnsi="Times New Roman"/>
                <w:b w:val="0"/>
                <w:i w:val="0"/>
                <w:sz w:val="19"/>
              </w:rPr>
              <w:t>0.954±0.007</w:t>
            </w:r>
          </w:p>
        </w:tc>
        <w:tc>
          <w:tcPr>
            <w:tcW w:type="dxa" w:w="2016"/>
          </w:tcPr>
          <w:p>
            <w:pPr>
              <w:jc w:val="center"/>
            </w:pPr>
            <w:r>
              <w:rPr>
                <w:rFonts w:ascii="Times New Roman" w:hAnsi="Times New Roman"/>
                <w:b/>
                <w:i w:val="0"/>
                <w:sz w:val="19"/>
              </w:rPr>
              <w:t>0.832±0.008</w:t>
            </w:r>
          </w:p>
        </w:tc>
      </w:tr>
      <w:tr>
        <w:tc>
          <w:tcPr>
            <w:tcW w:type="dxa" w:w="2448"/>
            <w:shd w:val="clear" w:color="auto" w:fill="F2F4F7"/>
          </w:tcPr>
          <w:p>
            <w:pPr>
              <w:jc w:val="center"/>
            </w:pPr>
            <w:r>
              <w:rPr>
                <w:rFonts w:ascii="Times New Roman" w:hAnsi="Times New Roman"/>
                <w:b w:val="0"/>
                <w:i w:val="0"/>
                <w:sz w:val="19"/>
              </w:rPr>
              <w:t>Δ (p-value)</w:t>
            </w:r>
          </w:p>
        </w:tc>
        <w:tc>
          <w:tcPr>
            <w:tcW w:type="dxa" w:w="1728"/>
            <w:shd w:val="clear" w:color="auto" w:fill="F2F4F7"/>
          </w:tcPr>
          <w:p>
            <w:pPr>
              <w:jc w:val="center"/>
            </w:pPr>
            <w:r>
              <w:rPr>
                <w:rFonts w:ascii="Times New Roman" w:hAnsi="Times New Roman"/>
                <w:b w:val="0"/>
                <w:i w:val="0"/>
                <w:sz w:val="19"/>
              </w:rPr>
              <w:t>−0.132 n.s.</w:t>
            </w:r>
          </w:p>
        </w:tc>
        <w:tc>
          <w:tcPr>
            <w:tcW w:type="dxa" w:w="2016"/>
            <w:shd w:val="clear" w:color="auto" w:fill="F2F4F7"/>
          </w:tcPr>
          <w:p>
            <w:pPr>
              <w:jc w:val="center"/>
            </w:pPr>
            <w:r>
              <w:rPr>
                <w:rFonts w:ascii="Times New Roman" w:hAnsi="Times New Roman"/>
                <w:b w:val="0"/>
                <w:i w:val="0"/>
                <w:sz w:val="19"/>
              </w:rPr>
              <w:t>−0.091 p&lt;0.05 ✗</w:t>
            </w:r>
          </w:p>
        </w:tc>
        <w:tc>
          <w:tcPr>
            <w:tcW w:type="dxa" w:w="1872"/>
            <w:shd w:val="clear" w:color="auto" w:fill="F2F4F7"/>
          </w:tcPr>
          <w:p>
            <w:pPr>
              <w:jc w:val="center"/>
            </w:pPr>
            <w:r>
              <w:rPr>
                <w:rFonts w:ascii="Times New Roman" w:hAnsi="Times New Roman"/>
                <w:b w:val="0"/>
                <w:i w:val="0"/>
                <w:sz w:val="19"/>
              </w:rPr>
              <w:t>+0.008 n.s.</w:t>
            </w:r>
          </w:p>
        </w:tc>
        <w:tc>
          <w:tcPr>
            <w:tcW w:type="dxa" w:w="2016"/>
            <w:shd w:val="clear" w:color="auto" w:fill="F2F4F7"/>
          </w:tcPr>
          <w:p>
            <w:pPr>
              <w:jc w:val="center"/>
            </w:pPr>
            <w:r>
              <w:rPr>
                <w:rFonts w:ascii="Times New Roman" w:hAnsi="Times New Roman"/>
                <w:b w:val="0"/>
                <w:i w:val="0"/>
                <w:sz w:val="19"/>
              </w:rPr>
              <w:t>+0.055 p&lt;0.01 ✓✓</w:t>
            </w:r>
          </w:p>
        </w:tc>
      </w:tr>
    </w:tbl>
    <w:p/>
    <w:p>
      <w:pPr>
        <w:spacing w:before="40" w:after="160"/>
        <w:jc w:val="center"/>
      </w:pPr>
      <w:r>
        <w:rPr>
          <w:rFonts w:ascii="Times New Roman" w:hAnsi="Times New Roman"/>
          <w:b w:val="0"/>
          <w:i/>
          <w:sz w:val="20"/>
        </w:rPr>
        <w:t>Table 4.10: Phase 3 AUROC — BindingDB pre-training vs. scratch. ✓=sig. better, ✗=sig. worse.</w:t>
      </w:r>
    </w:p>
    <w:p>
      <w:pPr>
        <w:spacing w:after="80"/>
        <w:ind w:left="0"/>
        <w:jc w:val="both"/>
      </w:pPr>
      <w:r>
        <w:rPr>
          <w:rFonts w:ascii="Times New Roman" w:hAnsi="Times New Roman"/>
          <w:b w:val="0"/>
          <w:i w:val="0"/>
          <w:sz w:val="22"/>
        </w:rPr>
        <w:t>BindingDB pre-training produces opposite effects on the two datasets. On Luo_17, cold_target improves significantly (+0.055 AUROC, +0.059 AUPRC, both p&lt;0.01). On Yamanishi_e, cold_target and cold_pair are significantly degraded (p&lt;0.05). This divergence is explained by two mechanisms:</w:t>
      </w:r>
    </w:p>
    <w:p>
      <w:pPr>
        <w:pStyle w:val="ListBullet"/>
        <w:spacing w:after="60"/>
        <w:ind w:left="432"/>
      </w:pPr>
      <w:r>
        <w:rPr>
          <w:rFonts w:ascii="Times New Roman" w:hAnsi="Times New Roman"/>
          <w:b w:val="0"/>
          <w:i w:val="0"/>
          <w:sz w:val="22"/>
        </w:rPr>
        <w:t>Domain alignment: BindingDB covers pharmacologically diverse interactions, similar to Luo_17 (708 DrugBank drugs across 1,512 human proteins). Yamanishi_e's 68 enzyme-substrate pairs are a narrow specialised sub-space under-represented in BindingDB.</w:t>
      </w:r>
    </w:p>
    <w:p>
      <w:pPr>
        <w:pStyle w:val="ListBullet"/>
        <w:spacing w:after="60"/>
        <w:ind w:left="432"/>
      </w:pPr>
      <w:r>
        <w:rPr>
          <w:rFonts w:ascii="Times New Roman" w:hAnsi="Times New Roman"/>
          <w:b w:val="0"/>
          <w:i w:val="0"/>
          <w:sz w:val="22"/>
        </w:rPr>
        <w:t>Protein encoder path mismatch: BindingDB pre-training uses mean-pooled protein embeddings (linear path), while Yamanishi_e uses per-residue BiGRU. Fine-tuning on Yamanishi_e starts with a pre-biased drug encoder paired with a random-init BiGRU — a conflicting initialisation on only 726 training pairs.</w:t>
      </w:r>
    </w:p>
    <w:p>
      <w:pPr>
        <w:spacing w:before="160" w:after="60"/>
      </w:pPr>
      <w:r>
        <w:rPr>
          <w:rFonts w:ascii="Times New Roman" w:hAnsi="Times New Roman"/>
          <w:b/>
          <w:i/>
          <w:color w:val="C06A00"/>
          <w:sz w:val="24"/>
        </w:rPr>
        <w:t>4.3.4 Phase 5: Combined Ablation C0→C1→C2→C3</w:t>
      </w:r>
    </w:p>
    <w:p>
      <w:pPr>
        <w:spacing w:after="80"/>
        <w:ind w:left="0"/>
        <w:jc w:val="both"/>
      </w:pPr>
      <w:r>
        <w:rPr>
          <w:rFonts w:ascii="Times New Roman" w:hAnsi="Times New Roman"/>
          <w:b w:val="0"/>
          <w:i w:val="0"/>
          <w:sz w:val="22"/>
        </w:rPr>
        <w:t>Table 4.11 presents the sequential ablation (C0=baseline; C1=ESM-2 150M; C2=ESM-2 150M + 1:5 ratio; C3=ESM-2 150M + 1:5 ratio + BindingDB pre-training).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92"/>
            <w:shd w:val="clear" w:color="auto" w:fill="1A375C"/>
            <w:vAlign w:val="center"/>
          </w:tcPr>
          <w:p>
            <w:pPr>
              <w:jc w:val="center"/>
            </w:pPr>
            <w:r>
              <w:rPr>
                <w:rFonts w:ascii="Times New Roman" w:hAnsi="Times New Roman"/>
                <w:b/>
                <w:i w:val="0"/>
                <w:color w:val="FFFFFF"/>
                <w:sz w:val="19"/>
              </w:rPr>
              <w:t>Config</w:t>
            </w:r>
          </w:p>
        </w:tc>
        <w:tc>
          <w:tcPr>
            <w:tcW w:type="dxa" w:w="1728"/>
            <w:shd w:val="clear" w:color="auto" w:fill="1A375C"/>
            <w:vAlign w:val="center"/>
          </w:tcPr>
          <w:p>
            <w:pPr>
              <w:jc w:val="center"/>
            </w:pPr>
            <w:r>
              <w:rPr>
                <w:rFonts w:ascii="Times New Roman" w:hAnsi="Times New Roman"/>
                <w:b/>
                <w:i w:val="0"/>
                <w:color w:val="FFFFFF"/>
                <w:sz w:val="19"/>
              </w:rPr>
              <w:t>yam. random</w:t>
            </w:r>
          </w:p>
        </w:tc>
        <w:tc>
          <w:tcPr>
            <w:tcW w:type="dxa" w:w="1872"/>
            <w:shd w:val="clear" w:color="auto" w:fill="1A375C"/>
            <w:vAlign w:val="center"/>
          </w:tcPr>
          <w:p>
            <w:pPr>
              <w:jc w:val="center"/>
            </w:pPr>
            <w:r>
              <w:rPr>
                <w:rFonts w:ascii="Times New Roman" w:hAnsi="Times New Roman"/>
                <w:b/>
                <w:i w:val="0"/>
                <w:color w:val="FFFFFF"/>
                <w:sz w:val="19"/>
              </w:rPr>
              <w:t>yam. cold_drug</w:t>
            </w:r>
          </w:p>
        </w:tc>
        <w:tc>
          <w:tcPr>
            <w:tcW w:type="dxa" w:w="2016"/>
            <w:shd w:val="clear" w:color="auto" w:fill="1A375C"/>
            <w:vAlign w:val="center"/>
          </w:tcPr>
          <w:p>
            <w:pPr>
              <w:jc w:val="center"/>
            </w:pPr>
            <w:r>
              <w:rPr>
                <w:rFonts w:ascii="Times New Roman" w:hAnsi="Times New Roman"/>
                <w:b/>
                <w:i w:val="0"/>
                <w:color w:val="FFFFFF"/>
                <w:sz w:val="19"/>
              </w:rPr>
              <w:t>yam. cold_target</w:t>
            </w:r>
          </w:p>
        </w:tc>
        <w:tc>
          <w:tcPr>
            <w:tcW w:type="dxa" w:w="1872"/>
            <w:shd w:val="clear" w:color="auto" w:fill="1A375C"/>
            <w:vAlign w:val="center"/>
          </w:tcPr>
          <w:p>
            <w:pPr>
              <w:jc w:val="center"/>
            </w:pPr>
            <w:r>
              <w:rPr>
                <w:rFonts w:ascii="Times New Roman" w:hAnsi="Times New Roman"/>
                <w:b/>
                <w:i w:val="0"/>
                <w:color w:val="FFFFFF"/>
                <w:sz w:val="19"/>
              </w:rPr>
              <w:t>yam. cold_pair</w:t>
            </w:r>
          </w:p>
        </w:tc>
      </w:tr>
      <w:tr>
        <w:tc>
          <w:tcPr>
            <w:tcW w:type="dxa" w:w="2592"/>
            <w:shd w:val="clear" w:color="auto" w:fill="F2F4F7"/>
          </w:tcPr>
          <w:p>
            <w:pPr>
              <w:jc w:val="center"/>
            </w:pPr>
            <w:r>
              <w:rPr>
                <w:rFonts w:ascii="Times New Roman" w:hAnsi="Times New Roman"/>
                <w:b w:val="0"/>
                <w:i w:val="0"/>
                <w:sz w:val="19"/>
              </w:rPr>
              <w:t>C0 (8M/1:1/none)</w:t>
            </w:r>
          </w:p>
        </w:tc>
        <w:tc>
          <w:tcPr>
            <w:tcW w:type="dxa" w:w="1728"/>
            <w:shd w:val="clear" w:color="auto" w:fill="F2F4F7"/>
          </w:tcPr>
          <w:p>
            <w:pPr>
              <w:jc w:val="center"/>
            </w:pPr>
            <w:r>
              <w:rPr>
                <w:rFonts w:ascii="Times New Roman" w:hAnsi="Times New Roman"/>
                <w:b w:val="0"/>
                <w:i w:val="0"/>
                <w:sz w:val="19"/>
              </w:rPr>
              <w:t>0.756±0.125</w:t>
            </w:r>
          </w:p>
        </w:tc>
        <w:tc>
          <w:tcPr>
            <w:tcW w:type="dxa" w:w="1872"/>
            <w:shd w:val="clear" w:color="auto" w:fill="F2F4F7"/>
          </w:tcPr>
          <w:p>
            <w:pPr>
              <w:jc w:val="center"/>
            </w:pPr>
            <w:r>
              <w:rPr>
                <w:rFonts w:ascii="Times New Roman" w:hAnsi="Times New Roman"/>
                <w:b w:val="0"/>
                <w:i w:val="0"/>
                <w:sz w:val="19"/>
              </w:rPr>
              <w:t>0.774±0.011</w:t>
            </w:r>
          </w:p>
        </w:tc>
        <w:tc>
          <w:tcPr>
            <w:tcW w:type="dxa" w:w="2016"/>
            <w:shd w:val="clear" w:color="auto" w:fill="F2F4F7"/>
          </w:tcPr>
          <w:p>
            <w:pPr>
              <w:jc w:val="center"/>
            </w:pPr>
            <w:r>
              <w:rPr>
                <w:rFonts w:ascii="Times New Roman" w:hAnsi="Times New Roman"/>
                <w:b w:val="0"/>
                <w:i w:val="0"/>
                <w:sz w:val="19"/>
              </w:rPr>
              <w:t>0.438±0.045</w:t>
            </w:r>
          </w:p>
        </w:tc>
        <w:tc>
          <w:tcPr>
            <w:tcW w:type="dxa" w:w="1872"/>
            <w:shd w:val="clear" w:color="auto" w:fill="F2F4F7"/>
          </w:tcPr>
          <w:p>
            <w:pPr>
              <w:jc w:val="center"/>
            </w:pPr>
            <w:r>
              <w:rPr>
                <w:rFonts w:ascii="Times New Roman" w:hAnsi="Times New Roman"/>
                <w:b w:val="0"/>
                <w:i w:val="0"/>
                <w:sz w:val="19"/>
              </w:rPr>
              <w:t>0.746±0.054</w:t>
            </w:r>
          </w:p>
        </w:tc>
      </w:tr>
      <w:tr>
        <w:tc>
          <w:tcPr>
            <w:tcW w:type="dxa" w:w="2592"/>
          </w:tcPr>
          <w:p>
            <w:pPr>
              <w:jc w:val="center"/>
            </w:pPr>
            <w:r>
              <w:rPr>
                <w:rFonts w:ascii="Times New Roman" w:hAnsi="Times New Roman"/>
                <w:b w:val="0"/>
                <w:i w:val="0"/>
                <w:sz w:val="19"/>
              </w:rPr>
              <w:t>C1 (150M/1:1/none)</w:t>
            </w:r>
          </w:p>
        </w:tc>
        <w:tc>
          <w:tcPr>
            <w:tcW w:type="dxa" w:w="1728"/>
          </w:tcPr>
          <w:p>
            <w:pPr>
              <w:jc w:val="center"/>
            </w:pPr>
            <w:r>
              <w:rPr>
                <w:rFonts w:ascii="Times New Roman" w:hAnsi="Times New Roman"/>
                <w:b w:val="0"/>
                <w:i w:val="0"/>
                <w:sz w:val="19"/>
              </w:rPr>
              <w:t>0.830±0.040</w:t>
            </w:r>
          </w:p>
        </w:tc>
        <w:tc>
          <w:tcPr>
            <w:tcW w:type="dxa" w:w="1872"/>
          </w:tcPr>
          <w:p>
            <w:pPr>
              <w:jc w:val="center"/>
            </w:pPr>
            <w:r>
              <w:rPr>
                <w:rFonts w:ascii="Times New Roman" w:hAnsi="Times New Roman"/>
                <w:b w:val="0"/>
                <w:i w:val="0"/>
                <w:sz w:val="19"/>
              </w:rPr>
              <w:t>0.743±0.021</w:t>
            </w:r>
          </w:p>
        </w:tc>
        <w:tc>
          <w:tcPr>
            <w:tcW w:type="dxa" w:w="2016"/>
          </w:tcPr>
          <w:p>
            <w:pPr>
              <w:jc w:val="center"/>
            </w:pPr>
            <w:r>
              <w:rPr>
                <w:rFonts w:ascii="Times New Roman" w:hAnsi="Times New Roman"/>
                <w:b w:val="0"/>
                <w:i w:val="0"/>
                <w:sz w:val="19"/>
              </w:rPr>
              <w:t>0.378±0.070</w:t>
            </w:r>
          </w:p>
        </w:tc>
        <w:tc>
          <w:tcPr>
            <w:tcW w:type="dxa" w:w="1872"/>
          </w:tcPr>
          <w:p>
            <w:pPr>
              <w:jc w:val="center"/>
            </w:pPr>
            <w:r>
              <w:rPr>
                <w:rFonts w:ascii="Times New Roman" w:hAnsi="Times New Roman"/>
                <w:b w:val="0"/>
                <w:i w:val="0"/>
                <w:sz w:val="19"/>
              </w:rPr>
              <w:t>0.778±0.024</w:t>
            </w:r>
          </w:p>
        </w:tc>
      </w:tr>
      <w:tr>
        <w:tc>
          <w:tcPr>
            <w:tcW w:type="dxa" w:w="2592"/>
            <w:shd w:val="clear" w:color="auto" w:fill="F2F4F7"/>
          </w:tcPr>
          <w:p>
            <w:pPr>
              <w:jc w:val="center"/>
            </w:pPr>
            <w:r>
              <w:rPr>
                <w:rFonts w:ascii="Times New Roman" w:hAnsi="Times New Roman"/>
                <w:b w:val="0"/>
                <w:i w:val="0"/>
                <w:sz w:val="19"/>
              </w:rPr>
              <w:t>C2 (150M/1:5/none)</w:t>
            </w:r>
          </w:p>
        </w:tc>
        <w:tc>
          <w:tcPr>
            <w:tcW w:type="dxa" w:w="1728"/>
            <w:shd w:val="clear" w:color="auto" w:fill="F2F4F7"/>
          </w:tcPr>
          <w:p>
            <w:pPr>
              <w:jc w:val="center"/>
            </w:pPr>
            <w:r>
              <w:rPr>
                <w:rFonts w:ascii="Times New Roman" w:hAnsi="Times New Roman"/>
                <w:b w:val="0"/>
                <w:i w:val="0"/>
                <w:sz w:val="19"/>
              </w:rPr>
              <w:t>0.730±0.097</w:t>
            </w:r>
          </w:p>
        </w:tc>
        <w:tc>
          <w:tcPr>
            <w:tcW w:type="dxa" w:w="1872"/>
            <w:shd w:val="clear" w:color="auto" w:fill="F2F4F7"/>
          </w:tcPr>
          <w:p>
            <w:pPr>
              <w:jc w:val="center"/>
            </w:pPr>
            <w:r>
              <w:rPr>
                <w:rFonts w:ascii="Times New Roman" w:hAnsi="Times New Roman"/>
                <w:b w:val="0"/>
                <w:i w:val="0"/>
                <w:sz w:val="19"/>
              </w:rPr>
              <w:t>0.773±0.034</w:t>
            </w:r>
          </w:p>
        </w:tc>
        <w:tc>
          <w:tcPr>
            <w:tcW w:type="dxa" w:w="2016"/>
            <w:shd w:val="clear" w:color="auto" w:fill="F2F4F7"/>
          </w:tcPr>
          <w:p>
            <w:pPr>
              <w:jc w:val="center"/>
            </w:pPr>
            <w:r>
              <w:rPr>
                <w:rFonts w:ascii="Times New Roman" w:hAnsi="Times New Roman"/>
                <w:b w:val="0"/>
                <w:i w:val="0"/>
                <w:sz w:val="19"/>
              </w:rPr>
              <w:t>0.528±0.218</w:t>
            </w:r>
          </w:p>
        </w:tc>
        <w:tc>
          <w:tcPr>
            <w:tcW w:type="dxa" w:w="1872"/>
            <w:shd w:val="clear" w:color="auto" w:fill="F2F4F7"/>
          </w:tcPr>
          <w:p>
            <w:pPr>
              <w:jc w:val="center"/>
            </w:pPr>
            <w:r>
              <w:rPr>
                <w:rFonts w:ascii="Times New Roman" w:hAnsi="Times New Roman"/>
                <w:b w:val="0"/>
                <w:i w:val="0"/>
                <w:sz w:val="19"/>
              </w:rPr>
              <w:t>0.719±0.061</w:t>
            </w:r>
          </w:p>
        </w:tc>
      </w:tr>
      <w:tr>
        <w:tc>
          <w:tcPr>
            <w:tcW w:type="dxa" w:w="2592"/>
          </w:tcPr>
          <w:p>
            <w:pPr>
              <w:jc w:val="center"/>
            </w:pPr>
            <w:r>
              <w:rPr>
                <w:rFonts w:ascii="Times New Roman" w:hAnsi="Times New Roman"/>
                <w:b w:val="0"/>
                <w:i w:val="0"/>
                <w:sz w:val="19"/>
              </w:rPr>
              <w:t>C3 (150M/1:5/BindingDB)</w:t>
            </w:r>
          </w:p>
        </w:tc>
        <w:tc>
          <w:tcPr>
            <w:tcW w:type="dxa" w:w="1728"/>
          </w:tcPr>
          <w:p>
            <w:pPr>
              <w:jc w:val="center"/>
            </w:pPr>
            <w:r>
              <w:rPr>
                <w:rFonts w:ascii="Times New Roman" w:hAnsi="Times New Roman"/>
                <w:b/>
                <w:i w:val="0"/>
                <w:sz w:val="19"/>
              </w:rPr>
              <w:t>0.850±0.013</w:t>
            </w:r>
          </w:p>
        </w:tc>
        <w:tc>
          <w:tcPr>
            <w:tcW w:type="dxa" w:w="1872"/>
          </w:tcPr>
          <w:p>
            <w:pPr>
              <w:jc w:val="center"/>
            </w:pPr>
            <w:r>
              <w:rPr>
                <w:rFonts w:ascii="Times New Roman" w:hAnsi="Times New Roman"/>
                <w:b/>
                <w:i w:val="0"/>
                <w:sz w:val="19"/>
              </w:rPr>
              <w:t>0.849±0.004</w:t>
            </w:r>
          </w:p>
        </w:tc>
        <w:tc>
          <w:tcPr>
            <w:tcW w:type="dxa" w:w="2016"/>
          </w:tcPr>
          <w:p>
            <w:pPr>
              <w:jc w:val="center"/>
            </w:pPr>
            <w:r>
              <w:rPr>
                <w:rFonts w:ascii="Times New Roman" w:hAnsi="Times New Roman"/>
                <w:b/>
                <w:i w:val="0"/>
                <w:sz w:val="19"/>
              </w:rPr>
              <w:t>0.575±0.222</w:t>
            </w:r>
          </w:p>
        </w:tc>
        <w:tc>
          <w:tcPr>
            <w:tcW w:type="dxa" w:w="1872"/>
          </w:tcPr>
          <w:p>
            <w:pPr>
              <w:jc w:val="center"/>
            </w:pPr>
            <w:r>
              <w:rPr>
                <w:rFonts w:ascii="Times New Roman" w:hAnsi="Times New Roman"/>
                <w:b/>
                <w:i w:val="0"/>
                <w:sz w:val="19"/>
              </w:rPr>
              <w:t>0.804±0.016</w:t>
            </w:r>
          </w:p>
        </w:tc>
      </w:tr>
    </w:tbl>
    <w:p/>
    <w:p>
      <w:pPr>
        <w:spacing w:before="40" w:after="160"/>
        <w:jc w:val="center"/>
      </w:pPr>
      <w:r>
        <w:rPr>
          <w:rFonts w:ascii="Times New Roman" w:hAnsi="Times New Roman"/>
          <w:b w:val="0"/>
          <w:i/>
          <w:sz w:val="20"/>
        </w:rPr>
        <w:t>Table 4.11a: Phase 5 ablation AUROC — Yamanishi_e (5 seeds).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92"/>
            <w:shd w:val="clear" w:color="auto" w:fill="1A375C"/>
            <w:vAlign w:val="center"/>
          </w:tcPr>
          <w:p>
            <w:pPr>
              <w:jc w:val="center"/>
            </w:pPr>
            <w:r>
              <w:rPr>
                <w:rFonts w:ascii="Times New Roman" w:hAnsi="Times New Roman"/>
                <w:b/>
                <w:i w:val="0"/>
                <w:color w:val="FFFFFF"/>
                <w:sz w:val="19"/>
              </w:rPr>
              <w:t>Config</w:t>
            </w:r>
          </w:p>
        </w:tc>
        <w:tc>
          <w:tcPr>
            <w:tcW w:type="dxa" w:w="1872"/>
            <w:shd w:val="clear" w:color="auto" w:fill="1A375C"/>
            <w:vAlign w:val="center"/>
          </w:tcPr>
          <w:p>
            <w:pPr>
              <w:jc w:val="center"/>
            </w:pPr>
            <w:r>
              <w:rPr>
                <w:rFonts w:ascii="Times New Roman" w:hAnsi="Times New Roman"/>
                <w:b/>
                <w:i w:val="0"/>
                <w:color w:val="FFFFFF"/>
                <w:sz w:val="19"/>
              </w:rPr>
              <w:t>luo_17 random</w:t>
            </w:r>
          </w:p>
        </w:tc>
        <w:tc>
          <w:tcPr>
            <w:tcW w:type="dxa" w:w="2016"/>
            <w:shd w:val="clear" w:color="auto" w:fill="1A375C"/>
            <w:vAlign w:val="center"/>
          </w:tcPr>
          <w:p>
            <w:pPr>
              <w:jc w:val="center"/>
            </w:pPr>
            <w:r>
              <w:rPr>
                <w:rFonts w:ascii="Times New Roman" w:hAnsi="Times New Roman"/>
                <w:b/>
                <w:i w:val="0"/>
                <w:color w:val="FFFFFF"/>
                <w:sz w:val="19"/>
              </w:rPr>
              <w:t>luo_17 cold_drug</w:t>
            </w:r>
          </w:p>
        </w:tc>
        <w:tc>
          <w:tcPr>
            <w:tcW w:type="dxa" w:w="2160"/>
            <w:shd w:val="clear" w:color="auto" w:fill="1A375C"/>
            <w:vAlign w:val="center"/>
          </w:tcPr>
          <w:p>
            <w:pPr>
              <w:jc w:val="center"/>
            </w:pPr>
            <w:r>
              <w:rPr>
                <w:rFonts w:ascii="Times New Roman" w:hAnsi="Times New Roman"/>
                <w:b/>
                <w:i w:val="0"/>
                <w:color w:val="FFFFFF"/>
                <w:sz w:val="19"/>
              </w:rPr>
              <w:t>luo_17 cold_target</w:t>
            </w:r>
          </w:p>
        </w:tc>
        <w:tc>
          <w:tcPr>
            <w:tcW w:type="dxa" w:w="2016"/>
            <w:shd w:val="clear" w:color="auto" w:fill="1A375C"/>
            <w:vAlign w:val="center"/>
          </w:tcPr>
          <w:p>
            <w:pPr>
              <w:jc w:val="center"/>
            </w:pPr>
            <w:r>
              <w:rPr>
                <w:rFonts w:ascii="Times New Roman" w:hAnsi="Times New Roman"/>
                <w:b/>
                <w:i w:val="0"/>
                <w:color w:val="FFFFFF"/>
                <w:sz w:val="19"/>
              </w:rPr>
              <w:t>luo_17 cold_pair</w:t>
            </w:r>
          </w:p>
        </w:tc>
      </w:tr>
      <w:tr>
        <w:tc>
          <w:tcPr>
            <w:tcW w:type="dxa" w:w="2592"/>
            <w:shd w:val="clear" w:color="auto" w:fill="F2F4F7"/>
          </w:tcPr>
          <w:p>
            <w:pPr>
              <w:jc w:val="center"/>
            </w:pPr>
            <w:r>
              <w:rPr>
                <w:rFonts w:ascii="Times New Roman" w:hAnsi="Times New Roman"/>
                <w:b w:val="0"/>
                <w:i w:val="0"/>
                <w:sz w:val="19"/>
              </w:rPr>
              <w:t>C0 (8M/1:1/none)</w:t>
            </w:r>
          </w:p>
        </w:tc>
        <w:tc>
          <w:tcPr>
            <w:tcW w:type="dxa" w:w="1872"/>
            <w:shd w:val="clear" w:color="auto" w:fill="F2F4F7"/>
          </w:tcPr>
          <w:p>
            <w:pPr>
              <w:jc w:val="center"/>
            </w:pPr>
            <w:r>
              <w:rPr>
                <w:rFonts w:ascii="Times New Roman" w:hAnsi="Times New Roman"/>
                <w:b w:val="0"/>
                <w:i w:val="0"/>
                <w:sz w:val="19"/>
              </w:rPr>
              <w:t>0.946±0.005</w:t>
            </w:r>
          </w:p>
        </w:tc>
        <w:tc>
          <w:tcPr>
            <w:tcW w:type="dxa" w:w="2016"/>
            <w:shd w:val="clear" w:color="auto" w:fill="F2F4F7"/>
          </w:tcPr>
          <w:p>
            <w:pPr>
              <w:jc w:val="center"/>
            </w:pPr>
            <w:r>
              <w:rPr>
                <w:rFonts w:ascii="Times New Roman" w:hAnsi="Times New Roman"/>
                <w:b w:val="0"/>
                <w:i w:val="0"/>
                <w:sz w:val="19"/>
              </w:rPr>
              <w:t>0.913±0.009</w:t>
            </w:r>
          </w:p>
        </w:tc>
        <w:tc>
          <w:tcPr>
            <w:tcW w:type="dxa" w:w="2160"/>
            <w:shd w:val="clear" w:color="auto" w:fill="F2F4F7"/>
          </w:tcPr>
          <w:p>
            <w:pPr>
              <w:jc w:val="center"/>
            </w:pPr>
            <w:r>
              <w:rPr>
                <w:rFonts w:ascii="Times New Roman" w:hAnsi="Times New Roman"/>
                <w:b w:val="0"/>
                <w:i w:val="0"/>
                <w:sz w:val="19"/>
              </w:rPr>
              <w:t>0.778±0.013</w:t>
            </w:r>
          </w:p>
        </w:tc>
        <w:tc>
          <w:tcPr>
            <w:tcW w:type="dxa" w:w="2016"/>
            <w:shd w:val="clear" w:color="auto" w:fill="F2F4F7"/>
          </w:tcPr>
          <w:p>
            <w:pPr>
              <w:jc w:val="center"/>
            </w:pPr>
            <w:r>
              <w:rPr>
                <w:rFonts w:ascii="Times New Roman" w:hAnsi="Times New Roman"/>
                <w:b w:val="0"/>
                <w:i w:val="0"/>
                <w:sz w:val="19"/>
              </w:rPr>
              <w:t>0.948±0.002</w:t>
            </w:r>
          </w:p>
        </w:tc>
      </w:tr>
      <w:tr>
        <w:tc>
          <w:tcPr>
            <w:tcW w:type="dxa" w:w="2592"/>
          </w:tcPr>
          <w:p>
            <w:pPr>
              <w:jc w:val="center"/>
            </w:pPr>
            <w:r>
              <w:rPr>
                <w:rFonts w:ascii="Times New Roman" w:hAnsi="Times New Roman"/>
                <w:b w:val="0"/>
                <w:i w:val="0"/>
                <w:sz w:val="19"/>
              </w:rPr>
              <w:t>C1 (150M/1:1/none)</w:t>
            </w:r>
          </w:p>
        </w:tc>
        <w:tc>
          <w:tcPr>
            <w:tcW w:type="dxa" w:w="1872"/>
          </w:tcPr>
          <w:p>
            <w:pPr>
              <w:jc w:val="center"/>
            </w:pPr>
            <w:r>
              <w:rPr>
                <w:rFonts w:ascii="Times New Roman" w:hAnsi="Times New Roman"/>
                <w:b w:val="0"/>
                <w:i w:val="0"/>
                <w:sz w:val="19"/>
              </w:rPr>
              <w:t>0.952±0.006</w:t>
            </w:r>
          </w:p>
        </w:tc>
        <w:tc>
          <w:tcPr>
            <w:tcW w:type="dxa" w:w="2016"/>
          </w:tcPr>
          <w:p>
            <w:pPr>
              <w:jc w:val="center"/>
            </w:pPr>
            <w:r>
              <w:rPr>
                <w:rFonts w:ascii="Times New Roman" w:hAnsi="Times New Roman"/>
                <w:b w:val="0"/>
                <w:i w:val="0"/>
                <w:sz w:val="19"/>
              </w:rPr>
              <w:t>0.905±0.005</w:t>
            </w:r>
          </w:p>
        </w:tc>
        <w:tc>
          <w:tcPr>
            <w:tcW w:type="dxa" w:w="2160"/>
          </w:tcPr>
          <w:p>
            <w:pPr>
              <w:jc w:val="center"/>
            </w:pPr>
            <w:r>
              <w:rPr>
                <w:rFonts w:ascii="Times New Roman" w:hAnsi="Times New Roman"/>
                <w:b w:val="0"/>
                <w:i w:val="0"/>
                <w:sz w:val="19"/>
              </w:rPr>
              <w:t>0.847±0.010</w:t>
            </w:r>
          </w:p>
        </w:tc>
        <w:tc>
          <w:tcPr>
            <w:tcW w:type="dxa" w:w="2016"/>
          </w:tcPr>
          <w:p>
            <w:pPr>
              <w:jc w:val="center"/>
            </w:pPr>
            <w:r>
              <w:rPr>
                <w:rFonts w:ascii="Times New Roman" w:hAnsi="Times New Roman"/>
                <w:b w:val="0"/>
                <w:i w:val="0"/>
                <w:sz w:val="19"/>
              </w:rPr>
              <w:t>0.952±0.003</w:t>
            </w:r>
          </w:p>
        </w:tc>
      </w:tr>
      <w:tr>
        <w:tc>
          <w:tcPr>
            <w:tcW w:type="dxa" w:w="2592"/>
            <w:shd w:val="clear" w:color="auto" w:fill="F2F4F7"/>
          </w:tcPr>
          <w:p>
            <w:pPr>
              <w:jc w:val="center"/>
            </w:pPr>
            <w:r>
              <w:rPr>
                <w:rFonts w:ascii="Times New Roman" w:hAnsi="Times New Roman"/>
                <w:b w:val="0"/>
                <w:i w:val="0"/>
                <w:sz w:val="19"/>
              </w:rPr>
              <w:t>C2 (150M/1:5/none)</w:t>
            </w:r>
          </w:p>
        </w:tc>
        <w:tc>
          <w:tcPr>
            <w:tcW w:type="dxa" w:w="1872"/>
            <w:shd w:val="clear" w:color="auto" w:fill="F2F4F7"/>
          </w:tcPr>
          <w:p>
            <w:pPr>
              <w:jc w:val="center"/>
            </w:pPr>
            <w:r>
              <w:rPr>
                <w:rFonts w:ascii="Times New Roman" w:hAnsi="Times New Roman"/>
                <w:b/>
                <w:i w:val="0"/>
                <w:sz w:val="19"/>
              </w:rPr>
              <w:t>0.965±0.006</w:t>
            </w:r>
          </w:p>
        </w:tc>
        <w:tc>
          <w:tcPr>
            <w:tcW w:type="dxa" w:w="2016"/>
            <w:shd w:val="clear" w:color="auto" w:fill="F2F4F7"/>
          </w:tcPr>
          <w:p>
            <w:pPr>
              <w:jc w:val="center"/>
            </w:pPr>
            <w:r>
              <w:rPr>
                <w:rFonts w:ascii="Times New Roman" w:hAnsi="Times New Roman"/>
                <w:b w:val="0"/>
                <w:i w:val="0"/>
                <w:sz w:val="19"/>
              </w:rPr>
              <w:t>0.851±0.010</w:t>
            </w:r>
          </w:p>
        </w:tc>
        <w:tc>
          <w:tcPr>
            <w:tcW w:type="dxa" w:w="2160"/>
            <w:shd w:val="clear" w:color="auto" w:fill="F2F4F7"/>
          </w:tcPr>
          <w:p>
            <w:pPr>
              <w:jc w:val="center"/>
            </w:pPr>
            <w:r>
              <w:rPr>
                <w:rFonts w:ascii="Times New Roman" w:hAnsi="Times New Roman"/>
                <w:b w:val="0"/>
                <w:i w:val="0"/>
                <w:sz w:val="19"/>
              </w:rPr>
              <w:t>0.838±0.029</w:t>
            </w:r>
          </w:p>
        </w:tc>
        <w:tc>
          <w:tcPr>
            <w:tcW w:type="dxa" w:w="2016"/>
            <w:shd w:val="clear" w:color="auto" w:fill="F2F4F7"/>
          </w:tcPr>
          <w:p>
            <w:pPr>
              <w:jc w:val="center"/>
            </w:pPr>
            <w:r>
              <w:rPr>
                <w:rFonts w:ascii="Times New Roman" w:hAnsi="Times New Roman"/>
                <w:b w:val="0"/>
                <w:i w:val="0"/>
                <w:sz w:val="19"/>
              </w:rPr>
              <w:t>0.938±0.007</w:t>
            </w:r>
          </w:p>
        </w:tc>
      </w:tr>
      <w:tr>
        <w:tc>
          <w:tcPr>
            <w:tcW w:type="dxa" w:w="2592"/>
          </w:tcPr>
          <w:p>
            <w:pPr>
              <w:jc w:val="center"/>
            </w:pPr>
            <w:r>
              <w:rPr>
                <w:rFonts w:ascii="Times New Roman" w:hAnsi="Times New Roman"/>
                <w:b w:val="0"/>
                <w:i w:val="0"/>
                <w:sz w:val="19"/>
              </w:rPr>
              <w:t>C3 (150M/1:5/BindingDB)</w:t>
            </w:r>
          </w:p>
        </w:tc>
        <w:tc>
          <w:tcPr>
            <w:tcW w:type="dxa" w:w="1872"/>
          </w:tcPr>
          <w:p>
            <w:pPr>
              <w:jc w:val="center"/>
            </w:pPr>
            <w:r>
              <w:rPr>
                <w:rFonts w:ascii="Times New Roman" w:hAnsi="Times New Roman"/>
                <w:b w:val="0"/>
                <w:i w:val="0"/>
                <w:sz w:val="19"/>
              </w:rPr>
              <w:t>0.963±0.002</w:t>
            </w:r>
          </w:p>
        </w:tc>
        <w:tc>
          <w:tcPr>
            <w:tcW w:type="dxa" w:w="2016"/>
          </w:tcPr>
          <w:p>
            <w:pPr>
              <w:jc w:val="center"/>
            </w:pPr>
            <w:r>
              <w:rPr>
                <w:rFonts w:ascii="Times New Roman" w:hAnsi="Times New Roman"/>
                <w:b w:val="0"/>
                <w:i w:val="0"/>
                <w:sz w:val="19"/>
              </w:rPr>
              <w:t>0.874±0.017</w:t>
            </w:r>
          </w:p>
        </w:tc>
        <w:tc>
          <w:tcPr>
            <w:tcW w:type="dxa" w:w="2160"/>
          </w:tcPr>
          <w:p>
            <w:pPr>
              <w:jc w:val="center"/>
            </w:pPr>
            <w:r>
              <w:rPr>
                <w:rFonts w:ascii="Times New Roman" w:hAnsi="Times New Roman"/>
                <w:b/>
                <w:i w:val="0"/>
                <w:sz w:val="19"/>
              </w:rPr>
              <w:t>0.847±0.014</w:t>
            </w:r>
          </w:p>
        </w:tc>
        <w:tc>
          <w:tcPr>
            <w:tcW w:type="dxa" w:w="2016"/>
          </w:tcPr>
          <w:p>
            <w:pPr>
              <w:jc w:val="center"/>
            </w:pPr>
            <w:r>
              <w:rPr>
                <w:rFonts w:ascii="Times New Roman" w:hAnsi="Times New Roman"/>
                <w:b/>
                <w:i w:val="0"/>
                <w:sz w:val="19"/>
              </w:rPr>
              <w:t>0.954±0.004</w:t>
            </w:r>
          </w:p>
        </w:tc>
      </w:tr>
    </w:tbl>
    <w:p/>
    <w:p>
      <w:pPr>
        <w:spacing w:before="40" w:after="160"/>
        <w:jc w:val="center"/>
      </w:pPr>
      <w:r>
        <w:rPr>
          <w:rFonts w:ascii="Times New Roman" w:hAnsi="Times New Roman"/>
          <w:b w:val="0"/>
          <w:i/>
          <w:sz w:val="20"/>
        </w:rPr>
        <w:t>Table 4.11b: Phase 5 ablation AUROC — Luo_17 (5 seeds).</w:t>
      </w:r>
    </w:p>
    <w:p>
      <w:pPr>
        <w:spacing w:after="80"/>
        <w:ind w:left="0"/>
        <w:jc w:val="both"/>
      </w:pPr>
      <w:r>
        <w:rPr>
          <w:rFonts w:ascii="Times New Roman" w:hAnsi="Times New Roman"/>
          <w:b w:val="0"/>
          <w:i w:val="0"/>
          <w:sz w:val="22"/>
        </w:rPr>
        <w:t>The combined ablation reveals that improvements are NOT additive. C2 (150M + 1:5) underperforms both components alone on key metrics: Luo_17 cold_drug degrades by −0.062 vs. C0 (p&lt;0.01); Yamanishi_e cold_target (0.528 ± 0.218, n.s. vs. C0) is far below Phase 2 alone (0.706, p&lt;0.01). The interaction effect suggests the 1:5 ratio calibrated for 8M embeddings is mismatched with the 150M feature landscape — richer embeddings shift the decision boundary in a way that the standard 1:5 calibration disrupts.</w:t>
      </w:r>
    </w:p>
    <w:p>
      <w:pPr>
        <w:spacing w:after="80"/>
        <w:ind w:left="0"/>
        <w:jc w:val="both"/>
      </w:pPr>
      <w:r>
        <w:rPr>
          <w:rFonts w:ascii="Times New Roman" w:hAnsi="Times New Roman"/>
          <w:b w:val="0"/>
          <w:i w:val="0"/>
          <w:sz w:val="22"/>
        </w:rPr>
        <w:t>C3 (adding BindingDB pre-training) partially resolves these conflicts. On Yamanishi_e, C3 is the best-performing configuration on all four splits; cold_drug reaches +0.075 vs. C0 (p&lt;0.01) — the only statistically significant improvement on that split in the entire Objective 2 study. On Luo_17, C3 ties C1 on cold_target (0.847 ± 0.014, +0.069 vs. C0, p&lt;0.01) and achieves the best cold_pair (0.954 ± 0.004). The cost is persistent AUPRC degradation from the 1:5 ratio (5/8 splits significantly below C0 AUPRC in C3).</w:t>
      </w:r>
    </w:p>
    <w:p>
      <w:pPr>
        <w:spacing w:after="80"/>
        <w:ind w:left="0"/>
        <w:jc w:val="both"/>
      </w:pPr>
      <w:r>
        <w:rPr>
          <w:rFonts w:ascii="Times New Roman" w:hAnsi="Times New Roman"/>
          <w:b w:val="0"/>
          <w:i w:val="0"/>
          <w:sz w:val="22"/>
        </w:rPr>
        <w:t>Hierarchy of improvement: negative-sampling ratio &gt; BindingDB pre-training &gt; ESM-2 embedding scale for AUROC on cold-start splits. Embedding scale alone is the safest choice when both AUROC and AUPRC are important.</w:t>
      </w:r>
    </w:p>
    <w:p>
      <w:pPr>
        <w:spacing w:before="240" w:after="80"/>
        <w:jc w:val="left"/>
      </w:pPr>
      <w:r>
        <w:rPr>
          <w:rFonts w:ascii="Times New Roman" w:hAnsi="Times New Roman"/>
          <w:b/>
          <w:i w:val="0"/>
          <w:color w:val="007B8A"/>
          <w:sz w:val="26"/>
        </w:rPr>
        <w:t>4.4 Objective 3: Attention-Based Interpretability</w:t>
      </w:r>
    </w:p>
    <w:p>
      <w:pPr>
        <w:spacing w:after="80"/>
        <w:ind w:left="0"/>
        <w:jc w:val="both"/>
      </w:pPr>
      <w:r>
        <w:rPr>
          <w:rFonts w:ascii="Times New Roman" w:hAnsi="Times New Roman"/>
          <w:b w:val="0"/>
          <w:i w:val="0"/>
          <w:sz w:val="22"/>
        </w:rPr>
        <w:t>Objective 3 implemented and validated an attention-based interpretability framework using drug atom attribution, protein residue attribution, quantitative faithfulness metrics, pharmacophore precision, and PDB binding-site validation.</w:t>
      </w:r>
    </w:p>
    <w:p>
      <w:pPr>
        <w:spacing w:before="160" w:after="60"/>
      </w:pPr>
      <w:r>
        <w:rPr>
          <w:rFonts w:ascii="Times New Roman" w:hAnsi="Times New Roman"/>
          <w:b/>
          <w:i/>
          <w:color w:val="C06A00"/>
          <w:sz w:val="24"/>
        </w:rPr>
        <w:t>4.4.1 Drug Attribution — Faithfulness and Pharmacophore Metrics</w:t>
      </w:r>
    </w:p>
    <w:p>
      <w:pPr>
        <w:spacing w:after="80"/>
        <w:ind w:left="0"/>
        <w:jc w:val="both"/>
      </w:pPr>
      <w:r>
        <w:rPr>
          <w:rFonts w:ascii="Times New Roman" w:hAnsi="Times New Roman"/>
          <w:b w:val="0"/>
          <w:i w:val="0"/>
          <w:sz w:val="22"/>
        </w:rPr>
        <w:t>Pilot case: L-Tryptophan (DB00150) vs. ADORA3 receptor (P19838), Luo_17 C3 checkpoint (cold_target seed 1). DTI prediction probability = 0.869. Table 4.12 reports faithfulness metrics.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shd w:val="clear" w:color="auto" w:fill="1A375C"/>
            <w:vAlign w:val="center"/>
          </w:tcPr>
          <w:p>
            <w:pPr>
              <w:jc w:val="center"/>
            </w:pPr>
            <w:r>
              <w:rPr>
                <w:rFonts w:ascii="Times New Roman" w:hAnsi="Times New Roman"/>
                <w:b/>
                <w:i w:val="0"/>
                <w:color w:val="FFFFFF"/>
                <w:sz w:val="19"/>
              </w:rPr>
              <w:t>Method</w:t>
            </w:r>
          </w:p>
        </w:tc>
        <w:tc>
          <w:tcPr>
            <w:tcW w:type="dxa" w:w="2160"/>
            <w:shd w:val="clear" w:color="auto" w:fill="1A375C"/>
            <w:vAlign w:val="center"/>
          </w:tcPr>
          <w:p>
            <w:pPr>
              <w:jc w:val="center"/>
            </w:pPr>
            <w:r>
              <w:rPr>
                <w:rFonts w:ascii="Times New Roman" w:hAnsi="Times New Roman"/>
                <w:b/>
                <w:i w:val="0"/>
                <w:color w:val="FFFFFF"/>
                <w:sz w:val="19"/>
              </w:rPr>
              <w:t>Faithfulness AUC</w:t>
            </w:r>
          </w:p>
        </w:tc>
        <w:tc>
          <w:tcPr>
            <w:tcW w:type="dxa" w:w="1728"/>
            <w:shd w:val="clear" w:color="auto" w:fill="1A375C"/>
            <w:vAlign w:val="center"/>
          </w:tcPr>
          <w:p>
            <w:pPr>
              <w:jc w:val="center"/>
            </w:pPr>
            <w:r>
              <w:rPr>
                <w:rFonts w:ascii="Times New Roman" w:hAnsi="Times New Roman"/>
                <w:b/>
                <w:i w:val="0"/>
                <w:color w:val="FFFFFF"/>
                <w:sz w:val="19"/>
              </w:rPr>
              <w:t>Random AUC</w:t>
            </w:r>
          </w:p>
        </w:tc>
        <w:tc>
          <w:tcPr>
            <w:tcW w:type="dxa" w:w="1728"/>
            <w:shd w:val="clear" w:color="auto" w:fill="1A375C"/>
            <w:vAlign w:val="center"/>
          </w:tcPr>
          <w:p>
            <w:pPr>
              <w:jc w:val="center"/>
            </w:pPr>
            <w:r>
              <w:rPr>
                <w:rFonts w:ascii="Times New Roman" w:hAnsi="Times New Roman"/>
                <w:b/>
                <w:i w:val="0"/>
                <w:color w:val="FFFFFF"/>
                <w:sz w:val="19"/>
              </w:rPr>
              <w:t>Advantage</w:t>
            </w:r>
          </w:p>
        </w:tc>
        <w:tc>
          <w:tcPr>
            <w:tcW w:type="dxa" w:w="1440"/>
            <w:shd w:val="clear" w:color="auto" w:fill="1A375C"/>
            <w:vAlign w:val="center"/>
          </w:tcPr>
          <w:p>
            <w:pPr>
              <w:jc w:val="center"/>
            </w:pPr>
            <w:r>
              <w:rPr>
                <w:rFonts w:ascii="Times New Roman" w:hAnsi="Times New Roman"/>
                <w:b/>
                <w:i w:val="0"/>
                <w:color w:val="FFFFFF"/>
                <w:sz w:val="19"/>
              </w:rPr>
              <w:t>PharmAP</w:t>
            </w:r>
          </w:p>
        </w:tc>
      </w:tr>
      <w:tr>
        <w:tc>
          <w:tcPr>
            <w:tcW w:type="dxa" w:w="2160"/>
            <w:shd w:val="clear" w:color="auto" w:fill="F2F4F7"/>
          </w:tcPr>
          <w:p>
            <w:pPr>
              <w:jc w:val="center"/>
            </w:pPr>
            <w:r>
              <w:rPr>
                <w:rFonts w:ascii="Times New Roman" w:hAnsi="Times New Roman"/>
                <w:b w:val="0"/>
                <w:i w:val="0"/>
                <w:sz w:val="19"/>
              </w:rPr>
              <w:t>Random</w:t>
            </w:r>
          </w:p>
        </w:tc>
        <w:tc>
          <w:tcPr>
            <w:tcW w:type="dxa" w:w="2160"/>
            <w:shd w:val="clear" w:color="auto" w:fill="F2F4F7"/>
          </w:tcPr>
          <w:p>
            <w:pPr>
              <w:jc w:val="center"/>
            </w:pPr>
            <w:r>
              <w:rPr>
                <w:rFonts w:ascii="Times New Roman" w:hAnsi="Times New Roman"/>
                <w:b w:val="0"/>
                <w:i w:val="0"/>
                <w:sz w:val="19"/>
              </w:rPr>
              <w:t>+0.169</w:t>
            </w:r>
          </w:p>
        </w:tc>
        <w:tc>
          <w:tcPr>
            <w:tcW w:type="dxa" w:w="1728"/>
            <w:shd w:val="clear" w:color="auto" w:fill="F2F4F7"/>
          </w:tcPr>
          <w:p>
            <w:pPr>
              <w:jc w:val="center"/>
            </w:pPr>
            <w:r>
              <w:rPr>
                <w:rFonts w:ascii="Times New Roman" w:hAnsi="Times New Roman"/>
                <w:b w:val="0"/>
                <w:i w:val="0"/>
                <w:sz w:val="19"/>
              </w:rPr>
              <w:t>+0.149</w:t>
            </w:r>
          </w:p>
        </w:tc>
        <w:tc>
          <w:tcPr>
            <w:tcW w:type="dxa" w:w="1728"/>
            <w:shd w:val="clear" w:color="auto" w:fill="F2F4F7"/>
          </w:tcPr>
          <w:p>
            <w:pPr>
              <w:jc w:val="center"/>
            </w:pPr>
            <w:r>
              <w:rPr>
                <w:rFonts w:ascii="Times New Roman" w:hAnsi="Times New Roman"/>
                <w:b w:val="0"/>
                <w:i w:val="0"/>
                <w:sz w:val="19"/>
              </w:rPr>
              <w:t>+0.020</w:t>
            </w:r>
          </w:p>
        </w:tc>
        <w:tc>
          <w:tcPr>
            <w:tcW w:type="dxa" w:w="1440"/>
            <w:shd w:val="clear" w:color="auto" w:fill="F2F4F7"/>
          </w:tcPr>
          <w:p>
            <w:pPr>
              <w:jc w:val="center"/>
            </w:pPr>
            <w:r>
              <w:rPr>
                <w:rFonts w:ascii="Times New Roman" w:hAnsi="Times New Roman"/>
                <w:b w:val="0"/>
                <w:i w:val="0"/>
                <w:sz w:val="19"/>
              </w:rPr>
              <w:t>0.583</w:t>
            </w:r>
          </w:p>
        </w:tc>
      </w:tr>
      <w:tr>
        <w:tc>
          <w:tcPr>
            <w:tcW w:type="dxa" w:w="2160"/>
          </w:tcPr>
          <w:p>
            <w:pPr>
              <w:jc w:val="center"/>
            </w:pPr>
            <w:r>
              <w:rPr>
                <w:rFonts w:ascii="Times New Roman" w:hAnsi="Times New Roman"/>
                <w:b w:val="0"/>
                <w:i w:val="0"/>
                <w:sz w:val="19"/>
              </w:rPr>
              <w:t>Input Gradient</w:t>
            </w:r>
          </w:p>
        </w:tc>
        <w:tc>
          <w:tcPr>
            <w:tcW w:type="dxa" w:w="2160"/>
          </w:tcPr>
          <w:p>
            <w:pPr>
              <w:jc w:val="center"/>
            </w:pPr>
            <w:r>
              <w:rPr>
                <w:rFonts w:ascii="Times New Roman" w:hAnsi="Times New Roman"/>
                <w:b w:val="0"/>
                <w:i w:val="0"/>
                <w:sz w:val="19"/>
              </w:rPr>
              <w:t>+0.226</w:t>
            </w:r>
          </w:p>
        </w:tc>
        <w:tc>
          <w:tcPr>
            <w:tcW w:type="dxa" w:w="1728"/>
          </w:tcPr>
          <w:p>
            <w:pPr>
              <w:jc w:val="center"/>
            </w:pPr>
            <w:r>
              <w:rPr>
                <w:rFonts w:ascii="Times New Roman" w:hAnsi="Times New Roman"/>
                <w:b w:val="0"/>
                <w:i w:val="0"/>
                <w:sz w:val="19"/>
              </w:rPr>
              <w:t>+0.149</w:t>
            </w:r>
          </w:p>
        </w:tc>
        <w:tc>
          <w:tcPr>
            <w:tcW w:type="dxa" w:w="1728"/>
          </w:tcPr>
          <w:p>
            <w:pPr>
              <w:jc w:val="center"/>
            </w:pPr>
            <w:r>
              <w:rPr>
                <w:rFonts w:ascii="Times New Roman" w:hAnsi="Times New Roman"/>
                <w:b w:val="0"/>
                <w:i w:val="0"/>
                <w:sz w:val="19"/>
              </w:rPr>
              <w:t>+0.077</w:t>
            </w:r>
          </w:p>
        </w:tc>
        <w:tc>
          <w:tcPr>
            <w:tcW w:type="dxa" w:w="1440"/>
          </w:tcPr>
          <w:p>
            <w:pPr>
              <w:jc w:val="center"/>
            </w:pPr>
            <w:r>
              <w:rPr>
                <w:rFonts w:ascii="Times New Roman" w:hAnsi="Times New Roman"/>
                <w:b w:val="0"/>
                <w:i w:val="0"/>
                <w:sz w:val="19"/>
              </w:rPr>
              <w:t>0.327</w:t>
            </w:r>
          </w:p>
        </w:tc>
      </w:tr>
      <w:tr>
        <w:tc>
          <w:tcPr>
            <w:tcW w:type="dxa" w:w="2160"/>
            <w:shd w:val="clear" w:color="auto" w:fill="F2F4F7"/>
          </w:tcPr>
          <w:p>
            <w:pPr>
              <w:jc w:val="center"/>
            </w:pPr>
            <w:r>
              <w:rPr>
                <w:rFonts w:ascii="Times New Roman" w:hAnsi="Times New Roman"/>
                <w:b w:val="0"/>
                <w:i w:val="0"/>
                <w:sz w:val="19"/>
              </w:rPr>
              <w:t>Graph Grad-CAM</w:t>
            </w:r>
          </w:p>
        </w:tc>
        <w:tc>
          <w:tcPr>
            <w:tcW w:type="dxa" w:w="2160"/>
            <w:shd w:val="clear" w:color="auto" w:fill="F2F4F7"/>
          </w:tcPr>
          <w:p>
            <w:pPr>
              <w:jc w:val="center"/>
            </w:pPr>
            <w:r>
              <w:rPr>
                <w:rFonts w:ascii="Times New Roman" w:hAnsi="Times New Roman"/>
                <w:b w:val="0"/>
                <w:i w:val="0"/>
                <w:sz w:val="19"/>
              </w:rPr>
              <w:t>+0.157</w:t>
            </w:r>
          </w:p>
        </w:tc>
        <w:tc>
          <w:tcPr>
            <w:tcW w:type="dxa" w:w="1728"/>
            <w:shd w:val="clear" w:color="auto" w:fill="F2F4F7"/>
          </w:tcPr>
          <w:p>
            <w:pPr>
              <w:jc w:val="center"/>
            </w:pPr>
            <w:r>
              <w:rPr>
                <w:rFonts w:ascii="Times New Roman" w:hAnsi="Times New Roman"/>
                <w:b w:val="0"/>
                <w:i w:val="0"/>
                <w:sz w:val="19"/>
              </w:rPr>
              <w:t>+0.149</w:t>
            </w:r>
          </w:p>
        </w:tc>
        <w:tc>
          <w:tcPr>
            <w:tcW w:type="dxa" w:w="1728"/>
            <w:shd w:val="clear" w:color="auto" w:fill="F2F4F7"/>
          </w:tcPr>
          <w:p>
            <w:pPr>
              <w:jc w:val="center"/>
            </w:pPr>
            <w:r>
              <w:rPr>
                <w:rFonts w:ascii="Times New Roman" w:hAnsi="Times New Roman"/>
                <w:b w:val="0"/>
                <w:i w:val="0"/>
                <w:sz w:val="19"/>
              </w:rPr>
              <w:t>+0.008</w:t>
            </w:r>
          </w:p>
        </w:tc>
        <w:tc>
          <w:tcPr>
            <w:tcW w:type="dxa" w:w="1440"/>
            <w:shd w:val="clear" w:color="auto" w:fill="F2F4F7"/>
          </w:tcPr>
          <w:p>
            <w:pPr>
              <w:jc w:val="center"/>
            </w:pPr>
            <w:r>
              <w:rPr>
                <w:rFonts w:ascii="Times New Roman" w:hAnsi="Times New Roman"/>
                <w:b w:val="0"/>
                <w:i w:val="0"/>
                <w:sz w:val="19"/>
              </w:rPr>
              <w:t>0.458</w:t>
            </w:r>
          </w:p>
        </w:tc>
      </w:tr>
      <w:tr>
        <w:tc>
          <w:tcPr>
            <w:tcW w:type="dxa" w:w="2160"/>
          </w:tcPr>
          <w:p>
            <w:pPr>
              <w:jc w:val="center"/>
            </w:pPr>
            <w:r>
              <w:rPr>
                <w:rFonts w:ascii="Times New Roman" w:hAnsi="Times New Roman"/>
                <w:b/>
                <w:i w:val="0"/>
                <w:sz w:val="19"/>
              </w:rPr>
              <w:t>Ensemble</w:t>
            </w:r>
          </w:p>
        </w:tc>
        <w:tc>
          <w:tcPr>
            <w:tcW w:type="dxa" w:w="2160"/>
          </w:tcPr>
          <w:p>
            <w:pPr>
              <w:jc w:val="center"/>
            </w:pPr>
            <w:r>
              <w:rPr>
                <w:rFonts w:ascii="Times New Roman" w:hAnsi="Times New Roman"/>
                <w:b/>
                <w:i w:val="0"/>
                <w:sz w:val="19"/>
              </w:rPr>
              <w:t>+0.255</w:t>
            </w:r>
          </w:p>
        </w:tc>
        <w:tc>
          <w:tcPr>
            <w:tcW w:type="dxa" w:w="1728"/>
          </w:tcPr>
          <w:p>
            <w:pPr>
              <w:jc w:val="center"/>
            </w:pPr>
            <w:r>
              <w:rPr>
                <w:rFonts w:ascii="Times New Roman" w:hAnsi="Times New Roman"/>
                <w:b w:val="0"/>
                <w:i w:val="0"/>
                <w:sz w:val="19"/>
              </w:rPr>
              <w:t>+0.149</w:t>
            </w:r>
          </w:p>
        </w:tc>
        <w:tc>
          <w:tcPr>
            <w:tcW w:type="dxa" w:w="1728"/>
          </w:tcPr>
          <w:p>
            <w:pPr>
              <w:jc w:val="center"/>
            </w:pPr>
            <w:r>
              <w:rPr>
                <w:rFonts w:ascii="Times New Roman" w:hAnsi="Times New Roman"/>
                <w:b/>
                <w:i w:val="0"/>
                <w:sz w:val="19"/>
              </w:rPr>
              <w:t>+0.106</w:t>
            </w:r>
          </w:p>
        </w:tc>
        <w:tc>
          <w:tcPr>
            <w:tcW w:type="dxa" w:w="1440"/>
          </w:tcPr>
          <w:p>
            <w:pPr>
              <w:jc w:val="center"/>
            </w:pPr>
            <w:r>
              <w:rPr>
                <w:rFonts w:ascii="Times New Roman" w:hAnsi="Times New Roman"/>
                <w:b w:val="0"/>
                <w:i w:val="0"/>
                <w:sz w:val="19"/>
              </w:rPr>
              <w:t>0.423</w:t>
            </w:r>
          </w:p>
        </w:tc>
      </w:tr>
    </w:tbl>
    <w:p/>
    <w:p>
      <w:pPr>
        <w:spacing w:before="40" w:after="160"/>
        <w:jc w:val="center"/>
      </w:pPr>
      <w:r>
        <w:rPr>
          <w:rFonts w:ascii="Times New Roman" w:hAnsi="Times New Roman"/>
          <w:b w:val="0"/>
          <w:i/>
          <w:sz w:val="20"/>
        </w:rPr>
        <w:t>Table 4.12: Drug attribution faithfulness — DB00150/P19838 (C3 checkpoint). Ensemble achieves highest faithfulness advantage (+0.106).</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728"/>
            <w:shd w:val="clear" w:color="auto" w:fill="1A375C"/>
            <w:vAlign w:val="center"/>
          </w:tcPr>
          <w:p>
            <w:pPr>
              <w:jc w:val="center"/>
            </w:pPr>
            <w:r>
              <w:rPr>
                <w:rFonts w:ascii="Times New Roman" w:hAnsi="Times New Roman"/>
                <w:b/>
                <w:i w:val="0"/>
                <w:color w:val="FFFFFF"/>
                <w:sz w:val="19"/>
              </w:rPr>
              <w:t>Top-k%</w:t>
            </w:r>
          </w:p>
        </w:tc>
        <w:tc>
          <w:tcPr>
            <w:tcW w:type="dxa" w:w="1584"/>
            <w:shd w:val="clear" w:color="auto" w:fill="1A375C"/>
            <w:vAlign w:val="center"/>
          </w:tcPr>
          <w:p>
            <w:pPr>
              <w:jc w:val="center"/>
            </w:pPr>
            <w:r>
              <w:rPr>
                <w:rFonts w:ascii="Times New Roman" w:hAnsi="Times New Roman"/>
                <w:b/>
                <w:i w:val="0"/>
                <w:color w:val="FFFFFF"/>
                <w:sz w:val="19"/>
              </w:rPr>
              <w:t>Mean P@k</w:t>
            </w:r>
          </w:p>
        </w:tc>
        <w:tc>
          <w:tcPr>
            <w:tcW w:type="dxa" w:w="1440"/>
            <w:shd w:val="clear" w:color="auto" w:fill="1A375C"/>
            <w:vAlign w:val="center"/>
          </w:tcPr>
          <w:p>
            <w:pPr>
              <w:jc w:val="center"/>
            </w:pPr>
            <w:r>
              <w:rPr>
                <w:rFonts w:ascii="Times New Roman" w:hAnsi="Times New Roman"/>
                <w:b/>
                <w:i w:val="0"/>
                <w:color w:val="FFFFFF"/>
                <w:sz w:val="19"/>
              </w:rPr>
              <w:t>HBD</w:t>
            </w:r>
          </w:p>
        </w:tc>
        <w:tc>
          <w:tcPr>
            <w:tcW w:type="dxa" w:w="1440"/>
            <w:shd w:val="clear" w:color="auto" w:fill="1A375C"/>
            <w:vAlign w:val="center"/>
          </w:tcPr>
          <w:p>
            <w:pPr>
              <w:jc w:val="center"/>
            </w:pPr>
            <w:r>
              <w:rPr>
                <w:rFonts w:ascii="Times New Roman" w:hAnsi="Times New Roman"/>
                <w:b/>
                <w:i w:val="0"/>
                <w:color w:val="FFFFFF"/>
                <w:sz w:val="19"/>
              </w:rPr>
              <w:t>HBA</w:t>
            </w:r>
          </w:p>
        </w:tc>
        <w:tc>
          <w:tcPr>
            <w:tcW w:type="dxa" w:w="1440"/>
            <w:shd w:val="clear" w:color="auto" w:fill="1A375C"/>
            <w:vAlign w:val="center"/>
          </w:tcPr>
          <w:p>
            <w:pPr>
              <w:jc w:val="center"/>
            </w:pPr>
            <w:r>
              <w:rPr>
                <w:rFonts w:ascii="Times New Roman" w:hAnsi="Times New Roman"/>
                <w:b/>
                <w:i w:val="0"/>
                <w:color w:val="FFFFFF"/>
                <w:sz w:val="19"/>
              </w:rPr>
              <w:t>Aromatic</w:t>
            </w:r>
          </w:p>
        </w:tc>
        <w:tc>
          <w:tcPr>
            <w:tcW w:type="dxa" w:w="1728"/>
            <w:shd w:val="clear" w:color="auto" w:fill="1A375C"/>
            <w:vAlign w:val="center"/>
          </w:tcPr>
          <w:p>
            <w:pPr>
              <w:jc w:val="center"/>
            </w:pPr>
            <w:r>
              <w:rPr>
                <w:rFonts w:ascii="Times New Roman" w:hAnsi="Times New Roman"/>
                <w:b/>
                <w:i w:val="0"/>
                <w:color w:val="FFFFFF"/>
                <w:sz w:val="19"/>
              </w:rPr>
              <w:t>Hydrophobic</w:t>
            </w:r>
          </w:p>
        </w:tc>
      </w:tr>
      <w:tr>
        <w:tc>
          <w:tcPr>
            <w:tcW w:type="dxa" w:w="1728"/>
            <w:shd w:val="clear" w:color="auto" w:fill="F2F4F7"/>
          </w:tcPr>
          <w:p>
            <w:pPr>
              <w:jc w:val="center"/>
            </w:pPr>
            <w:r>
              <w:rPr>
                <w:rFonts w:ascii="Times New Roman" w:hAnsi="Times New Roman"/>
                <w:b w:val="0"/>
                <w:i w:val="0"/>
                <w:sz w:val="19"/>
              </w:rPr>
              <w:t>5%</w:t>
            </w:r>
          </w:p>
        </w:tc>
        <w:tc>
          <w:tcPr>
            <w:tcW w:type="dxa" w:w="1584"/>
            <w:shd w:val="clear" w:color="auto" w:fill="F2F4F7"/>
          </w:tcPr>
          <w:p>
            <w:pPr>
              <w:jc w:val="center"/>
            </w:pPr>
            <w:r>
              <w:rPr>
                <w:rFonts w:ascii="Times New Roman" w:hAnsi="Times New Roman"/>
                <w:b w:val="0"/>
                <w:i w:val="0"/>
                <w:sz w:val="19"/>
              </w:rPr>
              <w:t>0.250</w:t>
            </w:r>
          </w:p>
        </w:tc>
        <w:tc>
          <w:tcPr>
            <w:tcW w:type="dxa" w:w="1440"/>
            <w:shd w:val="clear" w:color="auto" w:fill="F2F4F7"/>
          </w:tcPr>
          <w:p>
            <w:pPr>
              <w:jc w:val="center"/>
            </w:pPr>
            <w:r>
              <w:rPr>
                <w:rFonts w:ascii="Times New Roman" w:hAnsi="Times New Roman"/>
                <w:b w:val="0"/>
                <w:i w:val="0"/>
                <w:sz w:val="19"/>
              </w:rPr>
              <w:t>0.00</w:t>
            </w:r>
          </w:p>
        </w:tc>
        <w:tc>
          <w:tcPr>
            <w:tcW w:type="dxa" w:w="1440"/>
            <w:shd w:val="clear" w:color="auto" w:fill="F2F4F7"/>
          </w:tcPr>
          <w:p>
            <w:pPr>
              <w:jc w:val="center"/>
            </w:pPr>
            <w:r>
              <w:rPr>
                <w:rFonts w:ascii="Times New Roman" w:hAnsi="Times New Roman"/>
                <w:b w:val="0"/>
                <w:i w:val="0"/>
                <w:sz w:val="19"/>
              </w:rPr>
              <w:t>0.00</w:t>
            </w:r>
          </w:p>
        </w:tc>
        <w:tc>
          <w:tcPr>
            <w:tcW w:type="dxa" w:w="1440"/>
            <w:shd w:val="clear" w:color="auto" w:fill="F2F4F7"/>
          </w:tcPr>
          <w:p>
            <w:pPr>
              <w:jc w:val="center"/>
            </w:pPr>
            <w:r>
              <w:rPr>
                <w:rFonts w:ascii="Times New Roman" w:hAnsi="Times New Roman"/>
                <w:b w:val="0"/>
                <w:i w:val="0"/>
                <w:sz w:val="19"/>
              </w:rPr>
              <w:t>0.00</w:t>
            </w:r>
          </w:p>
        </w:tc>
        <w:tc>
          <w:tcPr>
            <w:tcW w:type="dxa" w:w="1728"/>
            <w:shd w:val="clear" w:color="auto" w:fill="F2F4F7"/>
          </w:tcPr>
          <w:p>
            <w:pPr>
              <w:jc w:val="center"/>
            </w:pPr>
            <w:r>
              <w:rPr>
                <w:rFonts w:ascii="Times New Roman" w:hAnsi="Times New Roman"/>
                <w:b w:val="0"/>
                <w:i w:val="0"/>
                <w:sz w:val="19"/>
              </w:rPr>
              <w:t>1.00</w:t>
            </w:r>
          </w:p>
        </w:tc>
      </w:tr>
      <w:tr>
        <w:tc>
          <w:tcPr>
            <w:tcW w:type="dxa" w:w="1728"/>
          </w:tcPr>
          <w:p>
            <w:pPr>
              <w:jc w:val="center"/>
            </w:pPr>
            <w:r>
              <w:rPr>
                <w:rFonts w:ascii="Times New Roman" w:hAnsi="Times New Roman"/>
                <w:b w:val="0"/>
                <w:i w:val="0"/>
                <w:sz w:val="19"/>
              </w:rPr>
              <w:t>10%</w:t>
            </w:r>
          </w:p>
        </w:tc>
        <w:tc>
          <w:tcPr>
            <w:tcW w:type="dxa" w:w="1584"/>
          </w:tcPr>
          <w:p>
            <w:pPr>
              <w:jc w:val="center"/>
            </w:pPr>
            <w:r>
              <w:rPr>
                <w:rFonts w:ascii="Times New Roman" w:hAnsi="Times New Roman"/>
                <w:b w:val="0"/>
                <w:i w:val="0"/>
                <w:sz w:val="19"/>
              </w:rPr>
              <w:t>0.500</w:t>
            </w:r>
          </w:p>
        </w:tc>
        <w:tc>
          <w:tcPr>
            <w:tcW w:type="dxa" w:w="1440"/>
          </w:tcPr>
          <w:p>
            <w:pPr>
              <w:jc w:val="center"/>
            </w:pPr>
            <w:r>
              <w:rPr>
                <w:rFonts w:ascii="Times New Roman" w:hAnsi="Times New Roman"/>
                <w:b w:val="0"/>
                <w:i w:val="0"/>
                <w:sz w:val="19"/>
              </w:rPr>
              <w:t>0.50</w:t>
            </w:r>
          </w:p>
        </w:tc>
        <w:tc>
          <w:tcPr>
            <w:tcW w:type="dxa" w:w="1440"/>
          </w:tcPr>
          <w:p>
            <w:pPr>
              <w:jc w:val="center"/>
            </w:pPr>
            <w:r>
              <w:rPr>
                <w:rFonts w:ascii="Times New Roman" w:hAnsi="Times New Roman"/>
                <w:b w:val="0"/>
                <w:i w:val="0"/>
                <w:sz w:val="19"/>
              </w:rPr>
              <w:t>0.50</w:t>
            </w:r>
          </w:p>
        </w:tc>
        <w:tc>
          <w:tcPr>
            <w:tcW w:type="dxa" w:w="1440"/>
          </w:tcPr>
          <w:p>
            <w:pPr>
              <w:jc w:val="center"/>
            </w:pPr>
            <w:r>
              <w:rPr>
                <w:rFonts w:ascii="Times New Roman" w:hAnsi="Times New Roman"/>
                <w:b w:val="0"/>
                <w:i w:val="0"/>
                <w:sz w:val="19"/>
              </w:rPr>
              <w:t>0.50</w:t>
            </w:r>
          </w:p>
        </w:tc>
        <w:tc>
          <w:tcPr>
            <w:tcW w:type="dxa" w:w="1728"/>
          </w:tcPr>
          <w:p>
            <w:pPr>
              <w:jc w:val="center"/>
            </w:pPr>
            <w:r>
              <w:rPr>
                <w:rFonts w:ascii="Times New Roman" w:hAnsi="Times New Roman"/>
                <w:b w:val="0"/>
                <w:i w:val="0"/>
                <w:sz w:val="19"/>
              </w:rPr>
              <w:t>0.50</w:t>
            </w:r>
          </w:p>
        </w:tc>
      </w:tr>
      <w:tr>
        <w:tc>
          <w:tcPr>
            <w:tcW w:type="dxa" w:w="1728"/>
            <w:shd w:val="clear" w:color="auto" w:fill="F2F4F7"/>
          </w:tcPr>
          <w:p>
            <w:pPr>
              <w:jc w:val="center"/>
            </w:pPr>
            <w:r>
              <w:rPr>
                <w:rFonts w:ascii="Times New Roman" w:hAnsi="Times New Roman"/>
                <w:b w:val="0"/>
                <w:i w:val="0"/>
                <w:sz w:val="19"/>
              </w:rPr>
              <w:t>15%</w:t>
            </w:r>
          </w:p>
        </w:tc>
        <w:tc>
          <w:tcPr>
            <w:tcW w:type="dxa" w:w="1584"/>
            <w:shd w:val="clear" w:color="auto" w:fill="F2F4F7"/>
          </w:tcPr>
          <w:p>
            <w:pPr>
              <w:jc w:val="center"/>
            </w:pPr>
            <w:r>
              <w:rPr>
                <w:rFonts w:ascii="Times New Roman" w:hAnsi="Times New Roman"/>
                <w:b w:val="0"/>
                <w:i w:val="0"/>
                <w:sz w:val="19"/>
              </w:rPr>
              <w:t>0.500</w:t>
            </w:r>
          </w:p>
        </w:tc>
        <w:tc>
          <w:tcPr>
            <w:tcW w:type="dxa" w:w="1440"/>
            <w:shd w:val="clear" w:color="auto" w:fill="F2F4F7"/>
          </w:tcPr>
          <w:p>
            <w:pPr>
              <w:jc w:val="center"/>
            </w:pPr>
            <w:r>
              <w:rPr>
                <w:rFonts w:ascii="Times New Roman" w:hAnsi="Times New Roman"/>
                <w:b w:val="0"/>
                <w:i w:val="0"/>
                <w:sz w:val="19"/>
              </w:rPr>
              <w:t>0.50</w:t>
            </w:r>
          </w:p>
        </w:tc>
        <w:tc>
          <w:tcPr>
            <w:tcW w:type="dxa" w:w="1440"/>
            <w:shd w:val="clear" w:color="auto" w:fill="F2F4F7"/>
          </w:tcPr>
          <w:p>
            <w:pPr>
              <w:jc w:val="center"/>
            </w:pPr>
            <w:r>
              <w:rPr>
                <w:rFonts w:ascii="Times New Roman" w:hAnsi="Times New Roman"/>
                <w:b w:val="0"/>
                <w:i w:val="0"/>
                <w:sz w:val="19"/>
              </w:rPr>
              <w:t>0.50</w:t>
            </w:r>
          </w:p>
        </w:tc>
        <w:tc>
          <w:tcPr>
            <w:tcW w:type="dxa" w:w="1440"/>
            <w:shd w:val="clear" w:color="auto" w:fill="F2F4F7"/>
          </w:tcPr>
          <w:p>
            <w:pPr>
              <w:jc w:val="center"/>
            </w:pPr>
            <w:r>
              <w:rPr>
                <w:rFonts w:ascii="Times New Roman" w:hAnsi="Times New Roman"/>
                <w:b w:val="0"/>
                <w:i w:val="0"/>
                <w:sz w:val="19"/>
              </w:rPr>
              <w:t>0.50</w:t>
            </w:r>
          </w:p>
        </w:tc>
        <w:tc>
          <w:tcPr>
            <w:tcW w:type="dxa" w:w="1728"/>
            <w:shd w:val="clear" w:color="auto" w:fill="F2F4F7"/>
          </w:tcPr>
          <w:p>
            <w:pPr>
              <w:jc w:val="center"/>
            </w:pPr>
            <w:r>
              <w:rPr>
                <w:rFonts w:ascii="Times New Roman" w:hAnsi="Times New Roman"/>
                <w:b w:val="0"/>
                <w:i w:val="0"/>
                <w:sz w:val="19"/>
              </w:rPr>
              <w:t>0.50</w:t>
            </w:r>
          </w:p>
        </w:tc>
      </w:tr>
      <w:tr>
        <w:tc>
          <w:tcPr>
            <w:tcW w:type="dxa" w:w="1728"/>
          </w:tcPr>
          <w:p>
            <w:pPr>
              <w:jc w:val="center"/>
            </w:pPr>
            <w:r>
              <w:rPr>
                <w:rFonts w:ascii="Times New Roman" w:hAnsi="Times New Roman"/>
                <w:b w:val="0"/>
                <w:i w:val="0"/>
                <w:sz w:val="19"/>
              </w:rPr>
              <w:t>20%</w:t>
            </w:r>
          </w:p>
        </w:tc>
        <w:tc>
          <w:tcPr>
            <w:tcW w:type="dxa" w:w="1584"/>
          </w:tcPr>
          <w:p>
            <w:pPr>
              <w:jc w:val="center"/>
            </w:pPr>
            <w:r>
              <w:rPr>
                <w:rFonts w:ascii="Times New Roman" w:hAnsi="Times New Roman"/>
                <w:b w:val="0"/>
                <w:i w:val="0"/>
                <w:sz w:val="19"/>
              </w:rPr>
              <w:t>0.417</w:t>
            </w:r>
          </w:p>
        </w:tc>
        <w:tc>
          <w:tcPr>
            <w:tcW w:type="dxa" w:w="1440"/>
          </w:tcPr>
          <w:p>
            <w:pPr>
              <w:jc w:val="center"/>
            </w:pPr>
            <w:r>
              <w:rPr>
                <w:rFonts w:ascii="Times New Roman" w:hAnsi="Times New Roman"/>
                <w:b w:val="0"/>
                <w:i w:val="0"/>
                <w:sz w:val="19"/>
              </w:rPr>
              <w:t>0.33</w:t>
            </w:r>
          </w:p>
        </w:tc>
        <w:tc>
          <w:tcPr>
            <w:tcW w:type="dxa" w:w="1440"/>
          </w:tcPr>
          <w:p>
            <w:pPr>
              <w:jc w:val="center"/>
            </w:pPr>
            <w:r>
              <w:rPr>
                <w:rFonts w:ascii="Times New Roman" w:hAnsi="Times New Roman"/>
                <w:b w:val="0"/>
                <w:i w:val="0"/>
                <w:sz w:val="19"/>
              </w:rPr>
              <w:t>0.67</w:t>
            </w:r>
          </w:p>
        </w:tc>
        <w:tc>
          <w:tcPr>
            <w:tcW w:type="dxa" w:w="1440"/>
          </w:tcPr>
          <w:p>
            <w:pPr>
              <w:jc w:val="center"/>
            </w:pPr>
            <w:r>
              <w:rPr>
                <w:rFonts w:ascii="Times New Roman" w:hAnsi="Times New Roman"/>
                <w:b w:val="0"/>
                <w:i w:val="0"/>
                <w:sz w:val="19"/>
              </w:rPr>
              <w:t>0.33</w:t>
            </w:r>
          </w:p>
        </w:tc>
        <w:tc>
          <w:tcPr>
            <w:tcW w:type="dxa" w:w="1728"/>
          </w:tcPr>
          <w:p>
            <w:pPr>
              <w:jc w:val="center"/>
            </w:pPr>
            <w:r>
              <w:rPr>
                <w:rFonts w:ascii="Times New Roman" w:hAnsi="Times New Roman"/>
                <w:b w:val="0"/>
                <w:i w:val="0"/>
                <w:sz w:val="19"/>
              </w:rPr>
              <w:t>0.33</w:t>
            </w:r>
          </w:p>
        </w:tc>
      </w:tr>
      <w:tr>
        <w:tc>
          <w:tcPr>
            <w:tcW w:type="dxa" w:w="1728"/>
            <w:shd w:val="clear" w:color="auto" w:fill="F2F4F7"/>
          </w:tcPr>
          <w:p>
            <w:pPr>
              <w:jc w:val="center"/>
            </w:pPr>
            <w:r>
              <w:rPr>
                <w:rFonts w:ascii="Times New Roman" w:hAnsi="Times New Roman"/>
                <w:b w:val="0"/>
                <w:i w:val="0"/>
                <w:sz w:val="19"/>
              </w:rPr>
              <w:t>25%</w:t>
            </w:r>
          </w:p>
        </w:tc>
        <w:tc>
          <w:tcPr>
            <w:tcW w:type="dxa" w:w="1584"/>
            <w:shd w:val="clear" w:color="auto" w:fill="F2F4F7"/>
          </w:tcPr>
          <w:p>
            <w:pPr>
              <w:jc w:val="center"/>
            </w:pPr>
            <w:r>
              <w:rPr>
                <w:rFonts w:ascii="Times New Roman" w:hAnsi="Times New Roman"/>
                <w:b w:val="0"/>
                <w:i w:val="0"/>
                <w:sz w:val="19"/>
              </w:rPr>
              <w:t>0.438</w:t>
            </w:r>
          </w:p>
        </w:tc>
        <w:tc>
          <w:tcPr>
            <w:tcW w:type="dxa" w:w="1440"/>
            <w:shd w:val="clear" w:color="auto" w:fill="F2F4F7"/>
          </w:tcPr>
          <w:p>
            <w:pPr>
              <w:jc w:val="center"/>
            </w:pPr>
            <w:r>
              <w:rPr>
                <w:rFonts w:ascii="Times New Roman" w:hAnsi="Times New Roman"/>
                <w:b w:val="0"/>
                <w:i w:val="0"/>
                <w:sz w:val="19"/>
              </w:rPr>
              <w:t>0.25</w:t>
            </w:r>
          </w:p>
        </w:tc>
        <w:tc>
          <w:tcPr>
            <w:tcW w:type="dxa" w:w="1440"/>
            <w:shd w:val="clear" w:color="auto" w:fill="F2F4F7"/>
          </w:tcPr>
          <w:p>
            <w:pPr>
              <w:jc w:val="center"/>
            </w:pPr>
            <w:r>
              <w:rPr>
                <w:rFonts w:ascii="Times New Roman" w:hAnsi="Times New Roman"/>
                <w:b w:val="0"/>
                <w:i w:val="0"/>
                <w:sz w:val="19"/>
              </w:rPr>
              <w:t>0.50</w:t>
            </w:r>
          </w:p>
        </w:tc>
        <w:tc>
          <w:tcPr>
            <w:tcW w:type="dxa" w:w="1440"/>
            <w:shd w:val="clear" w:color="auto" w:fill="F2F4F7"/>
          </w:tcPr>
          <w:p>
            <w:pPr>
              <w:jc w:val="center"/>
            </w:pPr>
            <w:r>
              <w:rPr>
                <w:rFonts w:ascii="Times New Roman" w:hAnsi="Times New Roman"/>
                <w:b w:val="0"/>
                <w:i w:val="0"/>
                <w:sz w:val="19"/>
              </w:rPr>
              <w:t>0.50</w:t>
            </w:r>
          </w:p>
        </w:tc>
        <w:tc>
          <w:tcPr>
            <w:tcW w:type="dxa" w:w="1728"/>
            <w:shd w:val="clear" w:color="auto" w:fill="F2F4F7"/>
          </w:tcPr>
          <w:p>
            <w:pPr>
              <w:jc w:val="center"/>
            </w:pPr>
            <w:r>
              <w:rPr>
                <w:rFonts w:ascii="Times New Roman" w:hAnsi="Times New Roman"/>
                <w:b w:val="0"/>
                <w:i w:val="0"/>
                <w:sz w:val="19"/>
              </w:rPr>
              <w:t>0.50</w:t>
            </w:r>
          </w:p>
        </w:tc>
      </w:tr>
      <w:tr>
        <w:tc>
          <w:tcPr>
            <w:tcW w:type="dxa" w:w="1728"/>
          </w:tcPr>
          <w:p>
            <w:pPr>
              <w:jc w:val="center"/>
            </w:pPr>
            <w:r>
              <w:rPr>
                <w:rFonts w:ascii="Times New Roman" w:hAnsi="Times New Roman"/>
                <w:b w:val="0"/>
                <w:i w:val="0"/>
                <w:sz w:val="19"/>
              </w:rPr>
              <w:t>Random baseline</w:t>
            </w:r>
          </w:p>
        </w:tc>
        <w:tc>
          <w:tcPr>
            <w:tcW w:type="dxa" w:w="1584"/>
          </w:tcPr>
          <w:p>
            <w:pPr>
              <w:jc w:val="center"/>
            </w:pPr>
            <w:r>
              <w:rPr>
                <w:rFonts w:ascii="Times New Roman" w:hAnsi="Times New Roman"/>
                <w:b w:val="0"/>
                <w:i w:val="0"/>
                <w:sz w:val="19"/>
              </w:rPr>
              <w:t>—</w:t>
            </w:r>
          </w:p>
        </w:tc>
        <w:tc>
          <w:tcPr>
            <w:tcW w:type="dxa" w:w="1440"/>
          </w:tcPr>
          <w:p>
            <w:pPr>
              <w:jc w:val="center"/>
            </w:pPr>
            <w:r>
              <w:rPr>
                <w:rFonts w:ascii="Times New Roman" w:hAnsi="Times New Roman"/>
                <w:b w:val="0"/>
                <w:i w:val="0"/>
                <w:sz w:val="19"/>
              </w:rPr>
              <w:t>0.133</w:t>
            </w:r>
          </w:p>
        </w:tc>
        <w:tc>
          <w:tcPr>
            <w:tcW w:type="dxa" w:w="1440"/>
          </w:tcPr>
          <w:p>
            <w:pPr>
              <w:jc w:val="center"/>
            </w:pPr>
            <w:r>
              <w:rPr>
                <w:rFonts w:ascii="Times New Roman" w:hAnsi="Times New Roman"/>
                <w:b w:val="0"/>
                <w:i w:val="0"/>
                <w:sz w:val="19"/>
              </w:rPr>
              <w:t>0.267</w:t>
            </w:r>
          </w:p>
        </w:tc>
        <w:tc>
          <w:tcPr>
            <w:tcW w:type="dxa" w:w="1440"/>
          </w:tcPr>
          <w:p>
            <w:pPr>
              <w:jc w:val="center"/>
            </w:pPr>
            <w:r>
              <w:rPr>
                <w:rFonts w:ascii="Times New Roman" w:hAnsi="Times New Roman"/>
                <w:b w:val="0"/>
                <w:i w:val="0"/>
                <w:sz w:val="19"/>
              </w:rPr>
              <w:t>0.600</w:t>
            </w:r>
          </w:p>
        </w:tc>
        <w:tc>
          <w:tcPr>
            <w:tcW w:type="dxa" w:w="1728"/>
          </w:tcPr>
          <w:p>
            <w:pPr>
              <w:jc w:val="center"/>
            </w:pPr>
            <w:r>
              <w:rPr>
                <w:rFonts w:ascii="Times New Roman" w:hAnsi="Times New Roman"/>
                <w:b w:val="0"/>
                <w:i w:val="0"/>
                <w:sz w:val="19"/>
              </w:rPr>
              <w:t>0.733</w:t>
            </w:r>
          </w:p>
        </w:tc>
      </w:tr>
      <w:tr>
        <w:tc>
          <w:tcPr>
            <w:tcW w:type="dxa" w:w="1728"/>
            <w:shd w:val="clear" w:color="auto" w:fill="F2F4F7"/>
          </w:tcPr>
          <w:p>
            <w:pPr>
              <w:jc w:val="center"/>
            </w:pPr>
            <w:r>
              <w:rPr>
                <w:rFonts w:ascii="Times New Roman" w:hAnsi="Times New Roman"/>
                <w:b/>
                <w:i w:val="0"/>
                <w:sz w:val="19"/>
              </w:rPr>
              <w:t>Mean Avg. Prec.</w:t>
            </w:r>
          </w:p>
        </w:tc>
        <w:tc>
          <w:tcPr>
            <w:tcW w:type="dxa" w:w="1584"/>
            <w:shd w:val="clear" w:color="auto" w:fill="F2F4F7"/>
          </w:tcPr>
          <w:p>
            <w:pPr>
              <w:jc w:val="center"/>
            </w:pPr>
            <w:r>
              <w:rPr>
                <w:rFonts w:ascii="Times New Roman" w:hAnsi="Times New Roman"/>
                <w:b/>
                <w:i w:val="0"/>
                <w:sz w:val="19"/>
              </w:rPr>
              <w:t>0.421</w:t>
            </w:r>
          </w:p>
        </w:tc>
        <w:tc>
          <w:tcPr>
            <w:tcW w:type="dxa" w:w="1440"/>
            <w:shd w:val="clear" w:color="auto" w:fill="F2F4F7"/>
          </w:tcPr>
          <w:p>
            <w:pPr>
              <w:jc w:val="center"/>
            </w:pPr>
            <w:r>
              <w:rPr>
                <w:rFonts w:ascii="Times New Roman" w:hAnsi="Times New Roman"/>
                <w:b w:val="0"/>
                <w:i w:val="0"/>
                <w:sz w:val="19"/>
              </w:rPr>
              <w:t>—</w:t>
            </w:r>
          </w:p>
        </w:tc>
        <w:tc>
          <w:tcPr>
            <w:tcW w:type="dxa" w:w="1440"/>
            <w:shd w:val="clear" w:color="auto" w:fill="F2F4F7"/>
          </w:tcPr>
          <w:p>
            <w:pPr>
              <w:jc w:val="center"/>
            </w:pPr>
            <w:r>
              <w:rPr>
                <w:rFonts w:ascii="Times New Roman" w:hAnsi="Times New Roman"/>
                <w:b w:val="0"/>
                <w:i w:val="0"/>
                <w:sz w:val="19"/>
              </w:rPr>
              <w:t>—</w:t>
            </w:r>
          </w:p>
        </w:tc>
        <w:tc>
          <w:tcPr>
            <w:tcW w:type="dxa" w:w="1440"/>
            <w:shd w:val="clear" w:color="auto" w:fill="F2F4F7"/>
          </w:tcPr>
          <w:p>
            <w:pPr>
              <w:jc w:val="center"/>
            </w:pPr>
            <w:r>
              <w:rPr>
                <w:rFonts w:ascii="Times New Roman" w:hAnsi="Times New Roman"/>
                <w:b w:val="0"/>
                <w:i w:val="0"/>
                <w:sz w:val="19"/>
              </w:rPr>
              <w:t>—</w:t>
            </w:r>
          </w:p>
        </w:tc>
        <w:tc>
          <w:tcPr>
            <w:tcW w:type="dxa" w:w="1728"/>
            <w:shd w:val="clear" w:color="auto" w:fill="F2F4F7"/>
          </w:tcPr>
          <w:p>
            <w:pPr>
              <w:jc w:val="center"/>
            </w:pPr>
            <w:r>
              <w:rPr>
                <w:rFonts w:ascii="Times New Roman" w:hAnsi="Times New Roman"/>
                <w:b w:val="0"/>
                <w:i w:val="0"/>
                <w:sz w:val="19"/>
              </w:rPr>
              <w:t>—</w:t>
            </w:r>
          </w:p>
        </w:tc>
      </w:tr>
    </w:tbl>
    <w:p/>
    <w:p>
      <w:pPr>
        <w:spacing w:before="40" w:after="160"/>
        <w:jc w:val="center"/>
      </w:pPr>
      <w:r>
        <w:rPr>
          <w:rFonts w:ascii="Times New Roman" w:hAnsi="Times New Roman"/>
          <w:b w:val="0"/>
          <w:i/>
          <w:sz w:val="20"/>
        </w:rPr>
        <w:t>Table 4.13: Pharmacophore Precision@K — Ensemble attribution (DB00150). HBD enrichment at k=10% is 3.8× random.</w:t>
      </w:r>
    </w:p>
    <w:p>
      <w:pPr>
        <w:spacing w:after="80"/>
        <w:ind w:left="0"/>
        <w:jc w:val="both"/>
      </w:pPr>
      <w:r>
        <w:rPr>
          <w:rFonts w:ascii="Times New Roman" w:hAnsi="Times New Roman"/>
          <w:b w:val="0"/>
          <w:i w:val="0"/>
          <w:sz w:val="22"/>
        </w:rPr>
        <w:t>The Ensemble method achieves the highest faithfulness advantage (+0.106 vs. +0.020 random), confirming that Input Gradient and Graph Grad-CAM capture complementary signals (Spearman ρ = −0.138 between them). Masking only the top-ranked atom (the indole C3 carbon, 5% of atoms) drops the prediction probability from 0.869 to 0.269 (Δ=0.600) — nearly 4× larger than random single-atom masking (Δ=0.160). This confirms that top-attributed atoms are disproportionately responsible for the prediction.</w:t>
      </w:r>
    </w:p>
    <w:p>
      <w:pPr>
        <w:spacing w:after="80"/>
        <w:ind w:left="0"/>
        <w:jc w:val="both"/>
      </w:pPr>
      <w:r>
        <w:rPr>
          <w:rFonts w:ascii="Times New Roman" w:hAnsi="Times New Roman"/>
          <w:b w:val="0"/>
          <w:i w:val="0"/>
          <w:sz w:val="22"/>
        </w:rPr>
        <w:t>The top-5 attributed atoms are the indole ring C3 (score=1.000), indole NH (0.804), alpha-amino N14 (0.755), and indole ring carbons (0.667, 0.659). This is biologically consistent with known tryptophan pharmacology: the indole NH mediates hydrogen bond donation; the alpha-amino and carboxyl groups participate in ionic interactions with GPCR binding pockets. The model recovers these binding pharmacophores without any structural supervision during training.</w:t>
      </w:r>
    </w:p>
    <w:p>
      <w:pPr>
        <w:spacing w:before="160" w:after="60"/>
      </w:pPr>
      <w:r>
        <w:rPr>
          <w:rFonts w:ascii="Times New Roman" w:hAnsi="Times New Roman"/>
          <w:b/>
          <w:i/>
          <w:color w:val="C06A00"/>
          <w:sz w:val="24"/>
        </w:rPr>
        <w:t>4.4.2 Protein Attribution — PDB Case Studies</w:t>
      </w:r>
    </w:p>
    <w:p>
      <w:pPr>
        <w:spacing w:after="80"/>
        <w:ind w:left="0"/>
        <w:jc w:val="both"/>
      </w:pPr>
      <w:r>
        <w:rPr>
          <w:rFonts w:ascii="Times New Roman" w:hAnsi="Times New Roman"/>
          <w:b w:val="0"/>
          <w:i w:val="0"/>
          <w:sz w:val="22"/>
        </w:rPr>
        <w:t>Table 4.14 reports residue attribution validation for two case studies.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584"/>
            <w:shd w:val="clear" w:color="auto" w:fill="1A375C"/>
            <w:vAlign w:val="center"/>
          </w:tcPr>
          <w:p>
            <w:pPr>
              <w:jc w:val="center"/>
            </w:pPr>
            <w:r>
              <w:rPr>
                <w:rFonts w:ascii="Times New Roman" w:hAnsi="Times New Roman"/>
                <w:b/>
                <w:i w:val="0"/>
                <w:color w:val="FFFFFF"/>
                <w:sz w:val="19"/>
              </w:rPr>
              <w:t>Case</w:t>
            </w:r>
          </w:p>
        </w:tc>
        <w:tc>
          <w:tcPr>
            <w:tcW w:type="dxa" w:w="2304"/>
            <w:shd w:val="clear" w:color="auto" w:fill="1A375C"/>
            <w:vAlign w:val="center"/>
          </w:tcPr>
          <w:p>
            <w:pPr>
              <w:jc w:val="center"/>
            </w:pPr>
            <w:r>
              <w:rPr>
                <w:rFonts w:ascii="Times New Roman" w:hAnsi="Times New Roman"/>
                <w:b/>
                <w:i w:val="0"/>
                <w:color w:val="FFFFFF"/>
                <w:sz w:val="19"/>
              </w:rPr>
              <w:t>Drug</w:t>
            </w:r>
          </w:p>
        </w:tc>
        <w:tc>
          <w:tcPr>
            <w:tcW w:type="dxa" w:w="1728"/>
            <w:shd w:val="clear" w:color="auto" w:fill="1A375C"/>
            <w:vAlign w:val="center"/>
          </w:tcPr>
          <w:p>
            <w:pPr>
              <w:jc w:val="center"/>
            </w:pPr>
            <w:r>
              <w:rPr>
                <w:rFonts w:ascii="Times New Roman" w:hAnsi="Times New Roman"/>
                <w:b/>
                <w:i w:val="0"/>
                <w:color w:val="FFFFFF"/>
                <w:sz w:val="19"/>
              </w:rPr>
              <w:t>Protein</w:t>
            </w:r>
          </w:p>
        </w:tc>
        <w:tc>
          <w:tcPr>
            <w:tcW w:type="dxa" w:w="2160"/>
            <w:shd w:val="clear" w:color="auto" w:fill="1A375C"/>
            <w:vAlign w:val="center"/>
          </w:tcPr>
          <w:p>
            <w:pPr>
              <w:jc w:val="center"/>
            </w:pPr>
            <w:r>
              <w:rPr>
                <w:rFonts w:ascii="Times New Roman" w:hAnsi="Times New Roman"/>
                <w:b/>
                <w:i w:val="0"/>
                <w:color w:val="FFFFFF"/>
                <w:sz w:val="19"/>
              </w:rPr>
              <w:t>Checkpoint</w:t>
            </w:r>
          </w:p>
        </w:tc>
        <w:tc>
          <w:tcPr>
            <w:tcW w:type="dxa" w:w="1296"/>
            <w:shd w:val="clear" w:color="auto" w:fill="1A375C"/>
            <w:vAlign w:val="center"/>
          </w:tcPr>
          <w:p>
            <w:pPr>
              <w:jc w:val="center"/>
            </w:pPr>
            <w:r>
              <w:rPr>
                <w:rFonts w:ascii="Times New Roman" w:hAnsi="Times New Roman"/>
                <w:b/>
                <w:i w:val="0"/>
                <w:color w:val="FFFFFF"/>
                <w:sz w:val="19"/>
              </w:rPr>
              <w:t>DTI Prob.</w:t>
            </w:r>
          </w:p>
        </w:tc>
        <w:tc>
          <w:tcPr>
            <w:tcW w:type="dxa" w:w="1152"/>
            <w:shd w:val="clear" w:color="auto" w:fill="1A375C"/>
            <w:vAlign w:val="center"/>
          </w:tcPr>
          <w:p>
            <w:pPr>
              <w:jc w:val="center"/>
            </w:pPr>
            <w:r>
              <w:rPr>
                <w:rFonts w:ascii="Times New Roman" w:hAnsi="Times New Roman"/>
                <w:b/>
                <w:i w:val="0"/>
                <w:color w:val="FFFFFF"/>
                <w:sz w:val="19"/>
              </w:rPr>
              <w:t>AUROC</w:t>
            </w:r>
          </w:p>
        </w:tc>
        <w:tc>
          <w:tcPr>
            <w:tcW w:type="dxa" w:w="1152"/>
            <w:shd w:val="clear" w:color="auto" w:fill="1A375C"/>
            <w:vAlign w:val="center"/>
          </w:tcPr>
          <w:p>
            <w:pPr>
              <w:jc w:val="center"/>
            </w:pPr>
            <w:r>
              <w:rPr>
                <w:rFonts w:ascii="Times New Roman" w:hAnsi="Times New Roman"/>
                <w:b/>
                <w:i w:val="0"/>
                <w:color w:val="FFFFFF"/>
                <w:sz w:val="19"/>
              </w:rPr>
              <w:t>P@10%</w:t>
            </w:r>
          </w:p>
        </w:tc>
        <w:tc>
          <w:tcPr>
            <w:tcW w:type="dxa" w:w="1152"/>
            <w:shd w:val="clear" w:color="auto" w:fill="1A375C"/>
            <w:vAlign w:val="center"/>
          </w:tcPr>
          <w:p>
            <w:pPr>
              <w:jc w:val="center"/>
            </w:pPr>
            <w:r>
              <w:rPr>
                <w:rFonts w:ascii="Times New Roman" w:hAnsi="Times New Roman"/>
                <w:b/>
                <w:i w:val="0"/>
                <w:color w:val="FFFFFF"/>
                <w:sz w:val="19"/>
              </w:rPr>
              <w:t>EF@10%</w:t>
            </w:r>
          </w:p>
        </w:tc>
      </w:tr>
      <w:tr>
        <w:tc>
          <w:tcPr>
            <w:tcW w:type="dxa" w:w="1584"/>
            <w:shd w:val="clear" w:color="auto" w:fill="F2F4F7"/>
          </w:tcPr>
          <w:p>
            <w:pPr>
              <w:jc w:val="center"/>
            </w:pPr>
            <w:r>
              <w:rPr>
                <w:rFonts w:ascii="Times New Roman" w:hAnsi="Times New Roman"/>
                <w:b w:val="0"/>
                <w:i w:val="0"/>
                <w:sz w:val="19"/>
              </w:rPr>
              <w:t>DHFR+MTX</w:t>
            </w:r>
          </w:p>
        </w:tc>
        <w:tc>
          <w:tcPr>
            <w:tcW w:type="dxa" w:w="2304"/>
            <w:shd w:val="clear" w:color="auto" w:fill="F2F4F7"/>
          </w:tcPr>
          <w:p>
            <w:pPr>
              <w:jc w:val="center"/>
            </w:pPr>
            <w:r>
              <w:rPr>
                <w:rFonts w:ascii="Times New Roman" w:hAnsi="Times New Roman"/>
                <w:b w:val="0"/>
                <w:i w:val="0"/>
                <w:sz w:val="19"/>
              </w:rPr>
              <w:t>Methotrexate (D00142)</w:t>
            </w:r>
          </w:p>
        </w:tc>
        <w:tc>
          <w:tcPr>
            <w:tcW w:type="dxa" w:w="1728"/>
            <w:shd w:val="clear" w:color="auto" w:fill="F2F4F7"/>
          </w:tcPr>
          <w:p>
            <w:pPr>
              <w:jc w:val="center"/>
            </w:pPr>
            <w:r>
              <w:rPr>
                <w:rFonts w:ascii="Times New Roman" w:hAnsi="Times New Roman"/>
                <w:b w:val="0"/>
                <w:i w:val="0"/>
                <w:sz w:val="19"/>
              </w:rPr>
              <w:t>DHFR (P00374)</w:t>
            </w:r>
          </w:p>
        </w:tc>
        <w:tc>
          <w:tcPr>
            <w:tcW w:type="dxa" w:w="2160"/>
            <w:shd w:val="clear" w:color="auto" w:fill="F2F4F7"/>
          </w:tcPr>
          <w:p>
            <w:pPr>
              <w:jc w:val="center"/>
            </w:pPr>
            <w:r>
              <w:rPr>
                <w:rFonts w:ascii="Times New Roman" w:hAnsi="Times New Roman"/>
                <w:b w:val="0"/>
                <w:i w:val="0"/>
                <w:sz w:val="19"/>
              </w:rPr>
              <w:t>yam_e C0 cold_drug</w:t>
            </w:r>
          </w:p>
        </w:tc>
        <w:tc>
          <w:tcPr>
            <w:tcW w:type="dxa" w:w="1296"/>
            <w:shd w:val="clear" w:color="auto" w:fill="F2F4F7"/>
          </w:tcPr>
          <w:p>
            <w:pPr>
              <w:jc w:val="center"/>
            </w:pPr>
            <w:r>
              <w:rPr>
                <w:rFonts w:ascii="Times New Roman" w:hAnsi="Times New Roman"/>
                <w:b w:val="0"/>
                <w:i w:val="0"/>
                <w:sz w:val="19"/>
              </w:rPr>
              <w:t>0.328</w:t>
            </w:r>
          </w:p>
        </w:tc>
        <w:tc>
          <w:tcPr>
            <w:tcW w:type="dxa" w:w="1152"/>
            <w:shd w:val="clear" w:color="auto" w:fill="F2F4F7"/>
          </w:tcPr>
          <w:p>
            <w:pPr>
              <w:jc w:val="center"/>
            </w:pPr>
            <w:r>
              <w:rPr>
                <w:rFonts w:ascii="Times New Roman" w:hAnsi="Times New Roman"/>
                <w:b w:val="0"/>
                <w:i w:val="0"/>
                <w:sz w:val="19"/>
              </w:rPr>
              <w:t>0.613</w:t>
            </w:r>
          </w:p>
        </w:tc>
        <w:tc>
          <w:tcPr>
            <w:tcW w:type="dxa" w:w="1152"/>
            <w:shd w:val="clear" w:color="auto" w:fill="F2F4F7"/>
          </w:tcPr>
          <w:p>
            <w:pPr>
              <w:jc w:val="center"/>
            </w:pPr>
            <w:r>
              <w:rPr>
                <w:rFonts w:ascii="Times New Roman" w:hAnsi="Times New Roman"/>
                <w:b w:val="0"/>
                <w:i w:val="0"/>
                <w:sz w:val="19"/>
              </w:rPr>
              <w:t>0.316</w:t>
            </w:r>
          </w:p>
        </w:tc>
        <w:tc>
          <w:tcPr>
            <w:tcW w:type="dxa" w:w="1152"/>
            <w:shd w:val="clear" w:color="auto" w:fill="F2F4F7"/>
          </w:tcPr>
          <w:p>
            <w:pPr>
              <w:jc w:val="center"/>
            </w:pPr>
            <w:r>
              <w:rPr>
                <w:rFonts w:ascii="Times New Roman" w:hAnsi="Times New Roman"/>
                <w:b w:val="0"/>
                <w:i w:val="0"/>
                <w:sz w:val="19"/>
              </w:rPr>
              <w:t>2.81×</w:t>
            </w:r>
          </w:p>
        </w:tc>
      </w:tr>
      <w:tr>
        <w:tc>
          <w:tcPr>
            <w:tcW w:type="dxa" w:w="1584"/>
          </w:tcPr>
          <w:p>
            <w:pPr>
              <w:jc w:val="center"/>
            </w:pPr>
            <w:r>
              <w:rPr>
                <w:rFonts w:ascii="Times New Roman" w:hAnsi="Times New Roman"/>
                <w:b w:val="0"/>
                <w:i w:val="0"/>
                <w:sz w:val="19"/>
              </w:rPr>
              <w:t>ADA+ADO</w:t>
            </w:r>
          </w:p>
        </w:tc>
        <w:tc>
          <w:tcPr>
            <w:tcW w:type="dxa" w:w="2304"/>
          </w:tcPr>
          <w:p>
            <w:pPr>
              <w:jc w:val="center"/>
            </w:pPr>
            <w:r>
              <w:rPr>
                <w:rFonts w:ascii="Times New Roman" w:hAnsi="Times New Roman"/>
                <w:b w:val="0"/>
                <w:i w:val="0"/>
                <w:sz w:val="19"/>
              </w:rPr>
              <w:t>Adenosine (D00155)</w:t>
            </w:r>
          </w:p>
        </w:tc>
        <w:tc>
          <w:tcPr>
            <w:tcW w:type="dxa" w:w="1728"/>
          </w:tcPr>
          <w:p>
            <w:pPr>
              <w:jc w:val="center"/>
            </w:pPr>
            <w:r>
              <w:rPr>
                <w:rFonts w:ascii="Times New Roman" w:hAnsi="Times New Roman"/>
                <w:b w:val="0"/>
                <w:i w:val="0"/>
                <w:sz w:val="19"/>
              </w:rPr>
              <w:t>ADA (P00813)</w:t>
            </w:r>
          </w:p>
        </w:tc>
        <w:tc>
          <w:tcPr>
            <w:tcW w:type="dxa" w:w="2160"/>
          </w:tcPr>
          <w:p>
            <w:pPr>
              <w:jc w:val="center"/>
            </w:pPr>
            <w:r>
              <w:rPr>
                <w:rFonts w:ascii="Times New Roman" w:hAnsi="Times New Roman"/>
                <w:b w:val="0"/>
                <w:i w:val="0"/>
                <w:sz w:val="19"/>
              </w:rPr>
              <w:t>yam_e C0 random</w:t>
            </w:r>
          </w:p>
        </w:tc>
        <w:tc>
          <w:tcPr>
            <w:tcW w:type="dxa" w:w="1296"/>
          </w:tcPr>
          <w:p>
            <w:pPr>
              <w:jc w:val="center"/>
            </w:pPr>
            <w:r>
              <w:rPr>
                <w:rFonts w:ascii="Times New Roman" w:hAnsi="Times New Roman"/>
                <w:b w:val="0"/>
                <w:i w:val="0"/>
                <w:sz w:val="19"/>
              </w:rPr>
              <w:t>0.220–0.378</w:t>
            </w:r>
          </w:p>
        </w:tc>
        <w:tc>
          <w:tcPr>
            <w:tcW w:type="dxa" w:w="1152"/>
          </w:tcPr>
          <w:p>
            <w:pPr>
              <w:jc w:val="center"/>
            </w:pPr>
            <w:r>
              <w:rPr>
                <w:rFonts w:ascii="Times New Roman" w:hAnsi="Times New Roman"/>
                <w:b w:val="0"/>
                <w:i w:val="0"/>
                <w:sz w:val="19"/>
              </w:rPr>
              <w:t>0.327</w:t>
            </w:r>
          </w:p>
        </w:tc>
        <w:tc>
          <w:tcPr>
            <w:tcW w:type="dxa" w:w="1152"/>
          </w:tcPr>
          <w:p>
            <w:pPr>
              <w:jc w:val="center"/>
            </w:pPr>
            <w:r>
              <w:rPr>
                <w:rFonts w:ascii="Times New Roman" w:hAnsi="Times New Roman"/>
                <w:b w:val="0"/>
                <w:i w:val="0"/>
                <w:sz w:val="19"/>
              </w:rPr>
              <w:t>—</w:t>
            </w:r>
          </w:p>
        </w:tc>
        <w:tc>
          <w:tcPr>
            <w:tcW w:type="dxa" w:w="1152"/>
          </w:tcPr>
          <w:p>
            <w:pPr>
              <w:jc w:val="center"/>
            </w:pPr>
            <w:r>
              <w:rPr>
                <w:rFonts w:ascii="Times New Roman" w:hAnsi="Times New Roman"/>
                <w:b w:val="0"/>
                <w:i w:val="0"/>
                <w:sz w:val="19"/>
              </w:rPr>
              <w:t>—</w:t>
            </w:r>
          </w:p>
        </w:tc>
      </w:tr>
      <w:tr>
        <w:tc>
          <w:tcPr>
            <w:tcW w:type="dxa" w:w="1584"/>
            <w:shd w:val="clear" w:color="auto" w:fill="F2F4F7"/>
          </w:tcPr>
          <w:p>
            <w:pPr>
              <w:jc w:val="center"/>
            </w:pPr>
            <w:r>
              <w:rPr>
                <w:rFonts w:ascii="Times New Roman" w:hAnsi="Times New Roman"/>
                <w:b w:val="0"/>
                <w:i w:val="0"/>
                <w:sz w:val="19"/>
              </w:rPr>
              <w:t>Random baseline</w:t>
            </w:r>
          </w:p>
        </w:tc>
        <w:tc>
          <w:tcPr>
            <w:tcW w:type="dxa" w:w="2304"/>
            <w:shd w:val="clear" w:color="auto" w:fill="F2F4F7"/>
          </w:tcPr>
          <w:p>
            <w:pPr>
              <w:jc w:val="center"/>
            </w:pPr>
            <w:r>
              <w:rPr>
                <w:rFonts w:ascii="Times New Roman" w:hAnsi="Times New Roman"/>
                <w:b w:val="0"/>
                <w:i w:val="0"/>
                <w:sz w:val="19"/>
              </w:rPr>
              <w:t>—</w:t>
            </w:r>
          </w:p>
        </w:tc>
        <w:tc>
          <w:tcPr>
            <w:tcW w:type="dxa" w:w="1728"/>
            <w:shd w:val="clear" w:color="auto" w:fill="F2F4F7"/>
          </w:tcPr>
          <w:p>
            <w:pPr>
              <w:jc w:val="center"/>
            </w:pPr>
            <w:r>
              <w:rPr>
                <w:rFonts w:ascii="Times New Roman" w:hAnsi="Times New Roman"/>
                <w:b w:val="0"/>
                <w:i w:val="0"/>
                <w:sz w:val="19"/>
              </w:rPr>
              <w:t>—</w:t>
            </w:r>
          </w:p>
        </w:tc>
        <w:tc>
          <w:tcPr>
            <w:tcW w:type="dxa" w:w="2160"/>
            <w:shd w:val="clear" w:color="auto" w:fill="F2F4F7"/>
          </w:tcPr>
          <w:p>
            <w:pPr>
              <w:jc w:val="center"/>
            </w:pPr>
            <w:r>
              <w:rPr>
                <w:rFonts w:ascii="Times New Roman" w:hAnsi="Times New Roman"/>
                <w:b w:val="0"/>
                <w:i w:val="0"/>
                <w:sz w:val="19"/>
              </w:rPr>
              <w:t>—</w:t>
            </w:r>
          </w:p>
        </w:tc>
        <w:tc>
          <w:tcPr>
            <w:tcW w:type="dxa" w:w="1296"/>
            <w:shd w:val="clear" w:color="auto" w:fill="F2F4F7"/>
          </w:tcPr>
          <w:p>
            <w:pPr>
              <w:jc w:val="center"/>
            </w:pPr>
            <w:r>
              <w:rPr>
                <w:rFonts w:ascii="Times New Roman" w:hAnsi="Times New Roman"/>
                <w:b w:val="0"/>
                <w:i w:val="0"/>
                <w:sz w:val="19"/>
              </w:rPr>
              <w:t>—</w:t>
            </w:r>
          </w:p>
        </w:tc>
        <w:tc>
          <w:tcPr>
            <w:tcW w:type="dxa" w:w="1152"/>
            <w:shd w:val="clear" w:color="auto" w:fill="F2F4F7"/>
          </w:tcPr>
          <w:p>
            <w:pPr>
              <w:jc w:val="center"/>
            </w:pPr>
            <w:r>
              <w:rPr>
                <w:rFonts w:ascii="Times New Roman" w:hAnsi="Times New Roman"/>
                <w:b w:val="0"/>
                <w:i w:val="0"/>
                <w:sz w:val="19"/>
              </w:rPr>
              <w:t>0.528</w:t>
            </w:r>
          </w:p>
        </w:tc>
        <w:tc>
          <w:tcPr>
            <w:tcW w:type="dxa" w:w="1152"/>
            <w:shd w:val="clear" w:color="auto" w:fill="F2F4F7"/>
          </w:tcPr>
          <w:p>
            <w:pPr>
              <w:jc w:val="center"/>
            </w:pPr>
            <w:r>
              <w:rPr>
                <w:rFonts w:ascii="Times New Roman" w:hAnsi="Times New Roman"/>
                <w:b w:val="0"/>
                <w:i w:val="0"/>
                <w:sz w:val="19"/>
              </w:rPr>
              <w:t>0.112</w:t>
            </w:r>
          </w:p>
        </w:tc>
        <w:tc>
          <w:tcPr>
            <w:tcW w:type="dxa" w:w="1152"/>
            <w:shd w:val="clear" w:color="auto" w:fill="F2F4F7"/>
          </w:tcPr>
          <w:p>
            <w:pPr>
              <w:jc w:val="center"/>
            </w:pPr>
            <w:r>
              <w:rPr>
                <w:rFonts w:ascii="Times New Roman" w:hAnsi="Times New Roman"/>
                <w:b w:val="0"/>
                <w:i w:val="0"/>
                <w:sz w:val="19"/>
              </w:rPr>
              <w:t>1.0×</w:t>
            </w:r>
          </w:p>
        </w:tc>
      </w:tr>
    </w:tbl>
    <w:p/>
    <w:p>
      <w:pPr>
        <w:spacing w:before="40" w:after="160"/>
        <w:jc w:val="center"/>
      </w:pPr>
      <w:r>
        <w:rPr>
          <w:rFonts w:ascii="Times New Roman" w:hAnsi="Times New Roman"/>
          <w:b w:val="0"/>
          <w:i/>
          <w:sz w:val="20"/>
        </w:rPr>
        <w:t>Table 4.14: PDB binding-site validation — residue attribution vs. 4.5Å cutoff annotations.</w:t>
      </w:r>
    </w:p>
    <w:p>
      <w:pPr>
        <w:spacing w:after="80"/>
        <w:ind w:left="0"/>
        <w:jc w:val="both"/>
      </w:pPr>
      <w:r>
        <w:rPr>
          <w:rFonts w:ascii="Times New Roman" w:hAnsi="Times New Roman"/>
          <w:b w:val="0"/>
          <w:i w:val="0"/>
          <w:sz w:val="22"/>
        </w:rPr>
        <w:t>For the DHFR case (Methotrexate vs. Dihydrofolate Reductase, PDB 1U72), AttentionPooling achieves AUROC=0.613 (vs. random=0.528) and P@10%=0.316 (2.81× random enrichment, random=0.112). Top-attributed residues (Phe31, Ile60–Pro61, Asn64 region) are confirmed by PDB to lie within 4.5 Å of the methotrexate pteridine ring — consistent with known H-bond and hydrophobic contacts in the folate-binding pocket. This demonstrates that H-GNN-RNN-DTI's attention head learns structurally relevant binding positions from sequence context alone, without 3D structural training.</w:t>
      </w:r>
    </w:p>
    <w:p>
      <w:pPr>
        <w:spacing w:after="80"/>
        <w:ind w:left="0"/>
        <w:jc w:val="both"/>
      </w:pPr>
      <w:r>
        <w:rPr>
          <w:rFonts w:ascii="Times New Roman" w:hAnsi="Times New Roman"/>
          <w:b w:val="0"/>
          <w:i w:val="0"/>
          <w:sz w:val="22"/>
        </w:rPr>
        <w:t>For the ADA case (Adenosine vs. Adenosine Deaminase, PDB 3IAR), the model predicts low interaction probability (0.220–0.378), and residue AUROC is 0.327 — below random. This is an informative negative: attribution is prediction-conditional. When the model is not confident of an interaction, its attention weights do not localise to the binding site. This mechanistic coherence — attribution is meaningful only when the prediction is confident — is a positive indicator of model reliability rather than a limitation.</w:t>
      </w:r>
    </w:p>
    <w:p>
      <w:pPr>
        <w:spacing w:before="160" w:after="60"/>
      </w:pPr>
      <w:r>
        <w:rPr>
          <w:rFonts w:ascii="Times New Roman" w:hAnsi="Times New Roman"/>
          <w:b/>
          <w:i/>
          <w:color w:val="C06A00"/>
          <w:sz w:val="24"/>
        </w:rPr>
        <w:t>4.4.3 Attribution Method Comparison</w:t>
      </w:r>
    </w:p>
    <w:p>
      <w:pPr>
        <w:spacing w:after="80"/>
        <w:ind w:left="0"/>
        <w:jc w:val="both"/>
      </w:pPr>
      <w:r>
        <w:rPr>
          <w:rFonts w:ascii="Times New Roman" w:hAnsi="Times New Roman"/>
          <w:b w:val="0"/>
          <w:i w:val="0"/>
          <w:sz w:val="22"/>
        </w:rPr>
        <w:t>Table 4.15 systematically compares four drug attribution methods and four protein attribution methods on two representative pairs.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shd w:val="clear" w:color="auto" w:fill="1A375C"/>
            <w:vAlign w:val="center"/>
          </w:tcPr>
          <w:p>
            <w:pPr>
              <w:jc w:val="center"/>
            </w:pPr>
            <w:r>
              <w:rPr>
                <w:rFonts w:ascii="Times New Roman" w:hAnsi="Times New Roman"/>
                <w:b/>
                <w:i w:val="0"/>
                <w:color w:val="FFFFFF"/>
                <w:sz w:val="19"/>
              </w:rPr>
              <w:t>Method</w:t>
            </w:r>
          </w:p>
        </w:tc>
        <w:tc>
          <w:tcPr>
            <w:tcW w:type="dxa" w:w="1584"/>
            <w:shd w:val="clear" w:color="auto" w:fill="1A375C"/>
            <w:vAlign w:val="center"/>
          </w:tcPr>
          <w:p>
            <w:pPr>
              <w:jc w:val="center"/>
            </w:pPr>
            <w:r>
              <w:rPr>
                <w:rFonts w:ascii="Times New Roman" w:hAnsi="Times New Roman"/>
                <w:b/>
                <w:i w:val="0"/>
                <w:color w:val="FFFFFF"/>
                <w:sz w:val="19"/>
              </w:rPr>
              <w:t>Faith. AUC</w:t>
            </w:r>
          </w:p>
        </w:tc>
        <w:tc>
          <w:tcPr>
            <w:tcW w:type="dxa" w:w="1584"/>
            <w:shd w:val="clear" w:color="auto" w:fill="1A375C"/>
            <w:vAlign w:val="center"/>
          </w:tcPr>
          <w:p>
            <w:pPr>
              <w:jc w:val="center"/>
            </w:pPr>
            <w:r>
              <w:rPr>
                <w:rFonts w:ascii="Times New Roman" w:hAnsi="Times New Roman"/>
                <w:b/>
                <w:i w:val="0"/>
                <w:color w:val="FFFFFF"/>
                <w:sz w:val="19"/>
              </w:rPr>
              <w:t>Advantage</w:t>
            </w:r>
          </w:p>
        </w:tc>
        <w:tc>
          <w:tcPr>
            <w:tcW w:type="dxa" w:w="1440"/>
            <w:shd w:val="clear" w:color="auto" w:fill="1A375C"/>
            <w:vAlign w:val="center"/>
          </w:tcPr>
          <w:p>
            <w:pPr>
              <w:jc w:val="center"/>
            </w:pPr>
            <w:r>
              <w:rPr>
                <w:rFonts w:ascii="Times New Roman" w:hAnsi="Times New Roman"/>
                <w:b/>
                <w:i w:val="0"/>
                <w:color w:val="FFFFFF"/>
                <w:sz w:val="19"/>
              </w:rPr>
              <w:t>PharmAP</w:t>
            </w:r>
          </w:p>
        </w:tc>
        <w:tc>
          <w:tcPr>
            <w:tcW w:type="dxa" w:w="3888"/>
            <w:shd w:val="clear" w:color="auto" w:fill="1A375C"/>
            <w:vAlign w:val="center"/>
          </w:tcPr>
          <w:p>
            <w:pPr>
              <w:jc w:val="center"/>
            </w:pPr>
            <w:r>
              <w:rPr>
                <w:rFonts w:ascii="Times New Roman" w:hAnsi="Times New Roman"/>
                <w:b/>
                <w:i w:val="0"/>
                <w:color w:val="FFFFFF"/>
                <w:sz w:val="19"/>
              </w:rPr>
              <w:t>Comment</w:t>
            </w:r>
          </w:p>
        </w:tc>
      </w:tr>
      <w:tr>
        <w:tc>
          <w:tcPr>
            <w:tcW w:type="dxa" w:w="2160"/>
            <w:shd w:val="clear" w:color="auto" w:fill="F2F4F7"/>
          </w:tcPr>
          <w:p>
            <w:pPr>
              <w:jc w:val="center"/>
            </w:pPr>
            <w:r>
              <w:rPr>
                <w:rFonts w:ascii="Times New Roman" w:hAnsi="Times New Roman"/>
                <w:b w:val="0"/>
                <w:i w:val="0"/>
                <w:sz w:val="19"/>
              </w:rPr>
              <w:t>Random</w:t>
            </w:r>
          </w:p>
        </w:tc>
        <w:tc>
          <w:tcPr>
            <w:tcW w:type="dxa" w:w="1584"/>
            <w:shd w:val="clear" w:color="auto" w:fill="F2F4F7"/>
          </w:tcPr>
          <w:p>
            <w:pPr>
              <w:jc w:val="center"/>
            </w:pPr>
            <w:r>
              <w:rPr>
                <w:rFonts w:ascii="Times New Roman" w:hAnsi="Times New Roman"/>
                <w:b w:val="0"/>
                <w:i w:val="0"/>
                <w:sz w:val="19"/>
              </w:rPr>
              <w:t>+0.169</w:t>
            </w:r>
          </w:p>
        </w:tc>
        <w:tc>
          <w:tcPr>
            <w:tcW w:type="dxa" w:w="1584"/>
            <w:shd w:val="clear" w:color="auto" w:fill="F2F4F7"/>
          </w:tcPr>
          <w:p>
            <w:pPr>
              <w:jc w:val="center"/>
            </w:pPr>
            <w:r>
              <w:rPr>
                <w:rFonts w:ascii="Times New Roman" w:hAnsi="Times New Roman"/>
                <w:b w:val="0"/>
                <w:i w:val="0"/>
                <w:sz w:val="19"/>
              </w:rPr>
              <w:t>+0.020</w:t>
            </w:r>
          </w:p>
        </w:tc>
        <w:tc>
          <w:tcPr>
            <w:tcW w:type="dxa" w:w="1440"/>
            <w:shd w:val="clear" w:color="auto" w:fill="F2F4F7"/>
          </w:tcPr>
          <w:p>
            <w:pPr>
              <w:jc w:val="center"/>
            </w:pPr>
            <w:r>
              <w:rPr>
                <w:rFonts w:ascii="Times New Roman" w:hAnsi="Times New Roman"/>
                <w:b w:val="0"/>
                <w:i w:val="0"/>
                <w:sz w:val="19"/>
              </w:rPr>
              <w:t>0.583</w:t>
            </w:r>
          </w:p>
        </w:tc>
        <w:tc>
          <w:tcPr>
            <w:tcW w:type="dxa" w:w="3888"/>
            <w:shd w:val="clear" w:color="auto" w:fill="F2F4F7"/>
          </w:tcPr>
          <w:p>
            <w:pPr>
              <w:jc w:val="center"/>
            </w:pPr>
            <w:r>
              <w:rPr>
                <w:rFonts w:ascii="Times New Roman" w:hAnsi="Times New Roman"/>
                <w:b w:val="0"/>
                <w:i w:val="0"/>
                <w:sz w:val="19"/>
              </w:rPr>
              <w:t>Baseline</w:t>
            </w:r>
          </w:p>
        </w:tc>
      </w:tr>
      <w:tr>
        <w:tc>
          <w:tcPr>
            <w:tcW w:type="dxa" w:w="2160"/>
          </w:tcPr>
          <w:p>
            <w:pPr>
              <w:jc w:val="center"/>
            </w:pPr>
            <w:r>
              <w:rPr>
                <w:rFonts w:ascii="Times New Roman" w:hAnsi="Times New Roman"/>
                <w:b w:val="0"/>
                <w:i w:val="0"/>
                <w:sz w:val="19"/>
              </w:rPr>
              <w:t>Input Gradient</w:t>
            </w:r>
          </w:p>
        </w:tc>
        <w:tc>
          <w:tcPr>
            <w:tcW w:type="dxa" w:w="1584"/>
          </w:tcPr>
          <w:p>
            <w:pPr>
              <w:jc w:val="center"/>
            </w:pPr>
            <w:r>
              <w:rPr>
                <w:rFonts w:ascii="Times New Roman" w:hAnsi="Times New Roman"/>
                <w:b w:val="0"/>
                <w:i w:val="0"/>
                <w:sz w:val="19"/>
              </w:rPr>
              <w:t>+0.226</w:t>
            </w:r>
          </w:p>
        </w:tc>
        <w:tc>
          <w:tcPr>
            <w:tcW w:type="dxa" w:w="1584"/>
          </w:tcPr>
          <w:p>
            <w:pPr>
              <w:jc w:val="center"/>
            </w:pPr>
            <w:r>
              <w:rPr>
                <w:rFonts w:ascii="Times New Roman" w:hAnsi="Times New Roman"/>
                <w:b w:val="0"/>
                <w:i w:val="0"/>
                <w:sz w:val="19"/>
              </w:rPr>
              <w:t>+0.077</w:t>
            </w:r>
          </w:p>
        </w:tc>
        <w:tc>
          <w:tcPr>
            <w:tcW w:type="dxa" w:w="1440"/>
          </w:tcPr>
          <w:p>
            <w:pPr>
              <w:jc w:val="center"/>
            </w:pPr>
            <w:r>
              <w:rPr>
                <w:rFonts w:ascii="Times New Roman" w:hAnsi="Times New Roman"/>
                <w:b w:val="0"/>
                <w:i w:val="0"/>
                <w:sz w:val="19"/>
              </w:rPr>
              <w:t>0.327</w:t>
            </w:r>
          </w:p>
        </w:tc>
        <w:tc>
          <w:tcPr>
            <w:tcW w:type="dxa" w:w="3888"/>
          </w:tcPr>
          <w:p>
            <w:pPr>
              <w:jc w:val="center"/>
            </w:pPr>
            <w:r>
              <w:rPr>
                <w:rFonts w:ascii="Times New Roman" w:hAnsi="Times New Roman"/>
                <w:b w:val="0"/>
                <w:i w:val="0"/>
                <w:sz w:val="19"/>
              </w:rPr>
              <w:t>Selects polar atoms (NH₂, COOH)</w:t>
            </w:r>
          </w:p>
        </w:tc>
      </w:tr>
      <w:tr>
        <w:tc>
          <w:tcPr>
            <w:tcW w:type="dxa" w:w="2160"/>
            <w:shd w:val="clear" w:color="auto" w:fill="F2F4F7"/>
          </w:tcPr>
          <w:p>
            <w:pPr>
              <w:jc w:val="center"/>
            </w:pPr>
            <w:r>
              <w:rPr>
                <w:rFonts w:ascii="Times New Roman" w:hAnsi="Times New Roman"/>
                <w:b w:val="0"/>
                <w:i w:val="0"/>
                <w:sz w:val="19"/>
              </w:rPr>
              <w:t>Graph Grad-CAM</w:t>
            </w:r>
          </w:p>
        </w:tc>
        <w:tc>
          <w:tcPr>
            <w:tcW w:type="dxa" w:w="1584"/>
            <w:shd w:val="clear" w:color="auto" w:fill="F2F4F7"/>
          </w:tcPr>
          <w:p>
            <w:pPr>
              <w:jc w:val="center"/>
            </w:pPr>
            <w:r>
              <w:rPr>
                <w:rFonts w:ascii="Times New Roman" w:hAnsi="Times New Roman"/>
                <w:b w:val="0"/>
                <w:i w:val="0"/>
                <w:sz w:val="19"/>
              </w:rPr>
              <w:t>+0.157</w:t>
            </w:r>
          </w:p>
        </w:tc>
        <w:tc>
          <w:tcPr>
            <w:tcW w:type="dxa" w:w="1584"/>
            <w:shd w:val="clear" w:color="auto" w:fill="F2F4F7"/>
          </w:tcPr>
          <w:p>
            <w:pPr>
              <w:jc w:val="center"/>
            </w:pPr>
            <w:r>
              <w:rPr>
                <w:rFonts w:ascii="Times New Roman" w:hAnsi="Times New Roman"/>
                <w:b w:val="0"/>
                <w:i w:val="0"/>
                <w:sz w:val="19"/>
              </w:rPr>
              <w:t>+0.008</w:t>
            </w:r>
          </w:p>
        </w:tc>
        <w:tc>
          <w:tcPr>
            <w:tcW w:type="dxa" w:w="1440"/>
            <w:shd w:val="clear" w:color="auto" w:fill="F2F4F7"/>
          </w:tcPr>
          <w:p>
            <w:pPr>
              <w:jc w:val="center"/>
            </w:pPr>
            <w:r>
              <w:rPr>
                <w:rFonts w:ascii="Times New Roman" w:hAnsi="Times New Roman"/>
                <w:b w:val="0"/>
                <w:i w:val="0"/>
                <w:sz w:val="19"/>
              </w:rPr>
              <w:t>0.458</w:t>
            </w:r>
          </w:p>
        </w:tc>
        <w:tc>
          <w:tcPr>
            <w:tcW w:type="dxa" w:w="3888"/>
            <w:shd w:val="clear" w:color="auto" w:fill="F2F4F7"/>
          </w:tcPr>
          <w:p>
            <w:pPr>
              <w:jc w:val="center"/>
            </w:pPr>
            <w:r>
              <w:rPr>
                <w:rFonts w:ascii="Times New Roman" w:hAnsi="Times New Roman"/>
                <w:b w:val="0"/>
                <w:i w:val="0"/>
                <w:sz w:val="19"/>
              </w:rPr>
              <w:t>Balances polar + aromatic</w:t>
            </w:r>
          </w:p>
        </w:tc>
      </w:tr>
      <w:tr>
        <w:tc>
          <w:tcPr>
            <w:tcW w:type="dxa" w:w="2160"/>
          </w:tcPr>
          <w:p>
            <w:pPr>
              <w:jc w:val="center"/>
            </w:pPr>
            <w:r>
              <w:rPr>
                <w:rFonts w:ascii="Times New Roman" w:hAnsi="Times New Roman"/>
                <w:b/>
                <w:i w:val="0"/>
                <w:sz w:val="19"/>
              </w:rPr>
              <w:t>Ensemble</w:t>
            </w:r>
          </w:p>
        </w:tc>
        <w:tc>
          <w:tcPr>
            <w:tcW w:type="dxa" w:w="1584"/>
          </w:tcPr>
          <w:p>
            <w:pPr>
              <w:jc w:val="center"/>
            </w:pPr>
            <w:r>
              <w:rPr>
                <w:rFonts w:ascii="Times New Roman" w:hAnsi="Times New Roman"/>
                <w:b/>
                <w:i w:val="0"/>
                <w:sz w:val="19"/>
              </w:rPr>
              <w:t>+0.255</w:t>
            </w:r>
          </w:p>
        </w:tc>
        <w:tc>
          <w:tcPr>
            <w:tcW w:type="dxa" w:w="1584"/>
          </w:tcPr>
          <w:p>
            <w:pPr>
              <w:jc w:val="center"/>
            </w:pPr>
            <w:r>
              <w:rPr>
                <w:rFonts w:ascii="Times New Roman" w:hAnsi="Times New Roman"/>
                <w:b/>
                <w:i w:val="0"/>
                <w:sz w:val="19"/>
              </w:rPr>
              <w:t>+0.106</w:t>
            </w:r>
          </w:p>
        </w:tc>
        <w:tc>
          <w:tcPr>
            <w:tcW w:type="dxa" w:w="1440"/>
          </w:tcPr>
          <w:p>
            <w:pPr>
              <w:jc w:val="center"/>
            </w:pPr>
            <w:r>
              <w:rPr>
                <w:rFonts w:ascii="Times New Roman" w:hAnsi="Times New Roman"/>
                <w:b w:val="0"/>
                <w:i w:val="0"/>
                <w:sz w:val="19"/>
              </w:rPr>
              <w:t>0.423</w:t>
            </w:r>
          </w:p>
        </w:tc>
        <w:tc>
          <w:tcPr>
            <w:tcW w:type="dxa" w:w="3888"/>
          </w:tcPr>
          <w:p>
            <w:pPr>
              <w:jc w:val="center"/>
            </w:pPr>
            <w:r>
              <w:rPr>
                <w:rFonts w:ascii="Times New Roman" w:hAnsi="Times New Roman"/>
                <w:b w:val="0"/>
                <w:i w:val="0"/>
                <w:sz w:val="19"/>
              </w:rPr>
              <w:t>Best faithfulness — use for drug</w:t>
            </w:r>
          </w:p>
        </w:tc>
      </w:tr>
    </w:tbl>
    <w:p/>
    <w:p>
      <w:pPr>
        <w:spacing w:before="40" w:after="160"/>
        <w:jc w:val="center"/>
      </w:pPr>
      <w:r>
        <w:rPr>
          <w:rFonts w:ascii="Times New Roman" w:hAnsi="Times New Roman"/>
          <w:b w:val="0"/>
          <w:i/>
          <w:sz w:val="20"/>
        </w:rPr>
        <w:t>Table 4.15a: Drug attribution method comparison (DB00150/P19838).</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92"/>
            <w:shd w:val="clear" w:color="auto" w:fill="1A375C"/>
            <w:vAlign w:val="center"/>
          </w:tcPr>
          <w:p>
            <w:pPr>
              <w:jc w:val="center"/>
            </w:pPr>
            <w:r>
              <w:rPr>
                <w:rFonts w:ascii="Times New Roman" w:hAnsi="Times New Roman"/>
                <w:b/>
                <w:i w:val="0"/>
                <w:color w:val="FFFFFF"/>
                <w:sz w:val="19"/>
              </w:rPr>
              <w:t>Method</w:t>
            </w:r>
          </w:p>
        </w:tc>
        <w:tc>
          <w:tcPr>
            <w:tcW w:type="dxa" w:w="2016"/>
            <w:shd w:val="clear" w:color="auto" w:fill="1A375C"/>
            <w:vAlign w:val="center"/>
          </w:tcPr>
          <w:p>
            <w:pPr>
              <w:jc w:val="center"/>
            </w:pPr>
            <w:r>
              <w:rPr>
                <w:rFonts w:ascii="Times New Roman" w:hAnsi="Times New Roman"/>
                <w:b/>
                <w:i w:val="0"/>
                <w:color w:val="FFFFFF"/>
                <w:sz w:val="19"/>
              </w:rPr>
              <w:t>Protein AUROC</w:t>
            </w:r>
          </w:p>
        </w:tc>
        <w:tc>
          <w:tcPr>
            <w:tcW w:type="dxa" w:w="1440"/>
            <w:shd w:val="clear" w:color="auto" w:fill="1A375C"/>
            <w:vAlign w:val="center"/>
          </w:tcPr>
          <w:p>
            <w:pPr>
              <w:jc w:val="center"/>
            </w:pPr>
            <w:r>
              <w:rPr>
                <w:rFonts w:ascii="Times New Roman" w:hAnsi="Times New Roman"/>
                <w:b/>
                <w:i w:val="0"/>
                <w:color w:val="FFFFFF"/>
                <w:sz w:val="19"/>
              </w:rPr>
              <w:t>P@10%</w:t>
            </w:r>
          </w:p>
        </w:tc>
        <w:tc>
          <w:tcPr>
            <w:tcW w:type="dxa" w:w="4752"/>
            <w:shd w:val="clear" w:color="auto" w:fill="1A375C"/>
            <w:vAlign w:val="center"/>
          </w:tcPr>
          <w:p>
            <w:pPr>
              <w:jc w:val="center"/>
            </w:pPr>
            <w:r>
              <w:rPr>
                <w:rFonts w:ascii="Times New Roman" w:hAnsi="Times New Roman"/>
                <w:b/>
                <w:i w:val="0"/>
                <w:color w:val="FFFFFF"/>
                <w:sz w:val="19"/>
              </w:rPr>
              <w:t>Comment</w:t>
            </w:r>
          </w:p>
        </w:tc>
      </w:tr>
      <w:tr>
        <w:tc>
          <w:tcPr>
            <w:tcW w:type="dxa" w:w="2592"/>
            <w:shd w:val="clear" w:color="auto" w:fill="F2F4F7"/>
          </w:tcPr>
          <w:p>
            <w:pPr>
              <w:jc w:val="center"/>
            </w:pPr>
            <w:r>
              <w:rPr>
                <w:rFonts w:ascii="Times New Roman" w:hAnsi="Times New Roman"/>
                <w:b w:val="0"/>
                <w:i w:val="0"/>
                <w:sz w:val="19"/>
              </w:rPr>
              <w:t>Random</w:t>
            </w:r>
          </w:p>
        </w:tc>
        <w:tc>
          <w:tcPr>
            <w:tcW w:type="dxa" w:w="2016"/>
            <w:shd w:val="clear" w:color="auto" w:fill="F2F4F7"/>
          </w:tcPr>
          <w:p>
            <w:pPr>
              <w:jc w:val="center"/>
            </w:pPr>
            <w:r>
              <w:rPr>
                <w:rFonts w:ascii="Times New Roman" w:hAnsi="Times New Roman"/>
                <w:b w:val="0"/>
                <w:i w:val="0"/>
                <w:sz w:val="19"/>
              </w:rPr>
              <w:t>0.528</w:t>
            </w:r>
          </w:p>
        </w:tc>
        <w:tc>
          <w:tcPr>
            <w:tcW w:type="dxa" w:w="1440"/>
            <w:shd w:val="clear" w:color="auto" w:fill="F2F4F7"/>
          </w:tcPr>
          <w:p>
            <w:pPr>
              <w:jc w:val="center"/>
            </w:pPr>
            <w:r>
              <w:rPr>
                <w:rFonts w:ascii="Times New Roman" w:hAnsi="Times New Roman"/>
                <w:b w:val="0"/>
                <w:i w:val="0"/>
                <w:sz w:val="19"/>
              </w:rPr>
              <w:t>0.211</w:t>
            </w:r>
          </w:p>
        </w:tc>
        <w:tc>
          <w:tcPr>
            <w:tcW w:type="dxa" w:w="4752"/>
            <w:shd w:val="clear" w:color="auto" w:fill="F2F4F7"/>
          </w:tcPr>
          <w:p>
            <w:pPr>
              <w:jc w:val="center"/>
            </w:pPr>
            <w:r>
              <w:rPr>
                <w:rFonts w:ascii="Times New Roman" w:hAnsi="Times New Roman"/>
                <w:b w:val="0"/>
                <w:i w:val="0"/>
                <w:sz w:val="19"/>
              </w:rPr>
              <w:t>Baseline</w:t>
            </w:r>
          </w:p>
        </w:tc>
      </w:tr>
      <w:tr>
        <w:tc>
          <w:tcPr>
            <w:tcW w:type="dxa" w:w="2592"/>
          </w:tcPr>
          <w:p>
            <w:pPr>
              <w:jc w:val="center"/>
            </w:pPr>
            <w:r>
              <w:rPr>
                <w:rFonts w:ascii="Times New Roman" w:hAnsi="Times New Roman"/>
                <w:b/>
                <w:i w:val="0"/>
                <w:sz w:val="19"/>
              </w:rPr>
              <w:t>AttentionPooling</w:t>
            </w:r>
          </w:p>
        </w:tc>
        <w:tc>
          <w:tcPr>
            <w:tcW w:type="dxa" w:w="2016"/>
          </w:tcPr>
          <w:p>
            <w:pPr>
              <w:jc w:val="center"/>
            </w:pPr>
            <w:r>
              <w:rPr>
                <w:rFonts w:ascii="Times New Roman" w:hAnsi="Times New Roman"/>
                <w:b/>
                <w:i w:val="0"/>
                <w:sz w:val="19"/>
              </w:rPr>
              <w:t>0.613</w:t>
            </w:r>
          </w:p>
        </w:tc>
        <w:tc>
          <w:tcPr>
            <w:tcW w:type="dxa" w:w="1440"/>
          </w:tcPr>
          <w:p>
            <w:pPr>
              <w:jc w:val="center"/>
            </w:pPr>
            <w:r>
              <w:rPr>
                <w:rFonts w:ascii="Times New Roman" w:hAnsi="Times New Roman"/>
                <w:b/>
                <w:i w:val="0"/>
                <w:sz w:val="19"/>
              </w:rPr>
              <w:t>0.316</w:t>
            </w:r>
          </w:p>
        </w:tc>
        <w:tc>
          <w:tcPr>
            <w:tcW w:type="dxa" w:w="4752"/>
          </w:tcPr>
          <w:p>
            <w:pPr>
              <w:jc w:val="center"/>
            </w:pPr>
            <w:r>
              <w:rPr>
                <w:rFonts w:ascii="Times New Roman" w:hAnsi="Times New Roman"/>
                <w:b w:val="0"/>
                <w:i w:val="0"/>
                <w:sz w:val="19"/>
              </w:rPr>
              <w:t>Best protein method — BiGRU head learns binding residues</w:t>
            </w:r>
          </w:p>
        </w:tc>
      </w:tr>
      <w:tr>
        <w:tc>
          <w:tcPr>
            <w:tcW w:type="dxa" w:w="2592"/>
            <w:shd w:val="clear" w:color="auto" w:fill="F2F4F7"/>
          </w:tcPr>
          <w:p>
            <w:pPr>
              <w:jc w:val="center"/>
            </w:pPr>
            <w:r>
              <w:rPr>
                <w:rFonts w:ascii="Times New Roman" w:hAnsi="Times New Roman"/>
                <w:b w:val="0"/>
                <w:i w:val="0"/>
                <w:sz w:val="19"/>
              </w:rPr>
              <w:t>Protein GradCAM</w:t>
            </w:r>
          </w:p>
        </w:tc>
        <w:tc>
          <w:tcPr>
            <w:tcW w:type="dxa" w:w="2016"/>
            <w:shd w:val="clear" w:color="auto" w:fill="F2F4F7"/>
          </w:tcPr>
          <w:p>
            <w:pPr>
              <w:jc w:val="center"/>
            </w:pPr>
            <w:r>
              <w:rPr>
                <w:rFonts w:ascii="Times New Roman" w:hAnsi="Times New Roman"/>
                <w:b w:val="0"/>
                <w:i w:val="0"/>
                <w:sz w:val="19"/>
              </w:rPr>
              <w:t>0.500</w:t>
            </w:r>
          </w:p>
        </w:tc>
        <w:tc>
          <w:tcPr>
            <w:tcW w:type="dxa" w:w="1440"/>
            <w:shd w:val="clear" w:color="auto" w:fill="F2F4F7"/>
          </w:tcPr>
          <w:p>
            <w:pPr>
              <w:jc w:val="center"/>
            </w:pPr>
            <w:r>
              <w:rPr>
                <w:rFonts w:ascii="Times New Roman" w:hAnsi="Times New Roman"/>
                <w:b w:val="0"/>
                <w:i w:val="0"/>
                <w:sz w:val="19"/>
              </w:rPr>
              <w:t>0.000</w:t>
            </w:r>
          </w:p>
        </w:tc>
        <w:tc>
          <w:tcPr>
            <w:tcW w:type="dxa" w:w="4752"/>
            <w:shd w:val="clear" w:color="auto" w:fill="F2F4F7"/>
          </w:tcPr>
          <w:p>
            <w:pPr>
              <w:jc w:val="center"/>
            </w:pPr>
            <w:r>
              <w:rPr>
                <w:rFonts w:ascii="Times New Roman" w:hAnsi="Times New Roman"/>
                <w:b w:val="0"/>
                <w:i w:val="0"/>
                <w:sz w:val="19"/>
              </w:rPr>
              <w:t>BiGRU gradients not spatially localised</w:t>
            </w:r>
          </w:p>
        </w:tc>
      </w:tr>
      <w:tr>
        <w:tc>
          <w:tcPr>
            <w:tcW w:type="dxa" w:w="2592"/>
          </w:tcPr>
          <w:p>
            <w:pPr>
              <w:jc w:val="center"/>
            </w:pPr>
            <w:r>
              <w:rPr>
                <w:rFonts w:ascii="Times New Roman" w:hAnsi="Times New Roman"/>
                <w:b w:val="0"/>
                <w:i w:val="0"/>
                <w:sz w:val="19"/>
              </w:rPr>
              <w:t>Ensemble</w:t>
            </w:r>
          </w:p>
        </w:tc>
        <w:tc>
          <w:tcPr>
            <w:tcW w:type="dxa" w:w="2016"/>
          </w:tcPr>
          <w:p>
            <w:pPr>
              <w:jc w:val="center"/>
            </w:pPr>
            <w:r>
              <w:rPr>
                <w:rFonts w:ascii="Times New Roman" w:hAnsi="Times New Roman"/>
                <w:b w:val="0"/>
                <w:i w:val="0"/>
                <w:sz w:val="19"/>
              </w:rPr>
              <w:t>0.613</w:t>
            </w:r>
          </w:p>
        </w:tc>
        <w:tc>
          <w:tcPr>
            <w:tcW w:type="dxa" w:w="1440"/>
          </w:tcPr>
          <w:p>
            <w:pPr>
              <w:jc w:val="center"/>
            </w:pPr>
            <w:r>
              <w:rPr>
                <w:rFonts w:ascii="Times New Roman" w:hAnsi="Times New Roman"/>
                <w:b w:val="0"/>
                <w:i w:val="0"/>
                <w:sz w:val="19"/>
              </w:rPr>
              <w:t>0.316</w:t>
            </w:r>
          </w:p>
        </w:tc>
        <w:tc>
          <w:tcPr>
            <w:tcW w:type="dxa" w:w="4752"/>
          </w:tcPr>
          <w:p>
            <w:pPr>
              <w:jc w:val="center"/>
            </w:pPr>
            <w:r>
              <w:rPr>
                <w:rFonts w:ascii="Times New Roman" w:hAnsi="Times New Roman"/>
                <w:b w:val="0"/>
                <w:i w:val="0"/>
                <w:sz w:val="19"/>
              </w:rPr>
              <w:t>Collapses to AttnPool (GradCAM adds nothing)</w:t>
            </w:r>
          </w:p>
        </w:tc>
      </w:tr>
    </w:tbl>
    <w:p/>
    <w:p>
      <w:pPr>
        <w:spacing w:before="40" w:after="160"/>
        <w:jc w:val="center"/>
      </w:pPr>
      <w:r>
        <w:rPr>
          <w:rFonts w:ascii="Times New Roman" w:hAnsi="Times New Roman"/>
          <w:b w:val="0"/>
          <w:i/>
          <w:sz w:val="20"/>
        </w:rPr>
        <w:t>Table 4.15b: Protein attribution method comparison (D00142/P00374, DHFR).</w:t>
      </w:r>
    </w:p>
    <w:p>
      <w:pPr>
        <w:spacing w:after="80"/>
        <w:ind w:left="0"/>
        <w:jc w:val="both"/>
      </w:pPr>
      <w:r>
        <w:rPr>
          <w:rFonts w:ascii="Times New Roman" w:hAnsi="Times New Roman"/>
          <w:b w:val="0"/>
          <w:i w:val="0"/>
          <w:sz w:val="22"/>
        </w:rPr>
        <w:t>Ensemble achieves the highest drug faithfulness (+0.106 advantage) by combining complementary signals from Input Gradient and Graph Grad-CAM (which are anti-correlated, ρ=−0.138). For protein attribution, AttentionPooling is the dominant method (AUROC=0.613); Protein GradCAM yields AUROC=0.500 (random level), indicating that BiGRU hidden-state gradients are not spatially localised to binding residues. The BiGRU learns a distributed sequence representation — the attention pooling head is the interpretable component, not the gradient flow through recurrent units. The ensemble of drug methods collapses to AttentionPooling for protein attribution.</w:t>
      </w:r>
    </w:p>
    <w:p>
      <w:pPr>
        <w:spacing w:after="80"/>
        <w:ind w:left="0"/>
        <w:jc w:val="both"/>
      </w:pPr>
      <w:r>
        <w:rPr>
          <w:rFonts w:ascii="Times New Roman" w:hAnsi="Times New Roman"/>
          <w:b w:val="0"/>
          <w:i w:val="0"/>
          <w:sz w:val="22"/>
        </w:rPr>
        <w:t>A key practical finding: attribution is prediction-conditional and informative only when DTI prediction confidence is high (probability ≥ 0.6). For low-confidence predictions (ADA case, prob=0.220–0.378), all methods degrade to near-random faithfulness — because there is no meaningful binding-site signal to identify when the model predicts no interaction.</w:t>
      </w:r>
    </w:p>
    <w:p>
      <w:pPr>
        <w:spacing w:before="160" w:after="60"/>
      </w:pPr>
      <w:r>
        <w:rPr>
          <w:rFonts w:ascii="Times New Roman" w:hAnsi="Times New Roman"/>
          <w:b/>
          <w:i/>
          <w:color w:val="C06A00"/>
          <w:sz w:val="24"/>
        </w:rPr>
        <w:t>4.4.4 Discussion: Objective 3</w:t>
      </w:r>
    </w:p>
    <w:p>
      <w:pPr>
        <w:spacing w:after="80"/>
        <w:ind w:left="0"/>
        <w:jc w:val="both"/>
      </w:pPr>
      <w:r>
        <w:rPr>
          <w:rFonts w:ascii="Times New Roman" w:hAnsi="Times New Roman"/>
          <w:b w:val="0"/>
          <w:i w:val="0"/>
          <w:sz w:val="22"/>
        </w:rPr>
        <w:t>Objective 3 demonstrates that H-GNN-RNN-DTI generates biologically meaningful explanations of DTI predictions without any structural supervision. The interpretability framework provides three levels of validation: (1) causal validity through faithfulness metrics (Ensemble advantage +0.106); (2) biochemical relevance through pharmacophore enrichment (HBD P@10% = 3.8× random); and (3) structural correspondence through PDB binding-site recovery (DHFR AUROC=0.613, EF@10%=2.81×). Together, these confirm that the model's attention mechanism captures genuine interaction-specific features rather than spurious artefacts.</w:t>
      </w:r>
    </w:p>
    <w:p>
      <w:r>
        <w:br w:type="page"/>
      </w:r>
    </w:p>
    <w:p>
      <w:pPr>
        <w:spacing w:before="360" w:after="120"/>
        <w:jc w:val="left"/>
      </w:pPr>
      <w:r>
        <w:rPr>
          <w:rFonts w:ascii="Times New Roman" w:hAnsi="Times New Roman"/>
          <w:b/>
          <w:i w:val="0"/>
          <w:color w:val="1A375C"/>
          <w:sz w:val="32"/>
        </w:rPr>
        <w:t>CHAPTER 5: CONCLUSION</w:t>
      </w:r>
    </w:p>
    <w:p>
      <w:pPr>
        <w:spacing w:before="240" w:after="80"/>
        <w:jc w:val="left"/>
      </w:pPr>
      <w:r>
        <w:rPr>
          <w:rFonts w:ascii="Times New Roman" w:hAnsi="Times New Roman"/>
          <w:b/>
          <w:i w:val="0"/>
          <w:color w:val="007B8A"/>
          <w:sz w:val="26"/>
        </w:rPr>
        <w:t>5.1 Summary of Contributions</w:t>
      </w:r>
    </w:p>
    <w:p>
      <w:pPr>
        <w:spacing w:after="80"/>
        <w:ind w:left="0"/>
        <w:jc w:val="both"/>
      </w:pPr>
      <w:r>
        <w:rPr>
          <w:rFonts w:ascii="Times New Roman" w:hAnsi="Times New Roman"/>
          <w:b w:val="0"/>
          <w:i w:val="0"/>
          <w:sz w:val="22"/>
        </w:rPr>
        <w:t>This thesis presented H-GNN-RNN-DTI, a hybrid deep learning model for drug-target interaction (DTI) and drug-target affinity (DTA) prediction that integrates a Hierarchical Graph Attention Network for drug encoding, a Bidirectional GRU for protein encoding, and a Gated Cross-Attention fusion mechanism. Three research objectives were investigated and answered as follows.</w:t>
      </w:r>
    </w:p>
    <w:p>
      <w:pPr>
        <w:spacing w:after="80"/>
        <w:ind w:left="0"/>
        <w:jc w:val="both"/>
      </w:pPr>
      <w:r>
        <w:rPr>
          <w:rFonts w:ascii="Times New Roman" w:hAnsi="Times New Roman"/>
          <w:b w:val="0"/>
          <w:i w:val="0"/>
          <w:sz w:val="22"/>
        </w:rPr>
        <w:t>Objective 1 — Architecture evaluation. The Gated Cross-Attention fusion mechanism provided statistically significant improvements over concatenation-based fusion on 3/8 DTI configurations (yamanishi_e random, cold_drug, cold_pair; p&lt;0.05), with the largest advantage on yamanishi_e cold_drug (Δ=+0.136, p&lt;0.01). An encoder ablation confirmed symmetric complementarity: the drug GNN drives cold_drug generalisation and the protein BiGRU drives cold_target generalisation — both encoders are needed for robust performance. On DTA regression (DAVIS, KIBA), cross-attention significantly outperformed concatenation fusion on 5/6 Davis metrics (p&lt;0.05) and 4/6 KIBA metrics (p&lt;0.01). Comparison against published baselines confirmed the fundamental advantage of the fully inductive design: H-GNN-RNN-DTI achieves cold_target AUROC=0.778 on Luo_17 versus GSRF-DTI's 0.362 — because GSRF-DTI's transductive architecture cannot generalise to proteins absent from the PPI network.</w:t>
      </w:r>
    </w:p>
    <w:p>
      <w:pPr>
        <w:spacing w:after="80"/>
        <w:ind w:left="0"/>
        <w:jc w:val="both"/>
      </w:pPr>
      <w:r>
        <w:rPr>
          <w:rFonts w:ascii="Times New Roman" w:hAnsi="Times New Roman"/>
          <w:b w:val="0"/>
          <w:i w:val="0"/>
          <w:sz w:val="22"/>
        </w:rPr>
        <w:t>Objective 2 — Enhancement strategies. A comprehensive evaluation of three strategies revealed a clear hierarchy of impact: (1) Negative-sampling ratio is the single most impactful lever — the 1:5 ratio raised yamanishi_e cold_target AUROC from 0.438 to 0.706 (+0.268, p&lt;0.01) and Luo_17 cold_target from 0.778 to 0.856 (+0.078, p&lt;0.01), the largest improvements in the entire study. Loss function choice (WeightedBCE vs. Focal γ∈{1,2,3,5}) had no significant effect at fixed ratio. (2) ESM-2 150M significantly improved Luo_17 cold_target AUROC by +0.069 (p&lt;0.01) but had no detectable effect on Yamanishi_e (too small for PLM scaling benefit). (3) BindingDB pre-training improved Luo_17 cold_target by +0.055 (p&lt;0.01) but caused significant negative transfer on Yamanishi_e due to domain mismatch and protein encoder path incompatibility. The combined ablation (C0→C3) revealed non-additive interactions: C3 is the AUROC winner but at the cost of AUPRC degradation from the 1:5 ratio.</w:t>
      </w:r>
    </w:p>
    <w:p>
      <w:pPr>
        <w:spacing w:after="80"/>
        <w:ind w:left="0"/>
        <w:jc w:val="both"/>
      </w:pPr>
      <w:r>
        <w:rPr>
          <w:rFonts w:ascii="Times New Roman" w:hAnsi="Times New Roman"/>
          <w:b w:val="0"/>
          <w:i w:val="0"/>
          <w:sz w:val="22"/>
        </w:rPr>
        <w:t>Objective 3 — Interpretability. The attention-based interpretability framework provided three levels of validation. Causally: Ensemble drug attribution achieves faithfulness advantage +0.106 vs. +0.020 random (masking the top-1 atom drops probability by 0.600 vs. 0.160 random). Biochemically: Pharmacophore precision at 10% is 3.8× random for hydrogen bond donors, with the model identifying tryptophan's indole NH and ring system as the primary binding pharmacophores. Structurally: AttentionPooling residue attribution achieves AUROC=0.613 and EF@10%=2.81× for DHFR vs. PDB binding-site annotations. Attribution is prediction-conditional — informative only when the model is confident of an interaction — which is a positive indicator of mechanistic coherence.</w:t>
      </w:r>
    </w:p>
    <w:p>
      <w:pPr>
        <w:spacing w:before="240" w:after="80"/>
        <w:jc w:val="left"/>
      </w:pPr>
      <w:r>
        <w:rPr>
          <w:rFonts w:ascii="Times New Roman" w:hAnsi="Times New Roman"/>
          <w:b/>
          <w:i w:val="0"/>
          <w:color w:val="007B8A"/>
          <w:sz w:val="26"/>
        </w:rPr>
        <w:t>5.2 Limitations</w:t>
      </w:r>
    </w:p>
    <w:p>
      <w:pPr>
        <w:spacing w:after="80"/>
        <w:ind w:left="0"/>
        <w:jc w:val="both"/>
      </w:pPr>
      <w:r>
        <w:rPr>
          <w:rFonts w:ascii="Times New Roman" w:hAnsi="Times New Roman"/>
          <w:b w:val="0"/>
          <w:i w:val="0"/>
          <w:sz w:val="22"/>
        </w:rPr>
        <w:t>Several limitations of this research should be noted:</w:t>
      </w:r>
    </w:p>
    <w:p>
      <w:pPr>
        <w:pStyle w:val="ListBullet"/>
        <w:spacing w:after="60"/>
        <w:ind w:left="432"/>
      </w:pPr>
      <w:r>
        <w:rPr>
          <w:rFonts w:ascii="Times New Roman" w:hAnsi="Times New Roman"/>
          <w:b w:val="0"/>
          <w:i w:val="0"/>
          <w:sz w:val="22"/>
        </w:rPr>
        <w:t>Yamanishi_e cold_target: Both H-GNN-RNN-DTI and all baselines achieve near-random AUROC on this split (≤0.56). Only 26 enzyme targets are present; cold-target test proteins may have no sequence similarity to training proteins, making ESM-2 embeddings insufficient for generalisation.</w:t>
      </w:r>
    </w:p>
    <w:p>
      <w:pPr>
        <w:pStyle w:val="ListBullet"/>
        <w:spacing w:after="60"/>
        <w:ind w:left="432"/>
      </w:pPr>
      <w:r>
        <w:rPr>
          <w:rFonts w:ascii="Times New Roman" w:hAnsi="Times New Roman"/>
          <w:b w:val="0"/>
          <w:i w:val="0"/>
          <w:sz w:val="22"/>
        </w:rPr>
        <w:t>Luo_17 cold_target anomaly: ConcatBaseline outperforms H-GNN-RNN-DTI on this split (0.813 vs. 0.778, p&lt;0.01), and GNN-Only anomalously achieves 0.901. Cross-attention may overfit to training protein embedding patterns when test proteins are completely novel in the large-dataset setting.</w:t>
      </w:r>
    </w:p>
    <w:p>
      <w:pPr>
        <w:pStyle w:val="ListBullet"/>
        <w:spacing w:after="60"/>
        <w:ind w:left="432"/>
      </w:pPr>
      <w:r>
        <w:rPr>
          <w:rFonts w:ascii="Times New Roman" w:hAnsi="Times New Roman"/>
          <w:b w:val="0"/>
          <w:i w:val="0"/>
          <w:sz w:val="22"/>
        </w:rPr>
        <w:t>CPU training limitation: All experiments were conducted on CPU (no GPU available), which limited epoch counts (50–100 epochs) and precluded evaluation of ESM-2 650M embeddings and larger BindingDB pre-training subsets.</w:t>
      </w:r>
    </w:p>
    <w:p>
      <w:pPr>
        <w:pStyle w:val="ListBullet"/>
        <w:spacing w:after="60"/>
        <w:ind w:left="432"/>
      </w:pPr>
      <w:r>
        <w:rPr>
          <w:rFonts w:ascii="Times New Roman" w:hAnsi="Times New Roman"/>
          <w:b w:val="0"/>
          <w:i w:val="0"/>
          <w:sz w:val="22"/>
        </w:rPr>
        <w:t>Single cold_pair split: The cold_pair setting was implemented as a heuristic approximation where test pairs are excluded from training but individual drugs and targets may appear in training contexts.</w:t>
      </w:r>
    </w:p>
    <w:p>
      <w:pPr>
        <w:pStyle w:val="ListBullet"/>
        <w:spacing w:after="60"/>
        <w:ind w:left="432"/>
      </w:pPr>
      <w:r>
        <w:rPr>
          <w:rFonts w:ascii="Times New Roman" w:hAnsi="Times New Roman"/>
          <w:b w:val="0"/>
          <w:i w:val="0"/>
          <w:sz w:val="22"/>
        </w:rPr>
        <w:t>Interpretability scope: PDB validation was performed on two selected representative pairs rather than a comprehensive benchmark. Cross-seed consistency of attributions was not systematically measured.</w:t>
      </w:r>
    </w:p>
    <w:p>
      <w:pPr>
        <w:spacing w:before="240" w:after="80"/>
        <w:jc w:val="left"/>
      </w:pPr>
      <w:r>
        <w:rPr>
          <w:rFonts w:ascii="Times New Roman" w:hAnsi="Times New Roman"/>
          <w:b/>
          <w:i w:val="0"/>
          <w:color w:val="007B8A"/>
          <w:sz w:val="26"/>
        </w:rPr>
        <w:t>5.3 Future Work</w:t>
      </w:r>
    </w:p>
    <w:p>
      <w:pPr>
        <w:spacing w:after="80"/>
        <w:ind w:left="0"/>
        <w:jc w:val="both"/>
      </w:pPr>
      <w:r>
        <w:rPr>
          <w:rFonts w:ascii="Times New Roman" w:hAnsi="Times New Roman"/>
          <w:b w:val="0"/>
          <w:i w:val="0"/>
          <w:sz w:val="22"/>
        </w:rPr>
        <w:t>The following directions are recommended for future research:</w:t>
      </w:r>
    </w:p>
    <w:p>
      <w:pPr>
        <w:pStyle w:val="ListBullet"/>
        <w:spacing w:after="60"/>
        <w:ind w:left="432"/>
      </w:pPr>
      <w:r>
        <w:rPr>
          <w:rFonts w:ascii="Times New Roman" w:hAnsi="Times New Roman"/>
          <w:b w:val="0"/>
          <w:i w:val="0"/>
          <w:sz w:val="22"/>
        </w:rPr>
        <w:t>GPU-accelerated training with ESM-2 650M (1,280-dim): The 650M model provides richer protein representations at greater computational cost. Expected to further improve cold_target AUROC on large datasets beyond the 150M gains observed here.</w:t>
      </w:r>
    </w:p>
    <w:p>
      <w:pPr>
        <w:pStyle w:val="ListBullet"/>
        <w:spacing w:after="60"/>
        <w:ind w:left="432"/>
      </w:pPr>
      <w:r>
        <w:rPr>
          <w:rFonts w:ascii="Times New Roman" w:hAnsi="Times New Roman"/>
          <w:b w:val="0"/>
          <w:i w:val="0"/>
          <w:sz w:val="22"/>
        </w:rPr>
        <w:t>Adaptive negative sampling: The optimal negative ratio depends on the embedding model (8M vs. 150M behave differently at 1:5). Future work should investigate adaptive or curriculum-based negative sampling strategies that adjust the ratio during training.</w:t>
      </w:r>
    </w:p>
    <w:p>
      <w:pPr>
        <w:pStyle w:val="ListBullet"/>
        <w:spacing w:after="60"/>
        <w:ind w:left="432"/>
      </w:pPr>
      <w:r>
        <w:rPr>
          <w:rFonts w:ascii="Times New Roman" w:hAnsi="Times New Roman"/>
          <w:b w:val="0"/>
          <w:i w:val="0"/>
          <w:sz w:val="22"/>
        </w:rPr>
        <w:t>Dataset-adaptive pre-training selection: A pre-training domain-alignment metric (e.g., drug scaffold overlap or protein family similarity between source and target datasets) could guide practitioners in deciding whether BindingDB pre-training is beneficial before committing to fine-tuning, avoiding the negative transfer observed on Yamanishi_e.</w:t>
      </w:r>
    </w:p>
    <w:p>
      <w:pPr>
        <w:pStyle w:val="ListBullet"/>
        <w:spacing w:after="60"/>
        <w:ind w:left="432"/>
      </w:pPr>
      <w:r>
        <w:rPr>
          <w:rFonts w:ascii="Times New Roman" w:hAnsi="Times New Roman"/>
          <w:b w:val="0"/>
          <w:i w:val="0"/>
          <w:sz w:val="22"/>
        </w:rPr>
        <w:t>Cross-dataset transfer learning: The near-random cross-dataset AUROC (0.508) motivates domain-adaptive training techniques (adversarial alignment, meta-learning) that could enable genuine transfer between DTI benchmarks.</w:t>
      </w:r>
    </w:p>
    <w:p>
      <w:pPr>
        <w:pStyle w:val="ListBullet"/>
        <w:spacing w:after="60"/>
        <w:ind w:left="432"/>
      </w:pPr>
      <w:r>
        <w:rPr>
          <w:rFonts w:ascii="Times New Roman" w:hAnsi="Times New Roman"/>
          <w:b w:val="0"/>
          <w:i w:val="0"/>
          <w:sz w:val="22"/>
        </w:rPr>
        <w:t>Interpretability benchmark: A systematic faithfulness benchmark across multiple drug-protein pairs, including cross-seed consistency measurement (Spearman ρ across seeds), would provide a more robust assessment of attribution reliability.</w:t>
      </w:r>
    </w:p>
    <w:p>
      <w:pPr>
        <w:pStyle w:val="ListBullet"/>
        <w:spacing w:after="60"/>
        <w:ind w:left="432"/>
      </w:pPr>
      <w:r>
        <w:rPr>
          <w:rFonts w:ascii="Times New Roman" w:hAnsi="Times New Roman"/>
          <w:b w:val="0"/>
          <w:i w:val="0"/>
          <w:sz w:val="22"/>
        </w:rPr>
        <w:t>3D protein structure integration: Incorporating AlphaFold2-predicted protein structures as input (3D graph of residues) in addition to sequence embeddings could improve cold_target generalisation by providing explicit spatial context for the attention module.</w:t>
      </w:r>
    </w:p>
    <w:p>
      <w:pPr>
        <w:spacing w:before="240" w:after="80"/>
        <w:jc w:val="left"/>
      </w:pPr>
      <w:r>
        <w:rPr>
          <w:rFonts w:ascii="Times New Roman" w:hAnsi="Times New Roman"/>
          <w:b/>
          <w:i w:val="0"/>
          <w:color w:val="007B8A"/>
          <w:sz w:val="26"/>
        </w:rPr>
        <w:t>5.4 Concluding Remarks</w:t>
      </w:r>
    </w:p>
    <w:p>
      <w:pPr>
        <w:spacing w:after="80"/>
        <w:ind w:left="0"/>
        <w:jc w:val="both"/>
      </w:pPr>
      <w:r>
        <w:rPr>
          <w:rFonts w:ascii="Times New Roman" w:hAnsi="Times New Roman"/>
          <w:b w:val="0"/>
          <w:i w:val="0"/>
          <w:sz w:val="22"/>
        </w:rPr>
        <w:t>This research demonstrated that a carefully designed hybrid deep learning model — combining Hierarchical GAT, BiGRU, and Gated Cross-Attention with systematic enhancement strategies — can achieve strong, reproducible performance across diverse DTI evaluation settings. The most significant finding is that negative-sampling ratio has a larger impact on cold-start performance than either architectural improvements (cross-attention vs. concatenation) or embedding quality (ESM-2 150M vs. 8M), suggesting that training data distribution is often the primary bottleneck in DTI generalisation. At the same time, the interpretability analysis establishes that the model can generate biologically meaningful explanations, recovering known binding pharmacophores and binding-site residues without structural supervision. Together, these contributions advance the field toward more reliable, interpretable, and generalisable computational tools for drug discovery.</w:t>
      </w:r>
    </w:p>
    <w:p>
      <w:r>
        <w:br w:type="page"/>
      </w:r>
    </w:p>
    <w:p>
      <w:pPr>
        <w:spacing w:before="360" w:after="120"/>
        <w:jc w:val="left"/>
      </w:pPr>
      <w:r>
        <w:rPr>
          <w:rFonts w:ascii="Times New Roman" w:hAnsi="Times New Roman"/>
          <w:b/>
          <w:i w:val="0"/>
          <w:color w:val="1A375C"/>
          <w:sz w:val="32"/>
        </w:rPr>
        <w:t>REFERENCES</w:t>
      </w:r>
    </w:p>
    <w:p>
      <w:pPr>
        <w:spacing w:after="60"/>
        <w:ind w:left="576" w:hanging="576"/>
      </w:pPr>
      <w:r>
        <w:rPr>
          <w:rFonts w:ascii="Times New Roman" w:hAnsi="Times New Roman"/>
          <w:b w:val="0"/>
          <w:i w:val="0"/>
          <w:sz w:val="20"/>
        </w:rPr>
        <w:t>Abbasi, K., Razzaghi, P., Poso, A., Ghanbari-Ara, S., &amp; Masoudi-Nejad, A. (2020). Deep Learning in Drug Target Interaction Prediction: Current and Future Perspectives. Current Medicinal Chemistry, 28(11), 2100–2113.</w:t>
      </w:r>
    </w:p>
    <w:p>
      <w:pPr>
        <w:spacing w:after="60"/>
        <w:ind w:left="576" w:hanging="576"/>
      </w:pPr>
      <w:r>
        <w:rPr>
          <w:rFonts w:ascii="Times New Roman" w:hAnsi="Times New Roman"/>
          <w:b w:val="0"/>
          <w:i w:val="0"/>
          <w:sz w:val="20"/>
        </w:rPr>
        <w:t>Bae, H., &amp; Nam, H. (2023). GraphATT-DTA: Attention-Based Novel Representation of Interaction to Predict Drug-Target Binding Affinity. Biomedicines, 11(1).</w:t>
      </w:r>
    </w:p>
    <w:p>
      <w:pPr>
        <w:spacing w:after="60"/>
        <w:ind w:left="576" w:hanging="576"/>
      </w:pPr>
      <w:r>
        <w:rPr>
          <w:rFonts w:ascii="Times New Roman" w:hAnsi="Times New Roman"/>
          <w:b w:val="0"/>
          <w:i w:val="0"/>
          <w:sz w:val="20"/>
        </w:rPr>
        <w:t>Bagherian, M., Sabeti, E., Wang, K., Sartor, M. A., Nikolovska-Coleska, Z., &amp; Najarian, K. (2021). Machine learning approaches and databases for prediction of drug-target interaction. Briefings in Bioinformatics, 22(1), 247–269.</w:t>
      </w:r>
    </w:p>
    <w:p>
      <w:pPr>
        <w:spacing w:after="60"/>
        <w:ind w:left="576" w:hanging="576"/>
      </w:pPr>
      <w:r>
        <w:rPr>
          <w:rFonts w:ascii="Times New Roman" w:hAnsi="Times New Roman"/>
          <w:b w:val="0"/>
          <w:i w:val="0"/>
          <w:sz w:val="20"/>
        </w:rPr>
        <w:t>Bian, J., Lu, H., Dong, G., &amp; Wang, G. (2024). Hierarchical multimodal self-attention-based graph neural network for DTI prediction. Briefings in Bioinformatics, 25(4).</w:t>
      </w:r>
    </w:p>
    <w:p>
      <w:pPr>
        <w:spacing w:after="60"/>
        <w:ind w:left="576" w:hanging="576"/>
      </w:pPr>
      <w:r>
        <w:rPr>
          <w:rFonts w:ascii="Times New Roman" w:hAnsi="Times New Roman"/>
          <w:b w:val="0"/>
          <w:i w:val="0"/>
          <w:sz w:val="20"/>
        </w:rPr>
        <w:t>Cao, J., Chen, Q., Qiu, J., Wang, Y., Lan, W., Du, X., &amp; Tan, K. (2024). NGCN: Drug-target interaction prediction by integrating information and feature learning from heterogeneous network. Journal of Cellular and Molecular Medicine, 28(7).</w:t>
      </w:r>
    </w:p>
    <w:p>
      <w:pPr>
        <w:spacing w:after="60"/>
        <w:ind w:left="576" w:hanging="576"/>
      </w:pPr>
      <w:r>
        <w:rPr>
          <w:rFonts w:ascii="Times New Roman" w:hAnsi="Times New Roman"/>
          <w:b w:val="0"/>
          <w:i w:val="0"/>
          <w:sz w:val="20"/>
        </w:rPr>
        <w:t>Chen, X., Yan, C. C., Zhang, X., Zhang, X., Dai, F., Yin, J., &amp; Zhang, Y. (2016). Drug-target interaction prediction: Databases, web servers and computational models. Briefings in Bioinformatics, 17(4), 696–712.</w:t>
      </w:r>
    </w:p>
    <w:p>
      <w:pPr>
        <w:spacing w:after="60"/>
        <w:ind w:left="576" w:hanging="576"/>
      </w:pPr>
      <w:r>
        <w:rPr>
          <w:rFonts w:ascii="Times New Roman" w:hAnsi="Times New Roman"/>
          <w:b w:val="0"/>
          <w:i w:val="0"/>
          <w:sz w:val="20"/>
        </w:rPr>
        <w:t>Dai, W., Wang, Y., Yan, S., Yu, Q., &amp; Cheng, X. (2025). Heterogeneous network drug-target interaction prediction model based on graph wavelet transform and multi-level contrastive learning. Scientific Reports, 15(1).</w:t>
      </w:r>
    </w:p>
    <w:p>
      <w:pPr>
        <w:spacing w:after="60"/>
        <w:ind w:left="576" w:hanging="576"/>
      </w:pPr>
      <w:r>
        <w:rPr>
          <w:rFonts w:ascii="Times New Roman" w:hAnsi="Times New Roman"/>
          <w:b w:val="0"/>
          <w:i w:val="0"/>
          <w:sz w:val="20"/>
        </w:rPr>
        <w:t>Deng, G., Shi, C., Ge, R., Hu, R., Wang, C., Qin, F., Pan, C., Mao, H., &amp; Yang, Q. (2025). Efficient substructure feature encoding based on graph neural network blocks for drug-target interaction prediction. Frontiers in Pharmacology, 16.</w:t>
      </w:r>
    </w:p>
    <w:p>
      <w:pPr>
        <w:spacing w:after="60"/>
        <w:ind w:left="576" w:hanging="576"/>
      </w:pPr>
      <w:r>
        <w:rPr>
          <w:rFonts w:ascii="Times New Roman" w:hAnsi="Times New Roman"/>
          <w:b w:val="0"/>
          <w:i w:val="0"/>
          <w:sz w:val="20"/>
        </w:rPr>
        <w:t>Hua, Y., Feng, Z., Song, X., Wu, X.-J., &amp; Kittler, J. (2025). MMDG-DTI: Drug–target interaction prediction via multimodal feature fusion and domain generalization. Pattern Recognition, 157, 110887.</w:t>
      </w:r>
    </w:p>
    <w:p>
      <w:pPr>
        <w:spacing w:after="60"/>
        <w:ind w:left="576" w:hanging="576"/>
      </w:pPr>
      <w:r>
        <w:rPr>
          <w:rFonts w:ascii="Times New Roman" w:hAnsi="Times New Roman"/>
          <w:b w:val="0"/>
          <w:i w:val="0"/>
          <w:sz w:val="20"/>
        </w:rPr>
        <w:t>Khojasteh, H., Pirgazi, J., &amp; Sorkhi, A. G. (2023). Improving prediction of drug-target interactions based on fusing multiple features with data balancing and feature selection techniques. PLoS ONE, 18(8).</w:t>
      </w:r>
    </w:p>
    <w:p>
      <w:pPr>
        <w:spacing w:after="60"/>
        <w:ind w:left="576" w:hanging="576"/>
      </w:pPr>
      <w:r>
        <w:rPr>
          <w:rFonts w:ascii="Times New Roman" w:hAnsi="Times New Roman"/>
          <w:b w:val="0"/>
          <w:i w:val="0"/>
          <w:sz w:val="20"/>
        </w:rPr>
        <w:t>Lee, J., Jun, D. W., Song, I., &amp; Kim, Y. (2024). DLM-DTI: a dual language model for the prediction of drug-target interaction with hint-based learning. Journal of Cheminformatics, 16(1).</w:t>
      </w:r>
    </w:p>
    <w:p>
      <w:pPr>
        <w:spacing w:after="60"/>
        <w:ind w:left="576" w:hanging="576"/>
      </w:pPr>
      <w:r>
        <w:rPr>
          <w:rFonts w:ascii="Times New Roman" w:hAnsi="Times New Roman"/>
          <w:b w:val="0"/>
          <w:i w:val="0"/>
          <w:sz w:val="20"/>
        </w:rPr>
        <w:t>Li, N., Yang, Z., Wang, J., &amp; Lin, H. (2024). Drug–target interaction prediction using knowledge graph embedding. iScience, 27(6).</w:t>
      </w:r>
    </w:p>
    <w:p>
      <w:pPr>
        <w:spacing w:after="60"/>
        <w:ind w:left="576" w:hanging="576"/>
      </w:pPr>
      <w:r>
        <w:rPr>
          <w:rFonts w:ascii="Times New Roman" w:hAnsi="Times New Roman"/>
          <w:b w:val="0"/>
          <w:i w:val="0"/>
          <w:sz w:val="20"/>
        </w:rPr>
        <w:t>Liao, J., Chen, H., Wei, L., &amp; Wei, L. (2022). GSAML-DTA: An interpretable drug-target binding affinity prediction model based on graph neural networks with self-attention mechanism and mutual information. Computers in Biology and Medicine, 150, 106145.</w:t>
      </w:r>
    </w:p>
    <w:p>
      <w:pPr>
        <w:spacing w:after="60"/>
        <w:ind w:left="576" w:hanging="576"/>
      </w:pPr>
      <w:r>
        <w:rPr>
          <w:rFonts w:ascii="Times New Roman" w:hAnsi="Times New Roman"/>
          <w:b w:val="0"/>
          <w:i w:val="0"/>
          <w:sz w:val="20"/>
        </w:rPr>
        <w:t>Liao, Q., Zhang, Y., Chu, Y., Ding, Y., Liu, Z., et al. (2025). Application of Artificial Intelligence In Drug-target Interactions Prediction: A Review. npj Biomedical Innovations, 2(1).</w:t>
      </w:r>
    </w:p>
    <w:p>
      <w:pPr>
        <w:spacing w:after="60"/>
        <w:ind w:left="576" w:hanging="576"/>
      </w:pPr>
      <w:r>
        <w:rPr>
          <w:rFonts w:ascii="Times New Roman" w:hAnsi="Times New Roman"/>
          <w:b w:val="0"/>
          <w:i w:val="0"/>
          <w:sz w:val="20"/>
        </w:rPr>
        <w:t>Lin, Z., Akin, H., Rao, R., Hie, B., Zhu, Z., Lu, W., et al. (2023). Evolutionary-scale prediction of atomic-level protein structure with a language model. Science, 379(6637), 1123–1130.</w:t>
      </w:r>
    </w:p>
    <w:p>
      <w:pPr>
        <w:spacing w:after="60"/>
        <w:ind w:left="576" w:hanging="576"/>
      </w:pPr>
      <w:r>
        <w:rPr>
          <w:rFonts w:ascii="Times New Roman" w:hAnsi="Times New Roman"/>
          <w:b w:val="0"/>
          <w:i w:val="0"/>
          <w:sz w:val="20"/>
        </w:rPr>
        <w:t>Lu, Z., Song, G., Zhu, H., Lei, C., Sun, X., Wang, K., et al. (2025). DTIAM: a unified framework for predicting drug-target interactions, binding affinities and drug mechanisms. Nature Communications, 16(1).</w:t>
      </w:r>
    </w:p>
    <w:p>
      <w:pPr>
        <w:spacing w:after="60"/>
        <w:ind w:left="576" w:hanging="576"/>
      </w:pPr>
      <w:r>
        <w:rPr>
          <w:rFonts w:ascii="Times New Roman" w:hAnsi="Times New Roman"/>
          <w:b w:val="0"/>
          <w:i w:val="0"/>
          <w:sz w:val="20"/>
        </w:rPr>
        <w:t>Luo, Y., Duan, G., Zhao, Q., Bi, X., &amp; Wang, J. (2024). DTKGIN: Predicting drug-target interactions based on knowledge graph and intent graph. Methods, 226, 21–27.</w:t>
      </w:r>
    </w:p>
    <w:p>
      <w:pPr>
        <w:spacing w:after="60"/>
        <w:ind w:left="576" w:hanging="576"/>
      </w:pPr>
      <w:r>
        <w:rPr>
          <w:rFonts w:ascii="Times New Roman" w:hAnsi="Times New Roman"/>
          <w:b w:val="0"/>
          <w:i w:val="0"/>
          <w:sz w:val="20"/>
        </w:rPr>
        <w:t>Luo, Y., Zhao, X., Zhou, J., Yang, J., Zhang, Y., Kuang, W., et al. (2017). A network integration approach for drug-target interaction prediction and computational drug repositioning from heterogeneous information. Nature Communications, 8, 573.</w:t>
      </w:r>
    </w:p>
    <w:p>
      <w:pPr>
        <w:spacing w:after="60"/>
        <w:ind w:left="576" w:hanging="576"/>
      </w:pPr>
      <w:r>
        <w:rPr>
          <w:rFonts w:ascii="Times New Roman" w:hAnsi="Times New Roman"/>
          <w:b w:val="0"/>
          <w:i w:val="0"/>
          <w:sz w:val="20"/>
        </w:rPr>
        <w:t>Mienye, I. D., Swart, T. G., &amp; Obaido, G. (2024). Recurrent Neural Networks: A Comprehensive Review of Architectures, Variants, and Applications. Information, 15(9).</w:t>
      </w:r>
    </w:p>
    <w:p>
      <w:pPr>
        <w:spacing w:after="60"/>
        <w:ind w:left="576" w:hanging="576"/>
      </w:pPr>
      <w:r>
        <w:rPr>
          <w:rFonts w:ascii="Times New Roman" w:hAnsi="Times New Roman"/>
          <w:b w:val="0"/>
          <w:i w:val="0"/>
          <w:sz w:val="20"/>
        </w:rPr>
        <w:t>Nguyen, T., Le, H., Quinn, T. P., Nguyen, T., Le, T. D., &amp; Venkatesh, S. (2021). GraphDTA: Predicting drug target binding affinity with graph neural networks. Bioinformatics, 37(8), 1140–1147.</w:t>
      </w:r>
    </w:p>
    <w:p>
      <w:pPr>
        <w:spacing w:after="60"/>
        <w:ind w:left="576" w:hanging="576"/>
      </w:pPr>
      <w:r>
        <w:rPr>
          <w:rFonts w:ascii="Times New Roman" w:hAnsi="Times New Roman"/>
          <w:b w:val="0"/>
          <w:i w:val="0"/>
          <w:sz w:val="20"/>
        </w:rPr>
        <w:t>Öztürk, H., Özgür, A., &amp; Ozkirimli, E. (2018). DeepDTA: deep drug–target binding affinity prediction. Bioinformatics, 34(17), i821–i829.</w:t>
      </w:r>
    </w:p>
    <w:p>
      <w:pPr>
        <w:spacing w:after="60"/>
        <w:ind w:left="576" w:hanging="576"/>
      </w:pPr>
      <w:r>
        <w:rPr>
          <w:rFonts w:ascii="Times New Roman" w:hAnsi="Times New Roman"/>
          <w:b w:val="0"/>
          <w:i w:val="0"/>
          <w:sz w:val="20"/>
        </w:rPr>
        <w:t>Panahandeh, F., &amp; Mansouri, N. (2025). A comprehensive review of neural network-based approaches for drug–target interaction prediction. Molecular Diversity.</w:t>
      </w:r>
    </w:p>
    <w:p>
      <w:pPr>
        <w:spacing w:after="60"/>
        <w:ind w:left="576" w:hanging="576"/>
      </w:pPr>
      <w:r>
        <w:rPr>
          <w:rFonts w:ascii="Times New Roman" w:hAnsi="Times New Roman"/>
          <w:b w:val="0"/>
          <w:i w:val="0"/>
          <w:sz w:val="20"/>
        </w:rPr>
        <w:t>Quan, N., Ma, S., Zhao, K., Bi, X., &amp; Zhang, L. (2025). MFCADTI: improving drug-target interaction prediction by integrating multiple feature through cross attention mechanism. BMC Bioinformatics, 26(1).</w:t>
      </w:r>
    </w:p>
    <w:p>
      <w:pPr>
        <w:spacing w:after="60"/>
        <w:ind w:left="576" w:hanging="576"/>
      </w:pPr>
      <w:r>
        <w:rPr>
          <w:rFonts w:ascii="Times New Roman" w:hAnsi="Times New Roman"/>
          <w:b w:val="0"/>
          <w:i w:val="0"/>
          <w:sz w:val="20"/>
        </w:rPr>
        <w:t>Shan, J., Sun, J., &amp; Zheng, H. (2025). MIF-DTI: a multimodal information fusion method for drug-target interaction prediction. Briefings in Bioinformatics, 26(5).</w:t>
      </w:r>
    </w:p>
    <w:p>
      <w:pPr>
        <w:spacing w:after="60"/>
        <w:ind w:left="576" w:hanging="576"/>
      </w:pPr>
      <w:r>
        <w:rPr>
          <w:rFonts w:ascii="Times New Roman" w:hAnsi="Times New Roman"/>
          <w:b w:val="0"/>
          <w:i w:val="0"/>
          <w:sz w:val="20"/>
        </w:rPr>
        <w:t>Sun, Y., Li, Y. Y., Leung, C. K., &amp; Hu, P. (2024). iNGNN-DTI: prediction of drug-target interaction with interpretable nested graph neural network and pretrained molecule models. Bioinformatics, 40(3).</w:t>
      </w:r>
    </w:p>
    <w:p>
      <w:pPr>
        <w:spacing w:after="60"/>
        <w:ind w:left="576" w:hanging="576"/>
      </w:pPr>
      <w:r>
        <w:rPr>
          <w:rFonts w:ascii="Times New Roman" w:hAnsi="Times New Roman"/>
          <w:b w:val="0"/>
          <w:i w:val="0"/>
          <w:sz w:val="20"/>
        </w:rPr>
        <w:t>Talo, M., &amp; Bozdag, S. (2025). Top-DTI: Integrating topological deep learning and large language models for drug-target interaction prediction. Bioinformatics, 41, i133–i141.</w:t>
      </w:r>
    </w:p>
    <w:p>
      <w:pPr>
        <w:spacing w:after="60"/>
        <w:ind w:left="576" w:hanging="576"/>
      </w:pPr>
      <w:r>
        <w:rPr>
          <w:rFonts w:ascii="Times New Roman" w:hAnsi="Times New Roman"/>
          <w:b w:val="0"/>
          <w:i w:val="0"/>
          <w:sz w:val="20"/>
        </w:rPr>
        <w:t>Tanoli, Z., Schulman, A., &amp; Aittokallio, T. (2025). Validation guidelines for drug-target prediction methods. Expert Opinion on Drug Discovery, 20(1), 31–46.</w:t>
      </w:r>
    </w:p>
    <w:p>
      <w:pPr>
        <w:spacing w:after="60"/>
        <w:ind w:left="576" w:hanging="576"/>
      </w:pPr>
      <w:r>
        <w:rPr>
          <w:rFonts w:ascii="Times New Roman" w:hAnsi="Times New Roman"/>
          <w:b w:val="0"/>
          <w:i w:val="0"/>
          <w:sz w:val="20"/>
        </w:rPr>
        <w:t>Tran, H. N. T., Thomas, J. J., &amp; Malim, N. H. A. H. (2022). DeepNC: a framework for drug-target interaction prediction with graph neural networks. PeerJ, 10.</w:t>
      </w:r>
    </w:p>
    <w:p>
      <w:pPr>
        <w:spacing w:after="60"/>
        <w:ind w:left="576" w:hanging="576"/>
      </w:pPr>
      <w:r>
        <w:rPr>
          <w:rFonts w:ascii="Times New Roman" w:hAnsi="Times New Roman"/>
          <w:b w:val="0"/>
          <w:i w:val="0"/>
          <w:sz w:val="20"/>
        </w:rPr>
        <w:t>Vefghi, A., Rahmati, Z., &amp; Akbari, M. (2025). Drug-target interaction/affinity prediction: Deep learning models and advances review. Computers in Biology and Medicine, 196, 110438.</w:t>
      </w:r>
    </w:p>
    <w:p>
      <w:pPr>
        <w:spacing w:after="60"/>
        <w:ind w:left="576" w:hanging="576"/>
      </w:pPr>
      <w:r>
        <w:rPr>
          <w:rFonts w:ascii="Times New Roman" w:hAnsi="Times New Roman"/>
          <w:b w:val="0"/>
          <w:i w:val="0"/>
          <w:sz w:val="20"/>
        </w:rPr>
        <w:t>Wu, Z., Li, W., Liu, G., &amp; Tang, Y. (2018). Network-based methods for prediction of drug-target interactions. Frontiers in Pharmacology, 9.</w:t>
      </w:r>
    </w:p>
    <w:p>
      <w:pPr>
        <w:spacing w:after="60"/>
        <w:ind w:left="576" w:hanging="576"/>
      </w:pPr>
      <w:r>
        <w:rPr>
          <w:rFonts w:ascii="Times New Roman" w:hAnsi="Times New Roman"/>
          <w:b w:val="0"/>
          <w:i w:val="0"/>
          <w:sz w:val="20"/>
        </w:rPr>
        <w:t>Xuan, P., Sun, C., Zhang, T., Ye, Y., Shen, T., &amp; Dong, Y. (2019). Gradient boosting decision tree-based method for predicting interactions between target genes and drugs. Frontiers in Genetics, 10.</w:t>
      </w:r>
    </w:p>
    <w:p>
      <w:pPr>
        <w:spacing w:after="60"/>
        <w:ind w:left="576" w:hanging="576"/>
      </w:pPr>
      <w:r>
        <w:rPr>
          <w:rFonts w:ascii="Times New Roman" w:hAnsi="Times New Roman"/>
          <w:b w:val="0"/>
          <w:i w:val="0"/>
          <w:sz w:val="20"/>
        </w:rPr>
        <w:t>Yamanishi, Y., Araki, M., Gutteridge, A., Honda, W., &amp; Kanehisa, M. (2008). Prediction of drug–target interaction networks from the integration of chemical and genomic spaces. Bioinformatics, 24(13), i232–i240.</w:t>
      </w:r>
    </w:p>
    <w:p>
      <w:pPr>
        <w:spacing w:after="60"/>
        <w:ind w:left="576" w:hanging="576"/>
      </w:pPr>
      <w:r>
        <w:rPr>
          <w:rFonts w:ascii="Times New Roman" w:hAnsi="Times New Roman"/>
          <w:b w:val="0"/>
          <w:i w:val="0"/>
          <w:sz w:val="20"/>
        </w:rPr>
        <w:t>Yang, Z., Zhong, W., Lv, Q., Dong, T., Chen, G., &amp; Chen, C. Y.-C. (2024). Interaction-Based Inductive Bias in Graph Neural Networks: Enhancing Protein-Ligand Binding Affinity Predictions From 3D Structures. IEEE Transactions on Pattern Analysis and Machine Intelligence, 46(12), 8191–8208.</w:t>
      </w:r>
    </w:p>
    <w:p>
      <w:pPr>
        <w:spacing w:after="60"/>
        <w:ind w:left="576" w:hanging="576"/>
      </w:pPr>
      <w:r>
        <w:rPr>
          <w:rFonts w:ascii="Times New Roman" w:hAnsi="Times New Roman"/>
          <w:b w:val="0"/>
          <w:i w:val="0"/>
          <w:sz w:val="20"/>
        </w:rPr>
        <w:t>Yang, H., Chen, Y., Zuo, Y., Deng, Z., Pan, X., Shen, H. B., Choi, K. S., &amp; Yu, D. J. (2024). MINDG: a drug–target interaction prediction method based on an integrated learning algorithm. Bioinformatics, 40(4).</w:t>
      </w:r>
    </w:p>
    <w:p>
      <w:pPr>
        <w:spacing w:after="60"/>
        <w:ind w:left="576" w:hanging="576"/>
      </w:pPr>
      <w:r>
        <w:rPr>
          <w:rFonts w:ascii="Times New Roman" w:hAnsi="Times New Roman"/>
          <w:b w:val="0"/>
          <w:i w:val="0"/>
          <w:sz w:val="20"/>
        </w:rPr>
        <w:t>Yuan, Y., Chen, S., Hu, R., &amp; Wang, X. (2025). MutualDTA: An Interpretable Drug-Target Affinity Prediction Model Leveraging Pretrained Models and Mutual Attention. Journal of Chemical Information and Modeling, 65(3), 1211–1227.</w:t>
      </w:r>
    </w:p>
    <w:p>
      <w:pPr>
        <w:spacing w:after="60"/>
        <w:ind w:left="576" w:hanging="576"/>
      </w:pPr>
      <w:r>
        <w:rPr>
          <w:rFonts w:ascii="Times New Roman" w:hAnsi="Times New Roman"/>
          <w:b w:val="0"/>
          <w:i w:val="0"/>
          <w:sz w:val="20"/>
        </w:rPr>
        <w:t>Zeng, X., Li, S., Lv, S., &amp; Wen, M. (2024). A comprehensive review of the recent advances on predicting drug-target affinity based on deep learning. Frontiers in Pharmacology.</w:t>
      </w:r>
    </w:p>
    <w:p>
      <w:pPr>
        <w:spacing w:after="60"/>
        <w:ind w:left="576" w:hanging="576"/>
      </w:pPr>
      <w:r>
        <w:rPr>
          <w:rFonts w:ascii="Times New Roman" w:hAnsi="Times New Roman"/>
          <w:b w:val="0"/>
          <w:i w:val="0"/>
          <w:sz w:val="20"/>
        </w:rPr>
        <w:t>Zhang, X. M., Liang, L., Liu, L., &amp; Tang, M. J. (2021). Graph Neural Networks and Their Current Applications in Bioinformatics. Frontiers in Genetics, 12.</w:t>
      </w:r>
    </w:p>
    <w:p>
      <w:pPr>
        <w:spacing w:after="60"/>
        <w:ind w:left="576" w:hanging="576"/>
      </w:pPr>
      <w:r>
        <w:rPr>
          <w:rFonts w:ascii="Times New Roman" w:hAnsi="Times New Roman"/>
          <w:b w:val="0"/>
          <w:i w:val="0"/>
          <w:sz w:val="20"/>
        </w:rPr>
        <w:t>Zhijian, L., Shaohua, J., Yigao, L., &amp; Min, G. (2022). GDGRU-DTA: Predicting Drug-Target Binding Affinity based on GNN and Double GRU. Proceedings of CSIT 2022, 25–37.</w:t>
      </w:r>
    </w:p>
    <w:p>
      <w:pPr>
        <w:spacing w:after="60"/>
        <w:ind w:left="576" w:hanging="576"/>
      </w:pPr>
      <w:r>
        <w:rPr>
          <w:rFonts w:ascii="Times New Roman" w:hAnsi="Times New Roman"/>
          <w:b w:val="0"/>
          <w:i w:val="0"/>
          <w:sz w:val="20"/>
        </w:rPr>
        <w:t>Zhu, Y., Ning, C., Zhang, N., Wang, M., &amp; Zhang, Y. (2024). GSRF-DTI: a framework for drug-target interaction prediction based on a drug-target pair network and representation learning on a large graph. BMC Biology, 22(1).</w:t>
      </w:r>
    </w:p>
    <w:p>
      <w:pPr>
        <w:spacing w:after="60"/>
        <w:ind w:left="576" w:hanging="576"/>
      </w:pPr>
      <w:r>
        <w:rPr>
          <w:rFonts w:ascii="Times New Roman" w:hAnsi="Times New Roman"/>
          <w:b w:val="0"/>
          <w:i w:val="0"/>
          <w:sz w:val="20"/>
        </w:rPr>
        <w:t>Zuo, Y., Wu, X., Ge, F., Yan, H., Fei, S., Liang, J., &amp; Deng, Z. (2025). Research progress on Drug-Target Interactions in the last five years. Analytical Biochemistry, 697, 115691.</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