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497D"/>
          <w:sz w:val="44"/>
        </w:rPr>
        <w:t>Objective 3 — Analysis Plan</w:t>
      </w:r>
    </w:p>
    <w:p>
      <w:pPr>
        <w:jc w:val="center"/>
      </w:pPr>
      <w:r>
        <w:rPr>
          <w:color w:val="007078"/>
          <w:sz w:val="28"/>
        </w:rPr>
        <w:t>Attention-Based Interpretability Layer for</w:t>
      </w:r>
    </w:p>
    <w:p>
      <w:pPr>
        <w:jc w:val="center"/>
      </w:pPr>
      <w:r>
        <w:rPr>
          <w:color w:val="007078"/>
          <w:sz w:val="28"/>
        </w:rPr>
        <w:t>Drug–Target Interaction Prediction</w:t>
      </w:r>
    </w:p>
    <w:p>
      <w:pPr>
        <w:spacing w:before="240"/>
        <w:jc w:val="center"/>
      </w:pPr>
      <w:r>
        <w:rPr>
          <w:color w:val="595959"/>
          <w:sz w:val="22"/>
        </w:rPr>
        <w:t>H-GNN-RNN-DTI  |  USM  |  Assoc. Prof. Dr. Nurul Hashimah</w:t>
      </w:r>
    </w:p>
    <w:p>
      <w:pPr>
        <w:jc w:val="center"/>
      </w:pPr>
      <w:r>
        <w:rPr>
          <w:color w:val="595959"/>
          <w:sz w:val="22"/>
        </w:rPr>
        <w:t>2026</w:t>
      </w:r>
    </w:p>
    <w:p>
      <w:r>
        <w:br w:type="page"/>
      </w:r>
    </w:p>
    <w:p>
      <w:pPr>
        <w:spacing w:before="360" w:after="80"/>
        <w:pBdr>
          <w:bottom w:val="single" w:sz="6" w:space="1" w:color="1F497D"/>
        </w:pBdr>
      </w:pPr>
      <w:r>
        <w:rPr>
          <w:b/>
          <w:color w:val="1F497D"/>
          <w:sz w:val="32"/>
        </w:rPr>
        <w:t>0. Objective Statement and Research Question</w:t>
      </w:r>
    </w:p>
    <w:p>
      <w:pPr>
        <w:spacing w:before="40" w:after="80"/>
      </w:pPr>
      <w:r>
        <w:rPr>
          <w:color w:val="595959"/>
          <w:sz w:val="22"/>
        </w:rPr>
        <w:t>Objective 3 — To implement and benchmark an attention-based interpretability layer that demonstrates the model's ability to generate both quantitative and visual explanations of DTI/DTA predictions. This will create an actionable tool for guiding structure–activity relationship (SAR) studies and providing chemically and biologically meaningful rationales for model decisions.</w:t>
      </w:r>
    </w:p>
    <w:p>
      <w:pPr>
        <w:spacing w:before="120" w:after="120"/>
        <w:ind w:left="567"/>
        <w:pBdr>
          <w:left w:val="single" w:sz="12" w:space="6" w:color="007078"/>
        </w:pBdr>
      </w:pPr>
      <w:r>
        <w:rPr>
          <w:i/>
          <w:color w:val="595959"/>
          <w:sz w:val="21"/>
        </w:rPr>
        <w:t>RQ3: Can the attention-enhanced H-GNN-RNN-DTI model generate interpretable, biologically meaningful insights into drug–target interactions that are consistent with known binding mechanisms?</w:t>
      </w:r>
    </w:p>
    <w:p>
      <w:pPr>
        <w:spacing w:before="240" w:after="40"/>
      </w:pPr>
      <w:r>
        <w:rPr>
          <w:b/>
          <w:color w:val="007078"/>
          <w:sz w:val="26"/>
        </w:rPr>
        <w:t>Scope and Deliverables</w:t>
      </w:r>
    </w:p>
    <w:p>
      <w:pPr>
        <w:spacing w:before="40" w:after="80"/>
      </w:pPr>
      <w:r>
        <w:rPr>
          <w:color w:val="595959"/>
          <w:sz w:val="22"/>
        </w:rPr>
        <w:t>This objective has three components mirroring the proposal §3.7: (1) Attention-Based Attribution — extract and analyse cross-attention weights from the Gated Cross-Attention module to attribute predictions to individual drug atoms and protein residues; (2) Visualization — produce heatmaps, molecular highlight plots, and graph-based Grad-CAM maps; (3) Case Study Validation — compare model-predicted binding hotspots against experimentally validated binding sites from the Protein Data Bank (PDB).</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497D"/>
          </w:tcPr>
          <w:p>
            <w:r>
              <w:rPr>
                <w:b/>
                <w:color w:val="FFFFFF"/>
                <w:sz w:val="20"/>
              </w:rPr>
              <w:t>Component</w:t>
            </w:r>
          </w:p>
        </w:tc>
        <w:tc>
          <w:tcPr>
            <w:tcW w:type="dxa" w:w="2016"/>
            <w:shd w:val="clear" w:color="auto" w:fill="1F497D"/>
          </w:tcPr>
          <w:p>
            <w:r>
              <w:rPr>
                <w:b/>
                <w:color w:val="FFFFFF"/>
                <w:sz w:val="20"/>
              </w:rPr>
              <w:t>Proposal Section</w:t>
            </w:r>
          </w:p>
        </w:tc>
        <w:tc>
          <w:tcPr>
            <w:tcW w:type="dxa" w:w="4608"/>
            <w:shd w:val="clear" w:color="auto" w:fill="1F497D"/>
          </w:tcPr>
          <w:p>
            <w:r>
              <w:rPr>
                <w:b/>
                <w:color w:val="FFFFFF"/>
                <w:sz w:val="20"/>
              </w:rPr>
              <w:t>Key Output</w:t>
            </w:r>
          </w:p>
        </w:tc>
      </w:tr>
      <w:tr>
        <w:tc>
          <w:tcPr>
            <w:tcW w:type="dxa" w:w="2880"/>
            <w:shd w:val="clear" w:color="auto" w:fill="F2F7FF"/>
          </w:tcPr>
          <w:p>
            <w:r>
              <w:rPr>
                <w:color w:val="595959"/>
                <w:sz w:val="20"/>
              </w:rPr>
              <w:t>3.1  Attribution Extraction</w:t>
            </w:r>
          </w:p>
        </w:tc>
        <w:tc>
          <w:tcPr>
            <w:tcW w:type="dxa" w:w="2016"/>
            <w:shd w:val="clear" w:color="auto" w:fill="F2F7FF"/>
          </w:tcPr>
          <w:p>
            <w:r>
              <w:rPr>
                <w:color w:val="595959"/>
                <w:sz w:val="20"/>
              </w:rPr>
              <w:t>§3.7.1</w:t>
            </w:r>
          </w:p>
        </w:tc>
        <w:tc>
          <w:tcPr>
            <w:tcW w:type="dxa" w:w="4608"/>
            <w:shd w:val="clear" w:color="auto" w:fill="F2F7FF"/>
          </w:tcPr>
          <w:p>
            <w:r>
              <w:rPr>
                <w:color w:val="595959"/>
                <w:sz w:val="20"/>
              </w:rPr>
              <w:t>Per-atom and per-residue importance scores</w:t>
            </w:r>
          </w:p>
        </w:tc>
      </w:tr>
      <w:tr>
        <w:tc>
          <w:tcPr>
            <w:tcW w:type="dxa" w:w="2880"/>
            <w:shd w:val="clear" w:color="auto" w:fill="FFFFFF"/>
          </w:tcPr>
          <w:p>
            <w:r>
              <w:rPr>
                <w:color w:val="595959"/>
                <w:sz w:val="20"/>
              </w:rPr>
              <w:t>3.2  Graph Grad-CAM</w:t>
            </w:r>
          </w:p>
        </w:tc>
        <w:tc>
          <w:tcPr>
            <w:tcW w:type="dxa" w:w="2016"/>
            <w:shd w:val="clear" w:color="auto" w:fill="FFFFFF"/>
          </w:tcPr>
          <w:p>
            <w:r>
              <w:rPr>
                <w:color w:val="595959"/>
                <w:sz w:val="20"/>
              </w:rPr>
              <w:t>§3.7.1</w:t>
            </w:r>
          </w:p>
        </w:tc>
        <w:tc>
          <w:tcPr>
            <w:tcW w:type="dxa" w:w="4608"/>
            <w:shd w:val="clear" w:color="auto" w:fill="FFFFFF"/>
          </w:tcPr>
          <w:p>
            <w:r>
              <w:rPr>
                <w:color w:val="595959"/>
                <w:sz w:val="20"/>
              </w:rPr>
              <w:t>Gradient-weighted node importance (drug GNN)</w:t>
            </w:r>
          </w:p>
        </w:tc>
      </w:tr>
      <w:tr>
        <w:tc>
          <w:tcPr>
            <w:tcW w:type="dxa" w:w="2880"/>
            <w:shd w:val="clear" w:color="auto" w:fill="F2F7FF"/>
          </w:tcPr>
          <w:p>
            <w:r>
              <w:rPr>
                <w:color w:val="595959"/>
                <w:sz w:val="20"/>
              </w:rPr>
              <w:t>3.3  Visualization</w:t>
            </w:r>
          </w:p>
        </w:tc>
        <w:tc>
          <w:tcPr>
            <w:tcW w:type="dxa" w:w="2016"/>
            <w:shd w:val="clear" w:color="auto" w:fill="F2F7FF"/>
          </w:tcPr>
          <w:p>
            <w:r>
              <w:rPr>
                <w:color w:val="595959"/>
                <w:sz w:val="20"/>
              </w:rPr>
              <w:t>§3.7.2</w:t>
            </w:r>
          </w:p>
        </w:tc>
        <w:tc>
          <w:tcPr>
            <w:tcW w:type="dxa" w:w="4608"/>
            <w:shd w:val="clear" w:color="auto" w:fill="F2F7FF"/>
          </w:tcPr>
          <w:p>
            <w:r>
              <w:rPr>
                <w:color w:val="595959"/>
                <w:sz w:val="20"/>
              </w:rPr>
              <w:t>Molecule highlight plots + sequence heatmaps</w:t>
            </w:r>
          </w:p>
        </w:tc>
      </w:tr>
      <w:tr>
        <w:tc>
          <w:tcPr>
            <w:tcW w:type="dxa" w:w="2880"/>
            <w:shd w:val="clear" w:color="auto" w:fill="FFFFFF"/>
          </w:tcPr>
          <w:p>
            <w:r>
              <w:rPr>
                <w:color w:val="595959"/>
                <w:sz w:val="20"/>
              </w:rPr>
              <w:t>3.4  Quantitative Metrics</w:t>
            </w:r>
          </w:p>
        </w:tc>
        <w:tc>
          <w:tcPr>
            <w:tcW w:type="dxa" w:w="2016"/>
            <w:shd w:val="clear" w:color="auto" w:fill="FFFFFF"/>
          </w:tcPr>
          <w:p>
            <w:r>
              <w:rPr>
                <w:color w:val="595959"/>
                <w:sz w:val="20"/>
              </w:rPr>
              <w:t>§3.7 (implied)</w:t>
            </w:r>
          </w:p>
        </w:tc>
        <w:tc>
          <w:tcPr>
            <w:tcW w:type="dxa" w:w="4608"/>
            <w:shd w:val="clear" w:color="auto" w:fill="FFFFFF"/>
          </w:tcPr>
          <w:p>
            <w:r>
              <w:rPr>
                <w:color w:val="595959"/>
                <w:sz w:val="20"/>
              </w:rPr>
              <w:t>Faithfulness, consistency, specificity scores</w:t>
            </w:r>
          </w:p>
        </w:tc>
      </w:tr>
      <w:tr>
        <w:tc>
          <w:tcPr>
            <w:tcW w:type="dxa" w:w="2880"/>
            <w:shd w:val="clear" w:color="auto" w:fill="F2F7FF"/>
          </w:tcPr>
          <w:p>
            <w:r>
              <w:rPr>
                <w:color w:val="595959"/>
                <w:sz w:val="20"/>
              </w:rPr>
              <w:t>3.5  Case Study Validation</w:t>
            </w:r>
          </w:p>
        </w:tc>
        <w:tc>
          <w:tcPr>
            <w:tcW w:type="dxa" w:w="2016"/>
            <w:shd w:val="clear" w:color="auto" w:fill="F2F7FF"/>
          </w:tcPr>
          <w:p>
            <w:r>
              <w:rPr>
                <w:color w:val="595959"/>
                <w:sz w:val="20"/>
              </w:rPr>
              <w:t>§3.7.3</w:t>
            </w:r>
          </w:p>
        </w:tc>
        <w:tc>
          <w:tcPr>
            <w:tcW w:type="dxa" w:w="4608"/>
            <w:shd w:val="clear" w:color="auto" w:fill="F2F7FF"/>
          </w:tcPr>
          <w:p>
            <w:r>
              <w:rPr>
                <w:color w:val="595959"/>
                <w:sz w:val="20"/>
              </w:rPr>
              <w:t>PDB-verified binding hotspot overlap report</w:t>
            </w:r>
          </w:p>
        </w:tc>
      </w:tr>
      <w:tr>
        <w:tc>
          <w:tcPr>
            <w:tcW w:type="dxa" w:w="2880"/>
            <w:shd w:val="clear" w:color="auto" w:fill="FFFFFF"/>
          </w:tcPr>
          <w:p>
            <w:r>
              <w:rPr>
                <w:color w:val="595959"/>
                <w:sz w:val="20"/>
              </w:rPr>
              <w:t>3.6  Reporting</w:t>
            </w:r>
          </w:p>
        </w:tc>
        <w:tc>
          <w:tcPr>
            <w:tcW w:type="dxa" w:w="2016"/>
            <w:shd w:val="clear" w:color="auto" w:fill="FFFFFF"/>
          </w:tcPr>
          <w:p>
            <w:r>
              <w:rPr>
                <w:color w:val="595959"/>
                <w:sz w:val="20"/>
              </w:rPr>
              <w:t>Expected Outcome §3</w:t>
            </w:r>
          </w:p>
        </w:tc>
        <w:tc>
          <w:tcPr>
            <w:tcW w:type="dxa" w:w="4608"/>
            <w:shd w:val="clear" w:color="auto" w:fill="FFFFFF"/>
          </w:tcPr>
          <w:p>
            <w:r>
              <w:rPr>
                <w:color w:val="595959"/>
                <w:sz w:val="20"/>
              </w:rPr>
              <w:t>Interpretability section in paper</w:t>
            </w:r>
          </w:p>
        </w:tc>
      </w:tr>
    </w:tbl>
    <w:p/>
    <w:p>
      <w:pPr>
        <w:spacing w:before="240" w:after="40"/>
      </w:pPr>
      <w:r>
        <w:rPr>
          <w:b/>
          <w:color w:val="007078"/>
          <w:sz w:val="26"/>
        </w:rPr>
        <w:t>Model Configuration</w:t>
      </w:r>
    </w:p>
    <w:p>
      <w:pPr>
        <w:spacing w:before="40" w:after="80"/>
      </w:pPr>
      <w:r>
        <w:rPr>
          <w:color w:val="595959"/>
          <w:sz w:val="22"/>
        </w:rPr>
        <w:t>All interpretability experiments run on the C3 configuration (ESM-2 150M + 1:5 ratio + BindingDB pretraining) — the best overall AUROC model from Objective 2. The best seed checkpoint from each dataset/split is used for attribution analysis.</w:t>
      </w:r>
    </w:p>
    <w:tbl>
      <w:tblPr>
        <w:tblStyle w:val="TableGrid"/>
        <w:tblW w:type="auto" w:w="0"/>
        <w:tblLook w:firstColumn="1" w:firstRow="1" w:lastColumn="0" w:lastRow="0" w:noHBand="0" w:noVBand="1" w:val="04A0"/>
      </w:tblPr>
      <w:tblGrid>
        <w:gridCol w:w="4561"/>
        <w:gridCol w:w="4561"/>
      </w:tblGrid>
      <w:tr>
        <w:tc>
          <w:tcPr>
            <w:tcW w:type="dxa" w:w="3456"/>
            <w:shd w:val="clear" w:color="auto" w:fill="1F497D"/>
          </w:tcPr>
          <w:p>
            <w:r>
              <w:rPr>
                <w:b/>
                <w:color w:val="FFFFFF"/>
                <w:sz w:val="20"/>
              </w:rPr>
              <w:t>Setting</w:t>
            </w:r>
          </w:p>
        </w:tc>
        <w:tc>
          <w:tcPr>
            <w:tcW w:type="dxa" w:w="6048"/>
            <w:shd w:val="clear" w:color="auto" w:fill="1F497D"/>
          </w:tcPr>
          <w:p>
            <w:r>
              <w:rPr>
                <w:b/>
                <w:color w:val="FFFFFF"/>
                <w:sz w:val="20"/>
              </w:rPr>
              <w:t>Value</w:t>
            </w:r>
          </w:p>
        </w:tc>
      </w:tr>
      <w:tr>
        <w:tc>
          <w:tcPr>
            <w:tcW w:type="dxa" w:w="3456"/>
            <w:shd w:val="clear" w:color="auto" w:fill="F2F7FF"/>
          </w:tcPr>
          <w:p>
            <w:r>
              <w:rPr>
                <w:color w:val="595959"/>
                <w:sz w:val="20"/>
              </w:rPr>
              <w:t>Embedding</w:t>
            </w:r>
          </w:p>
        </w:tc>
        <w:tc>
          <w:tcPr>
            <w:tcW w:type="dxa" w:w="6048"/>
            <w:shd w:val="clear" w:color="auto" w:fill="F2F7FF"/>
          </w:tcPr>
          <w:p>
            <w:r>
              <w:rPr>
                <w:color w:val="595959"/>
                <w:sz w:val="20"/>
              </w:rPr>
              <w:t>ESM-2 150M (480-dim → projected to 320 inside model)</w:t>
            </w:r>
          </w:p>
        </w:tc>
      </w:tr>
      <w:tr>
        <w:tc>
          <w:tcPr>
            <w:tcW w:type="dxa" w:w="3456"/>
            <w:shd w:val="clear" w:color="auto" w:fill="FFFFFF"/>
          </w:tcPr>
          <w:p>
            <w:r>
              <w:rPr>
                <w:color w:val="595959"/>
                <w:sz w:val="20"/>
              </w:rPr>
              <w:t>Negative ratio</w:t>
            </w:r>
          </w:p>
        </w:tc>
        <w:tc>
          <w:tcPr>
            <w:tcW w:type="dxa" w:w="6048"/>
            <w:shd w:val="clear" w:color="auto" w:fill="FFFFFF"/>
          </w:tcPr>
          <w:p>
            <w:r>
              <w:rPr>
                <w:color w:val="595959"/>
                <w:sz w:val="20"/>
              </w:rPr>
              <w:t>1:5</w:t>
            </w:r>
          </w:p>
        </w:tc>
      </w:tr>
      <w:tr>
        <w:tc>
          <w:tcPr>
            <w:tcW w:type="dxa" w:w="3456"/>
            <w:shd w:val="clear" w:color="auto" w:fill="F2F7FF"/>
          </w:tcPr>
          <w:p>
            <w:r>
              <w:rPr>
                <w:color w:val="595959"/>
                <w:sz w:val="20"/>
              </w:rPr>
              <w:t>Pretraining</w:t>
            </w:r>
          </w:p>
        </w:tc>
        <w:tc>
          <w:tcPr>
            <w:tcW w:type="dxa" w:w="6048"/>
            <w:shd w:val="clear" w:color="auto" w:fill="F2F7FF"/>
          </w:tcPr>
          <w:p>
            <w:r>
              <w:rPr>
                <w:color w:val="595959"/>
                <w:sz w:val="20"/>
              </w:rPr>
              <w:t>BindingDB 49,499 pairs (pretrain epoch 42)</w:t>
            </w:r>
          </w:p>
        </w:tc>
      </w:tr>
      <w:tr>
        <w:tc>
          <w:tcPr>
            <w:tcW w:type="dxa" w:w="3456"/>
            <w:shd w:val="clear" w:color="auto" w:fill="FFFFFF"/>
          </w:tcPr>
          <w:p>
            <w:r>
              <w:rPr>
                <w:color w:val="595959"/>
                <w:sz w:val="20"/>
              </w:rPr>
              <w:t>Primary datasets</w:t>
            </w:r>
          </w:p>
        </w:tc>
        <w:tc>
          <w:tcPr>
            <w:tcW w:type="dxa" w:w="6048"/>
            <w:shd w:val="clear" w:color="auto" w:fill="FFFFFF"/>
          </w:tcPr>
          <w:p>
            <w:r>
              <w:rPr>
                <w:color w:val="595959"/>
                <w:sz w:val="20"/>
              </w:rPr>
              <w:t>luo_17 (cold_target best), yamanishi_e (all 4 splits)</w:t>
            </w:r>
          </w:p>
        </w:tc>
      </w:tr>
      <w:tr>
        <w:tc>
          <w:tcPr>
            <w:tcW w:type="dxa" w:w="3456"/>
            <w:shd w:val="clear" w:color="auto" w:fill="F2F7FF"/>
          </w:tcPr>
          <w:p>
            <w:r>
              <w:rPr>
                <w:color w:val="595959"/>
                <w:sz w:val="20"/>
              </w:rPr>
              <w:t>Secondary dataset</w:t>
            </w:r>
          </w:p>
        </w:tc>
        <w:tc>
          <w:tcPr>
            <w:tcW w:type="dxa" w:w="6048"/>
            <w:shd w:val="clear" w:color="auto" w:fill="F2F7FF"/>
          </w:tcPr>
          <w:p>
            <w:r>
              <w:rPr>
                <w:color w:val="595959"/>
                <w:sz w:val="20"/>
              </w:rPr>
              <w:t>davis (DTA — for affinity regression interpretability)</w:t>
            </w:r>
          </w:p>
        </w:tc>
      </w:tr>
      <w:tr>
        <w:tc>
          <w:tcPr>
            <w:tcW w:type="dxa" w:w="3456"/>
            <w:shd w:val="clear" w:color="auto" w:fill="FFFFFF"/>
          </w:tcPr>
          <w:p>
            <w:r>
              <w:rPr>
                <w:color w:val="595959"/>
                <w:sz w:val="20"/>
              </w:rPr>
              <w:t>Seeds analysed</w:t>
            </w:r>
          </w:p>
        </w:tc>
        <w:tc>
          <w:tcPr>
            <w:tcW w:type="dxa" w:w="6048"/>
            <w:shd w:val="clear" w:color="auto" w:fill="FFFFFF"/>
          </w:tcPr>
          <w:p>
            <w:r>
              <w:rPr>
                <w:color w:val="595959"/>
                <w:sz w:val="20"/>
              </w:rPr>
              <w:t>Best seed per split (checkpoint with highest val AUROC)</w:t>
            </w:r>
          </w:p>
        </w:tc>
      </w:tr>
    </w:tbl>
    <w:p/>
    <w:p>
      <w:r>
        <w:br w:type="page"/>
      </w:r>
    </w:p>
    <w:p>
      <w:pPr>
        <w:spacing w:before="360" w:after="80"/>
        <w:pBdr>
          <w:bottom w:val="single" w:sz="6" w:space="1" w:color="1F497D"/>
        </w:pBdr>
      </w:pPr>
      <w:r>
        <w:rPr>
          <w:b/>
          <w:color w:val="1F497D"/>
          <w:sz w:val="32"/>
        </w:rPr>
        <w:t>Phase 1 — Attention Weight Extraction</w:t>
      </w:r>
    </w:p>
    <w:p>
      <w:pPr>
        <w:spacing w:before="40" w:after="80"/>
      </w:pPr>
      <w:r>
        <w:rPr>
          <w:color w:val="595959"/>
          <w:sz w:val="22"/>
        </w:rPr>
        <w:t>The Gated Cross-Attention module in model/fusion.py computes bidirectional cross-attention between drug atom embeddings and protein residue embeddings. This phase instruments the module to capture and return these attention weight matrices for any drug–target pair.</w:t>
      </w:r>
    </w:p>
    <w:p>
      <w:pPr>
        <w:spacing w:before="240" w:after="40"/>
      </w:pPr>
      <w:r>
        <w:rPr>
          <w:b/>
          <w:color w:val="007078"/>
          <w:sz w:val="26"/>
        </w:rPr>
        <w:t>Step 1.1 — Instrument GatedCrossAttention</w:t>
      </w:r>
    </w:p>
    <w:p>
      <w:pPr>
        <w:spacing w:before="120" w:after="120"/>
        <w:ind w:left="567"/>
        <w:pBdr>
          <w:left w:val="single" w:sz="12" w:space="6" w:color="C55A11"/>
        </w:pBdr>
      </w:pPr>
      <w:r>
        <w:rPr>
          <w:i/>
          <w:color w:val="595959"/>
          <w:sz w:val="21"/>
        </w:rPr>
        <w:t>File to modify: model/fusion.py — GatedCrossAttention.forward(). Currently the module discards attention weights after the gating step. Add a return_weights=False argument; when True, return (output, attn_d2p, attn_p2d).</w:t>
      </w:r>
    </w:p>
    <w:p>
      <w:pPr>
        <w:spacing w:before="160" w:after="40"/>
      </w:pPr>
      <w:r>
        <w:rPr>
          <w:b/>
          <w:color w:val="1F497D"/>
          <w:sz w:val="22"/>
        </w:rPr>
        <w:t>Implementation Details</w:t>
      </w:r>
    </w:p>
    <w:p>
      <w:pPr>
        <w:pStyle w:val="ListBullet"/>
        <w:spacing w:before="20" w:after="20"/>
        <w:ind w:left="454"/>
      </w:pPr>
      <w:r>
        <w:rPr>
          <w:b/>
          <w:color w:val="595959"/>
          <w:sz w:val="22"/>
        </w:rPr>
        <w:t xml:space="preserve">Shape:  </w:t>
      </w:r>
      <w:r>
        <w:rPr>
          <w:color w:val="595959"/>
          <w:sz w:val="22"/>
        </w:rPr>
        <w:t>Drug→Protein attention (attn_d2p): shape (B, N_atoms, L_residues) — each row is a drug atom's attention distribution over protein residues.</w:t>
      </w:r>
    </w:p>
    <w:p>
      <w:pPr>
        <w:pStyle w:val="ListBullet"/>
        <w:spacing w:before="20" w:after="20"/>
        <w:ind w:left="454"/>
      </w:pPr>
      <w:r>
        <w:rPr>
          <w:b/>
          <w:color w:val="595959"/>
          <w:sz w:val="22"/>
        </w:rPr>
        <w:t xml:space="preserve">Shape:  </w:t>
      </w:r>
      <w:r>
        <w:rPr>
          <w:color w:val="595959"/>
          <w:sz w:val="22"/>
        </w:rPr>
        <w:t>Protein→Drug attention (attn_p2d): shape (B, L_residues, N_atoms) — each row is a residue's attention over drug atoms.</w:t>
      </w:r>
    </w:p>
    <w:p>
      <w:pPr>
        <w:pStyle w:val="ListBullet"/>
        <w:spacing w:before="20" w:after="20"/>
        <w:ind w:left="454"/>
      </w:pPr>
      <w:r>
        <w:rPr>
          <w:b/>
          <w:color w:val="595959"/>
          <w:sz w:val="22"/>
        </w:rPr>
        <w:t xml:space="preserve">Heads:  </w:t>
      </w:r>
      <w:r>
        <w:rPr>
          <w:color w:val="595959"/>
          <w:sz w:val="22"/>
        </w:rPr>
        <w:t>Multi-head attention: average across heads before storing, or store all heads and aggregate downstream.</w:t>
      </w:r>
    </w:p>
    <w:p>
      <w:pPr>
        <w:pStyle w:val="ListBullet"/>
        <w:spacing w:before="20" w:after="20"/>
        <w:ind w:left="454"/>
      </w:pPr>
      <w:r>
        <w:rPr>
          <w:b/>
          <w:color w:val="595959"/>
          <w:sz w:val="22"/>
        </w:rPr>
        <w:t xml:space="preserve">Gate:  </w:t>
      </w:r>
      <w:r>
        <w:rPr>
          <w:color w:val="595959"/>
          <w:sz w:val="22"/>
        </w:rPr>
        <w:t>Gating weights (g_d, g_p) from the sigmoid gate also capture cross-modal information flow — optionally store these as secondary attribution signals.</w:t>
      </w:r>
    </w:p>
    <w:p>
      <w:pPr>
        <w:spacing w:before="160" w:after="40"/>
      </w:pPr>
      <w:r>
        <w:rPr>
          <w:b/>
          <w:color w:val="1F497D"/>
          <w:sz w:val="22"/>
        </w:rPr>
        <w:t>Code Sketch</w:t>
      </w:r>
    </w:p>
    <w:p>
      <w:pPr>
        <w:spacing w:before="80"/>
        <w:ind w:left="454"/>
      </w:pPr>
      <w:r>
        <w:rPr>
          <w:rFonts w:ascii="Courier New" w:hAnsi="Courier New"/>
          <w:color w:val="1F497D"/>
          <w:sz w:val="18"/>
        </w:rPr>
        <w:t>def forward(self, drug_emb, prot_emb, return_weights=False):</w:t>
        <w:br/>
        <w:t xml:space="preserve">    # ... existing cross-attention computation ...</w:t>
        <w:br/>
        <w:t xml:space="preserve">    attn_d2p = F.softmax(scores_d2p / math.sqrt(d_k), dim=-1)  # (B, N, L)</w:t>
        <w:br/>
        <w:t xml:space="preserve">    attn_p2d = F.softmax(scores_p2d / math.sqrt(d_k), dim=-1)  # (B, L, N)</w:t>
        <w:br/>
        <w:t xml:space="preserve">    if return_weights:</w:t>
        <w:br/>
        <w:t xml:space="preserve">        return fused_repr, attn_d2p.detach(), attn_p2d.detach()</w:t>
        <w:br/>
        <w:t xml:space="preserve">    return fused_repr</w:t>
      </w:r>
    </w:p>
    <w:p>
      <w:pPr>
        <w:spacing w:before="240" w:after="40"/>
      </w:pPr>
      <w:r>
        <w:rPr>
          <w:b/>
          <w:color w:val="007078"/>
          <w:sz w:val="26"/>
        </w:rPr>
        <w:t>Step 1.2 — Inference Attribution Pipeline</w:t>
      </w:r>
    </w:p>
    <w:p>
      <w:pPr>
        <w:spacing w:before="40" w:after="80"/>
      </w:pPr>
      <w:r>
        <w:rPr>
          <w:color w:val="595959"/>
          <w:sz w:val="22"/>
        </w:rPr>
        <w:t>Create a new script: interpret/extract_attention.py. This loads a trained checkpoint, accepts a (drug_smiles, protein_sequence) pair, runs a forward pass with return_weights=True, and returns atom-level and residue-level raw attention scores.</w:t>
      </w:r>
    </w:p>
    <w:p>
      <w:pPr>
        <w:spacing w:before="20" w:after="20"/>
        <w:ind w:left="454"/>
      </w:pPr>
      <w:r>
        <w:rPr>
          <w:b/>
          <w:color w:val="C55A11"/>
          <w:sz w:val="22"/>
        </w:rPr>
        <w:t xml:space="preserve">○  </w:t>
      </w:r>
      <w:r>
        <w:rPr>
          <w:color w:val="595959"/>
          <w:sz w:val="22"/>
        </w:rPr>
        <w:t>Create interpret/ directory with __init__.py</w:t>
      </w:r>
    </w:p>
    <w:p>
      <w:pPr>
        <w:spacing w:before="20" w:after="20"/>
        <w:ind w:left="454"/>
      </w:pPr>
      <w:r>
        <w:rPr>
          <w:b/>
          <w:color w:val="C55A11"/>
          <w:sz w:val="22"/>
        </w:rPr>
        <w:t xml:space="preserve">○  </w:t>
      </w:r>
      <w:r>
        <w:rPr>
          <w:color w:val="595959"/>
          <w:sz w:val="22"/>
        </w:rPr>
        <w:t>Script: interpret/extract_attention.py — load checkpoint, build graph, run inference, return weights</w:t>
      </w:r>
    </w:p>
    <w:p>
      <w:pPr>
        <w:spacing w:before="20" w:after="20"/>
        <w:ind w:left="454"/>
      </w:pPr>
      <w:r>
        <w:rPr>
          <w:b/>
          <w:color w:val="C55A11"/>
          <w:sz w:val="22"/>
        </w:rPr>
        <w:t xml:space="preserve">○  </w:t>
      </w:r>
      <w:r>
        <w:rPr>
          <w:color w:val="595959"/>
          <w:sz w:val="22"/>
        </w:rPr>
        <w:t>Output: attention_weights.npz — arrays attn_d2p (N_atoms × L_residues), attn_p2d (L_residues × N_atoms), prediction score</w:t>
      </w:r>
    </w:p>
    <w:p>
      <w:pPr>
        <w:spacing w:before="20" w:after="20"/>
        <w:ind w:left="454"/>
      </w:pPr>
      <w:r>
        <w:rPr>
          <w:b/>
          <w:color w:val="C55A11"/>
          <w:sz w:val="22"/>
        </w:rPr>
        <w:t xml:space="preserve">○  </w:t>
      </w:r>
      <w:r>
        <w:rPr>
          <w:color w:val="595959"/>
          <w:sz w:val="22"/>
        </w:rPr>
        <w:t>Support both DTI (binary logit) and DTA (affinity scalar) task heads</w:t>
      </w:r>
    </w:p>
    <w:p>
      <w:pPr>
        <w:spacing w:before="160" w:after="40"/>
      </w:pPr>
      <w:r>
        <w:rPr>
          <w:b/>
          <w:color w:val="1F497D"/>
          <w:sz w:val="22"/>
        </w:rPr>
        <w:t>Atom Importance Score (Drug)</w:t>
      </w:r>
    </w:p>
    <w:p>
      <w:pPr>
        <w:spacing w:before="40" w:after="80"/>
      </w:pPr>
      <w:r>
        <w:rPr>
          <w:color w:val="595959"/>
          <w:sz w:val="22"/>
        </w:rPr>
        <w:t>Aggregate the drug atom's column in attn_p2d (how much each protein residue attends to each drug atom) and average over residue positions: atom_importance[i] = mean over j of attn_p2d[j,i]. Alternatively use max-pooling for sparse attribution. Normalize to [0, 1].</w:t>
      </w:r>
    </w:p>
    <w:p>
      <w:pPr>
        <w:spacing w:before="160" w:after="40"/>
      </w:pPr>
      <w:r>
        <w:rPr>
          <w:b/>
          <w:color w:val="1F497D"/>
          <w:sz w:val="22"/>
        </w:rPr>
        <w:t>Residue Importance Score (Protein)</w:t>
      </w:r>
    </w:p>
    <w:p>
      <w:pPr>
        <w:spacing w:before="40" w:after="80"/>
      </w:pPr>
      <w:r>
        <w:rPr>
          <w:color w:val="595959"/>
          <w:sz w:val="22"/>
        </w:rPr>
        <w:t>Aggregate the protein residue's row in attn_d2p (how much each drug atom attends to each residue) and average over atom positions: residue_importance[j] = mean over i of attn_d2p[i,j]. Normalize to [0, 1].</w:t>
      </w:r>
    </w:p>
    <w:p>
      <w:pPr>
        <w:spacing w:before="240" w:after="40"/>
      </w:pPr>
      <w:r>
        <w:rPr>
          <w:b/>
          <w:color w:val="007078"/>
          <w:sz w:val="26"/>
        </w:rPr>
        <w:t>Step 1.3 — Sanity Checks and Validation</w:t>
      </w:r>
    </w:p>
    <w:p>
      <w:pPr>
        <w:spacing w:before="120" w:after="120"/>
        <w:ind w:left="567"/>
        <w:pBdr>
          <w:left w:val="single" w:sz="12" w:space="6" w:color="C55A11"/>
        </w:pBdr>
      </w:pPr>
      <w:r>
        <w:rPr>
          <w:i/>
          <w:color w:val="595959"/>
          <w:sz w:val="21"/>
        </w:rPr>
        <w:t>Before running downstream analyses, verify: (a) attention weights are non-uniform (not flat 1/N), (b) high-confidence correct predictions have higher peak attribution than low-confidence or wrong predictions, (c) permuting input atoms changes the atom scores (input-sensitivity check).</w:t>
      </w:r>
    </w:p>
    <w:tbl>
      <w:tblPr>
        <w:tblStyle w:val="TableGrid"/>
        <w:tblW w:type="auto" w:w="0"/>
        <w:tblLook w:firstColumn="1" w:firstRow="1" w:lastColumn="0" w:lastRow="0" w:noHBand="0" w:noVBand="1" w:val="04A0"/>
      </w:tblPr>
      <w:tblGrid>
        <w:gridCol w:w="3041"/>
        <w:gridCol w:w="3041"/>
        <w:gridCol w:w="3041"/>
      </w:tblGrid>
      <w:tr>
        <w:tc>
          <w:tcPr>
            <w:tcW w:type="dxa" w:w="2160"/>
            <w:shd w:val="clear" w:color="auto" w:fill="1F497D"/>
          </w:tcPr>
          <w:p>
            <w:r>
              <w:rPr>
                <w:b/>
                <w:color w:val="FFFFFF"/>
                <w:sz w:val="20"/>
              </w:rPr>
              <w:t>Check</w:t>
            </w:r>
          </w:p>
        </w:tc>
        <w:tc>
          <w:tcPr>
            <w:tcW w:type="dxa" w:w="4320"/>
            <w:shd w:val="clear" w:color="auto" w:fill="1F497D"/>
          </w:tcPr>
          <w:p>
            <w:r>
              <w:rPr>
                <w:b/>
                <w:color w:val="FFFFFF"/>
                <w:sz w:val="20"/>
              </w:rPr>
              <w:t>Method</w:t>
            </w:r>
          </w:p>
        </w:tc>
        <w:tc>
          <w:tcPr>
            <w:tcW w:type="dxa" w:w="3024"/>
            <w:shd w:val="clear" w:color="auto" w:fill="1F497D"/>
          </w:tcPr>
          <w:p>
            <w:r>
              <w:rPr>
                <w:b/>
                <w:color w:val="FFFFFF"/>
                <w:sz w:val="20"/>
              </w:rPr>
              <w:t>Pass Criterion</w:t>
            </w:r>
          </w:p>
        </w:tc>
      </w:tr>
      <w:tr>
        <w:tc>
          <w:tcPr>
            <w:tcW w:type="dxa" w:w="2160"/>
            <w:shd w:val="clear" w:color="auto" w:fill="F2F7FF"/>
          </w:tcPr>
          <w:p>
            <w:r>
              <w:rPr>
                <w:color w:val="595959"/>
                <w:sz w:val="20"/>
              </w:rPr>
              <w:t>Non-uniformity</w:t>
            </w:r>
          </w:p>
        </w:tc>
        <w:tc>
          <w:tcPr>
            <w:tcW w:type="dxa" w:w="4320"/>
            <w:shd w:val="clear" w:color="auto" w:fill="F2F7FF"/>
          </w:tcPr>
          <w:p>
            <w:r>
              <w:rPr>
                <w:color w:val="595959"/>
                <w:sz w:val="20"/>
              </w:rPr>
              <w:t>Compute entropy of attn_d2p rows; compare to max-entropy uniform baseline</w:t>
            </w:r>
          </w:p>
        </w:tc>
        <w:tc>
          <w:tcPr>
            <w:tcW w:type="dxa" w:w="3024"/>
            <w:shd w:val="clear" w:color="auto" w:fill="F2F7FF"/>
          </w:tcPr>
          <w:p>
            <w:r>
              <w:rPr>
                <w:color w:val="595959"/>
                <w:sz w:val="20"/>
              </w:rPr>
              <w:t>Mean entropy &lt; 0.8 × log(L)</w:t>
            </w:r>
          </w:p>
        </w:tc>
      </w:tr>
      <w:tr>
        <w:tc>
          <w:tcPr>
            <w:tcW w:type="dxa" w:w="2160"/>
            <w:shd w:val="clear" w:color="auto" w:fill="FFFFFF"/>
          </w:tcPr>
          <w:p>
            <w:r>
              <w:rPr>
                <w:color w:val="595959"/>
                <w:sz w:val="20"/>
              </w:rPr>
              <w:t>Input sensitivity</w:t>
            </w:r>
          </w:p>
        </w:tc>
        <w:tc>
          <w:tcPr>
            <w:tcW w:type="dxa" w:w="4320"/>
            <w:shd w:val="clear" w:color="auto" w:fill="FFFFFF"/>
          </w:tcPr>
          <w:p>
            <w:r>
              <w:rPr>
                <w:color w:val="595959"/>
                <w:sz w:val="20"/>
              </w:rPr>
              <w:t>Permute atom order; check that atom scores permute consistently</w:t>
            </w:r>
          </w:p>
        </w:tc>
        <w:tc>
          <w:tcPr>
            <w:tcW w:type="dxa" w:w="3024"/>
            <w:shd w:val="clear" w:color="auto" w:fill="FFFFFF"/>
          </w:tcPr>
          <w:p>
            <w:r>
              <w:rPr>
                <w:color w:val="595959"/>
                <w:sz w:val="20"/>
              </w:rPr>
              <w:t>Spearman ρ &gt; 0.8 before/after reordering</w:t>
            </w:r>
          </w:p>
        </w:tc>
      </w:tr>
      <w:tr>
        <w:tc>
          <w:tcPr>
            <w:tcW w:type="dxa" w:w="2160"/>
            <w:shd w:val="clear" w:color="auto" w:fill="F2F7FF"/>
          </w:tcPr>
          <w:p>
            <w:r>
              <w:rPr>
                <w:color w:val="595959"/>
                <w:sz w:val="20"/>
              </w:rPr>
              <w:t>Prediction coherence</w:t>
            </w:r>
          </w:p>
        </w:tc>
        <w:tc>
          <w:tcPr>
            <w:tcW w:type="dxa" w:w="4320"/>
            <w:shd w:val="clear" w:color="auto" w:fill="F2F7FF"/>
          </w:tcPr>
          <w:p>
            <w:r>
              <w:rPr>
                <w:color w:val="595959"/>
                <w:sz w:val="20"/>
              </w:rPr>
              <w:t>Rank pairs by prediction confidence; compare mean peak attribution</w:t>
            </w:r>
          </w:p>
        </w:tc>
        <w:tc>
          <w:tcPr>
            <w:tcW w:type="dxa" w:w="3024"/>
            <w:shd w:val="clear" w:color="auto" w:fill="F2F7FF"/>
          </w:tcPr>
          <w:p>
            <w:r>
              <w:rPr>
                <w:color w:val="595959"/>
                <w:sz w:val="20"/>
              </w:rPr>
              <w:t>Higher confidence → higher peak score</w:t>
            </w:r>
          </w:p>
        </w:tc>
      </w:tr>
      <w:tr>
        <w:tc>
          <w:tcPr>
            <w:tcW w:type="dxa" w:w="2160"/>
            <w:shd w:val="clear" w:color="auto" w:fill="FFFFFF"/>
          </w:tcPr>
          <w:p>
            <w:r>
              <w:rPr>
                <w:color w:val="595959"/>
                <w:sz w:val="20"/>
              </w:rPr>
              <w:t>Gradient consistency</w:t>
            </w:r>
          </w:p>
        </w:tc>
        <w:tc>
          <w:tcPr>
            <w:tcW w:type="dxa" w:w="4320"/>
            <w:shd w:val="clear" w:color="auto" w:fill="FFFFFF"/>
          </w:tcPr>
          <w:p>
            <w:r>
              <w:rPr>
                <w:color w:val="595959"/>
                <w:sz w:val="20"/>
              </w:rPr>
              <w:t>Compare attention attribution vs. simple gradient norm at input</w:t>
            </w:r>
          </w:p>
        </w:tc>
        <w:tc>
          <w:tcPr>
            <w:tcW w:type="dxa" w:w="3024"/>
            <w:shd w:val="clear" w:color="auto" w:fill="FFFFFF"/>
          </w:tcPr>
          <w:p>
            <w:r>
              <w:rPr>
                <w:color w:val="595959"/>
                <w:sz w:val="20"/>
              </w:rPr>
              <w:t>Pearson r &gt; 0.5 on held-out set</w:t>
            </w:r>
          </w:p>
        </w:tc>
      </w:tr>
    </w:tbl>
    <w:p/>
    <w:p>
      <w:r>
        <w:br w:type="page"/>
      </w:r>
    </w:p>
    <w:p>
      <w:pPr>
        <w:spacing w:before="360" w:after="80"/>
        <w:pBdr>
          <w:bottom w:val="single" w:sz="6" w:space="1" w:color="1F497D"/>
        </w:pBdr>
      </w:pPr>
      <w:r>
        <w:rPr>
          <w:b/>
          <w:color w:val="1F497D"/>
          <w:sz w:val="32"/>
        </w:rPr>
        <w:t>Phase 2 — Graph Grad-CAM Implementation</w:t>
      </w:r>
    </w:p>
    <w:p>
      <w:pPr>
        <w:spacing w:before="40" w:after="80"/>
      </w:pPr>
      <w:r>
        <w:rPr>
          <w:color w:val="595959"/>
          <w:sz w:val="22"/>
        </w:rPr>
        <w:t>Attention weights reflect the model's routing of information but are not directly tied to the prediction output. Gradient-weighted Class Activation Mapping (Grad-CAM) addresses this by computing the gradient of the prediction score w.r.t. the intermediate node embeddings, giving a saliency measure grounded in the loss landscape.</w:t>
      </w:r>
    </w:p>
    <w:p>
      <w:pPr>
        <w:spacing w:before="120" w:after="120"/>
        <w:ind w:left="567"/>
        <w:pBdr>
          <w:left w:val="single" w:sz="12" w:space="6" w:color="007078"/>
        </w:pBdr>
      </w:pPr>
      <w:r>
        <w:rPr>
          <w:i/>
          <w:color w:val="595959"/>
          <w:sz w:val="21"/>
        </w:rPr>
        <w:t>Reference: Grad-CAM for GNNs — GNNExplainer (Ying et al. 2019) and graph-Grad-CAM variants. Proposal §3.7 explicitly lists 'graph-based variant of Grad-CAM' as the visualization method.</w:t>
      </w:r>
    </w:p>
    <w:p>
      <w:pPr>
        <w:spacing w:before="240" w:after="40"/>
      </w:pPr>
      <w:r>
        <w:rPr>
          <w:b/>
          <w:color w:val="007078"/>
          <w:sz w:val="26"/>
        </w:rPr>
        <w:t>Step 2.1 — Drug Graph Grad-CAM</w:t>
      </w:r>
    </w:p>
    <w:p>
      <w:pPr>
        <w:spacing w:before="160" w:after="40"/>
      </w:pPr>
      <w:r>
        <w:rPr>
          <w:b/>
          <w:color w:val="1F497D"/>
          <w:sz w:val="22"/>
        </w:rPr>
        <w:t>Algorithm</w:t>
      </w:r>
    </w:p>
    <w:p>
      <w:pPr>
        <w:pStyle w:val="ListBullet"/>
        <w:spacing w:before="20" w:after="20"/>
        <w:ind w:left="454"/>
      </w:pPr>
      <w:r>
        <w:rPr>
          <w:b/>
          <w:color w:val="595959"/>
          <w:sz w:val="22"/>
        </w:rPr>
        <w:t xml:space="preserve">1.  </w:t>
      </w:r>
      <w:r>
        <w:rPr>
          <w:color w:val="595959"/>
          <w:sz w:val="22"/>
        </w:rPr>
        <w:t>Forward pass through DrugEncoder; capture node embeddings at each GAT layer (register forward hooks on all 3 GAT conv layers).</w:t>
      </w:r>
    </w:p>
    <w:p>
      <w:pPr>
        <w:pStyle w:val="ListBullet"/>
        <w:spacing w:before="20" w:after="20"/>
        <w:ind w:left="454"/>
      </w:pPr>
      <w:r>
        <w:rPr>
          <w:b/>
          <w:color w:val="595959"/>
          <w:sz w:val="22"/>
        </w:rPr>
        <w:t xml:space="preserve">2.  </w:t>
      </w:r>
      <w:r>
        <w:rPr>
          <w:color w:val="595959"/>
          <w:sz w:val="22"/>
        </w:rPr>
        <w:t>Compute prediction score (DTI logit or DTA affinity). Backpropagate to obtain gradients at each layer's node embeddings.</w:t>
      </w:r>
    </w:p>
    <w:p>
      <w:pPr>
        <w:pStyle w:val="ListBullet"/>
        <w:spacing w:before="20" w:after="20"/>
        <w:ind w:left="454"/>
      </w:pPr>
      <w:r>
        <w:rPr>
          <w:b/>
          <w:color w:val="595959"/>
          <w:sz w:val="22"/>
        </w:rPr>
        <w:t xml:space="preserve">3.  </w:t>
      </w:r>
      <w:r>
        <w:rPr>
          <w:color w:val="595959"/>
          <w:sz w:val="22"/>
        </w:rPr>
        <w:t>Grad-CAM score per node: cam[i] = ReLU( mean_over_channels(grad[i] * activation[i]) ). Use the last GAT layer embeddings.</w:t>
      </w:r>
    </w:p>
    <w:p>
      <w:pPr>
        <w:pStyle w:val="ListBullet"/>
        <w:spacing w:before="20" w:after="20"/>
        <w:ind w:left="454"/>
      </w:pPr>
      <w:r>
        <w:rPr>
          <w:b/>
          <w:color w:val="595959"/>
          <w:sz w:val="22"/>
        </w:rPr>
        <w:t xml:space="preserve">4.  </w:t>
      </w:r>
      <w:r>
        <w:rPr>
          <w:color w:val="595959"/>
          <w:sz w:val="22"/>
        </w:rPr>
        <w:t>Normalize to [0,1] across all atoms in the molecule.</w:t>
      </w:r>
    </w:p>
    <w:p>
      <w:pPr>
        <w:pStyle w:val="ListBullet"/>
        <w:spacing w:before="20" w:after="20"/>
        <w:ind w:left="454"/>
      </w:pPr>
      <w:r>
        <w:rPr>
          <w:b/>
          <w:color w:val="595959"/>
          <w:sz w:val="22"/>
        </w:rPr>
        <w:t xml:space="preserve">5.  </w:t>
      </w:r>
      <w:r>
        <w:rPr>
          <w:color w:val="595959"/>
          <w:sz w:val="22"/>
        </w:rPr>
        <w:t>Compare with attention-based atom importance: do the two methods agree on which atoms matter?</w:t>
      </w:r>
    </w:p>
    <w:p>
      <w:pPr>
        <w:spacing w:before="160" w:after="40"/>
      </w:pPr>
      <w:r>
        <w:rPr>
          <w:b/>
          <w:color w:val="1F497D"/>
          <w:sz w:val="22"/>
        </w:rPr>
        <w:t>Implementation</w:t>
      </w:r>
    </w:p>
    <w:p>
      <w:pPr>
        <w:spacing w:before="20" w:after="20"/>
        <w:ind w:left="454"/>
      </w:pPr>
      <w:r>
        <w:rPr>
          <w:b/>
          <w:color w:val="C55A11"/>
          <w:sz w:val="22"/>
        </w:rPr>
        <w:t xml:space="preserve">○  </w:t>
      </w:r>
      <w:r>
        <w:rPr>
          <w:color w:val="595959"/>
          <w:sz w:val="22"/>
        </w:rPr>
        <w:t>Create interpret/grad_cam.py — register hooks, compute gradients, return per-node scores</w:t>
      </w:r>
    </w:p>
    <w:p>
      <w:pPr>
        <w:spacing w:before="20" w:after="20"/>
        <w:ind w:left="454"/>
      </w:pPr>
      <w:r>
        <w:rPr>
          <w:b/>
          <w:color w:val="C55A11"/>
          <w:sz w:val="22"/>
        </w:rPr>
        <w:t xml:space="preserve">○  </w:t>
      </w:r>
      <w:r>
        <w:rPr>
          <w:color w:val="595959"/>
          <w:sz w:val="22"/>
        </w:rPr>
        <w:t>Requires model.eval() but with gradient tracking: use torch.enable_grad() in inference</w:t>
      </w:r>
    </w:p>
    <w:p>
      <w:pPr>
        <w:spacing w:before="20" w:after="20"/>
        <w:ind w:left="454"/>
      </w:pPr>
      <w:r>
        <w:rPr>
          <w:b/>
          <w:color w:val="C55A11"/>
          <w:sz w:val="22"/>
        </w:rPr>
        <w:t xml:space="preserve">○  </w:t>
      </w:r>
      <w:r>
        <w:rPr>
          <w:color w:val="595959"/>
          <w:sz w:val="22"/>
        </w:rPr>
        <w:t>Handle batched inference carefully — compute per-sample Grad-CAM, not batch-averaged</w:t>
      </w:r>
    </w:p>
    <w:p>
      <w:pPr>
        <w:spacing w:before="240" w:after="40"/>
      </w:pPr>
      <w:r>
        <w:rPr>
          <w:b/>
          <w:color w:val="007078"/>
          <w:sz w:val="26"/>
        </w:rPr>
        <w:t>Step 2.2 — Protein Residue Grad-CAM</w:t>
      </w:r>
    </w:p>
    <w:p>
      <w:pPr>
        <w:spacing w:before="40" w:after="80"/>
      </w:pPr>
      <w:r>
        <w:rPr>
          <w:color w:val="595959"/>
          <w:sz w:val="22"/>
        </w:rPr>
        <w:t>The ProteinEncoder outputs per-residue embeddings (after BiGRU) before attention pooling. Compute gradients of the prediction w.r.t. these per-residue hidden states to get residue saliency scores. This complements the cross-attention residue importance from Phase 1.</w:t>
      </w:r>
    </w:p>
    <w:p>
      <w:pPr>
        <w:spacing w:before="20" w:after="20"/>
        <w:ind w:left="454"/>
      </w:pPr>
      <w:r>
        <w:rPr>
          <w:b/>
          <w:color w:val="C55A11"/>
          <w:sz w:val="22"/>
        </w:rPr>
        <w:t xml:space="preserve">○  </w:t>
      </w:r>
      <w:r>
        <w:rPr>
          <w:color w:val="595959"/>
          <w:sz w:val="22"/>
        </w:rPr>
        <w:t>Hook the BiGRU hidden state output (before attention pooling) in ProteinEncoder</w:t>
      </w:r>
    </w:p>
    <w:p>
      <w:pPr>
        <w:spacing w:before="20" w:after="20"/>
        <w:ind w:left="454"/>
      </w:pPr>
      <w:r>
        <w:rPr>
          <w:b/>
          <w:color w:val="C55A11"/>
          <w:sz w:val="22"/>
        </w:rPr>
        <w:t xml:space="preserve">○  </w:t>
      </w:r>
      <w:r>
        <w:rPr>
          <w:color w:val="595959"/>
          <w:sz w:val="22"/>
        </w:rPr>
        <w:t>Compute gradient norm per residue position → residue_saliency[j] = ||grad_h[j]||_2</w:t>
      </w:r>
    </w:p>
    <w:p>
      <w:pPr>
        <w:spacing w:before="20" w:after="20"/>
        <w:ind w:left="454"/>
      </w:pPr>
      <w:r>
        <w:rPr>
          <w:b/>
          <w:color w:val="C55A11"/>
          <w:sz w:val="22"/>
        </w:rPr>
        <w:t xml:space="preserve">○  </w:t>
      </w:r>
      <w:r>
        <w:rPr>
          <w:color w:val="595959"/>
          <w:sz w:val="22"/>
        </w:rPr>
        <w:t>Normalize and compare against cross-attention residue_importance[j]</w:t>
      </w:r>
    </w:p>
    <w:p>
      <w:pPr>
        <w:spacing w:before="240" w:after="40"/>
      </w:pPr>
      <w:r>
        <w:rPr>
          <w:b/>
          <w:color w:val="007078"/>
          <w:sz w:val="26"/>
        </w:rPr>
        <w:t>Step 2.3 — Ensemble Attribution</w:t>
      </w:r>
    </w:p>
    <w:p>
      <w:pPr>
        <w:spacing w:before="40" w:after="80"/>
      </w:pPr>
      <w:r>
        <w:rPr>
          <w:color w:val="595959"/>
          <w:sz w:val="22"/>
        </w:rPr>
        <w:t>Combine the two attribution signals for each modality into an ensemble score: atom_ensemble = alpha * attn_importance + (1-alpha) * gradcam_score, where alpha=0.5 by default. Report both individual and ensemble scores in the paper.</w:t>
      </w:r>
    </w:p>
    <w:tbl>
      <w:tblPr>
        <w:tblStyle w:val="TableGrid"/>
        <w:tblW w:type="auto" w:w="0"/>
        <w:tblLook w:firstColumn="1" w:firstRow="1" w:lastColumn="0" w:lastRow="0" w:noHBand="0" w:noVBand="1" w:val="04A0"/>
      </w:tblPr>
      <w:tblGrid>
        <w:gridCol w:w="2280"/>
        <w:gridCol w:w="2280"/>
        <w:gridCol w:w="2280"/>
        <w:gridCol w:w="2280"/>
      </w:tblGrid>
      <w:tr>
        <w:tc>
          <w:tcPr>
            <w:tcW w:type="dxa" w:w="3168"/>
            <w:shd w:val="clear" w:color="auto" w:fill="1F497D"/>
          </w:tcPr>
          <w:p>
            <w:r>
              <w:rPr>
                <w:b/>
                <w:color w:val="FFFFFF"/>
                <w:sz w:val="20"/>
              </w:rPr>
              <w:t>Attribution Method</w:t>
            </w:r>
          </w:p>
        </w:tc>
        <w:tc>
          <w:tcPr>
            <w:tcW w:type="dxa" w:w="2304"/>
            <w:shd w:val="clear" w:color="auto" w:fill="1F497D"/>
          </w:tcPr>
          <w:p>
            <w:r>
              <w:rPr>
                <w:b/>
                <w:color w:val="FFFFFF"/>
                <w:sz w:val="20"/>
              </w:rPr>
              <w:t>Drug Atoms</w:t>
            </w:r>
          </w:p>
        </w:tc>
        <w:tc>
          <w:tcPr>
            <w:tcW w:type="dxa" w:w="2592"/>
            <w:shd w:val="clear" w:color="auto" w:fill="1F497D"/>
          </w:tcPr>
          <w:p>
            <w:r>
              <w:rPr>
                <w:b/>
                <w:color w:val="FFFFFF"/>
                <w:sz w:val="20"/>
              </w:rPr>
              <w:t>Protein Residues</w:t>
            </w:r>
          </w:p>
        </w:tc>
        <w:tc>
          <w:tcPr>
            <w:tcW w:type="dxa" w:w="2304"/>
            <w:shd w:val="clear" w:color="auto" w:fill="1F497D"/>
          </w:tcPr>
          <w:p>
            <w:r>
              <w:rPr>
                <w:b/>
                <w:color w:val="FFFFFF"/>
                <w:sz w:val="20"/>
              </w:rPr>
              <w:t>Grounded in Prediction?</w:t>
            </w:r>
          </w:p>
        </w:tc>
      </w:tr>
      <w:tr>
        <w:tc>
          <w:tcPr>
            <w:tcW w:type="dxa" w:w="3168"/>
            <w:shd w:val="clear" w:color="auto" w:fill="F2F7FF"/>
          </w:tcPr>
          <w:p>
            <w:r>
              <w:rPr>
                <w:color w:val="595959"/>
                <w:sz w:val="20"/>
              </w:rPr>
              <w:t>Cross-attention (Phase 1)</w:t>
            </w:r>
          </w:p>
        </w:tc>
        <w:tc>
          <w:tcPr>
            <w:tcW w:type="dxa" w:w="2304"/>
            <w:shd w:val="clear" w:color="auto" w:fill="F2F7FF"/>
          </w:tcPr>
          <w:p>
            <w:r>
              <w:rPr>
                <w:color w:val="595959"/>
                <w:sz w:val="20"/>
              </w:rPr>
              <w:t>Yes (attn_p2d column sum)</w:t>
            </w:r>
          </w:p>
        </w:tc>
        <w:tc>
          <w:tcPr>
            <w:tcW w:type="dxa" w:w="2592"/>
            <w:shd w:val="clear" w:color="auto" w:fill="F2F7FF"/>
          </w:tcPr>
          <w:p>
            <w:r>
              <w:rPr>
                <w:color w:val="595959"/>
                <w:sz w:val="20"/>
              </w:rPr>
              <w:t>Yes (attn_d2p row sum)</w:t>
            </w:r>
          </w:p>
        </w:tc>
        <w:tc>
          <w:tcPr>
            <w:tcW w:type="dxa" w:w="2304"/>
            <w:shd w:val="clear" w:color="auto" w:fill="F2F7FF"/>
          </w:tcPr>
          <w:p>
            <w:r>
              <w:rPr>
                <w:color w:val="595959"/>
                <w:sz w:val="20"/>
              </w:rPr>
              <w:t>Indirectly</w:t>
            </w:r>
          </w:p>
        </w:tc>
      </w:tr>
      <w:tr>
        <w:tc>
          <w:tcPr>
            <w:tcW w:type="dxa" w:w="3168"/>
            <w:shd w:val="clear" w:color="auto" w:fill="FFFFFF"/>
          </w:tcPr>
          <w:p>
            <w:r>
              <w:rPr>
                <w:color w:val="595959"/>
                <w:sz w:val="20"/>
              </w:rPr>
              <w:t>Grad-CAM (Phase 2)</w:t>
            </w:r>
          </w:p>
        </w:tc>
        <w:tc>
          <w:tcPr>
            <w:tcW w:type="dxa" w:w="2304"/>
            <w:shd w:val="clear" w:color="auto" w:fill="FFFFFF"/>
          </w:tcPr>
          <w:p>
            <w:r>
              <w:rPr>
                <w:color w:val="595959"/>
                <w:sz w:val="20"/>
              </w:rPr>
              <w:t>Yes (GAT layer grad)</w:t>
            </w:r>
          </w:p>
        </w:tc>
        <w:tc>
          <w:tcPr>
            <w:tcW w:type="dxa" w:w="2592"/>
            <w:shd w:val="clear" w:color="auto" w:fill="FFFFFF"/>
          </w:tcPr>
          <w:p>
            <w:r>
              <w:rPr>
                <w:color w:val="595959"/>
                <w:sz w:val="20"/>
              </w:rPr>
              <w:t>Yes (BiGRU hidden grad)</w:t>
            </w:r>
          </w:p>
        </w:tc>
        <w:tc>
          <w:tcPr>
            <w:tcW w:type="dxa" w:w="2304"/>
            <w:shd w:val="clear" w:color="auto" w:fill="FFFFFF"/>
          </w:tcPr>
          <w:p>
            <w:r>
              <w:rPr>
                <w:color w:val="595959"/>
                <w:sz w:val="20"/>
              </w:rPr>
              <w:t>Directly</w:t>
            </w:r>
          </w:p>
        </w:tc>
      </w:tr>
      <w:tr>
        <w:tc>
          <w:tcPr>
            <w:tcW w:type="dxa" w:w="3168"/>
            <w:shd w:val="clear" w:color="auto" w:fill="F2F7FF"/>
          </w:tcPr>
          <w:p>
            <w:r>
              <w:rPr>
                <w:color w:val="595959"/>
                <w:sz w:val="20"/>
              </w:rPr>
              <w:t>Ensemble (alpha=0.5)</w:t>
            </w:r>
          </w:p>
        </w:tc>
        <w:tc>
          <w:tcPr>
            <w:tcW w:type="dxa" w:w="2304"/>
            <w:shd w:val="clear" w:color="auto" w:fill="F2F7FF"/>
          </w:tcPr>
          <w:p>
            <w:r>
              <w:rPr>
                <w:color w:val="595959"/>
                <w:sz w:val="20"/>
              </w:rPr>
              <w:t>Yes</w:t>
            </w:r>
          </w:p>
        </w:tc>
        <w:tc>
          <w:tcPr>
            <w:tcW w:type="dxa" w:w="2592"/>
            <w:shd w:val="clear" w:color="auto" w:fill="F2F7FF"/>
          </w:tcPr>
          <w:p>
            <w:r>
              <w:rPr>
                <w:color w:val="595959"/>
                <w:sz w:val="20"/>
              </w:rPr>
              <w:t>Yes</w:t>
            </w:r>
          </w:p>
        </w:tc>
        <w:tc>
          <w:tcPr>
            <w:tcW w:type="dxa" w:w="2304"/>
            <w:shd w:val="clear" w:color="auto" w:fill="F2F7FF"/>
          </w:tcPr>
          <w:p>
            <w:r>
              <w:rPr>
                <w:color w:val="595959"/>
                <w:sz w:val="20"/>
              </w:rPr>
              <w:t>Combined</w:t>
            </w:r>
          </w:p>
        </w:tc>
      </w:tr>
    </w:tbl>
    <w:p/>
    <w:p>
      <w:r>
        <w:br w:type="page"/>
      </w:r>
    </w:p>
    <w:p>
      <w:pPr>
        <w:spacing w:before="360" w:after="80"/>
        <w:pBdr>
          <w:bottom w:val="single" w:sz="6" w:space="1" w:color="1F497D"/>
        </w:pBdr>
      </w:pPr>
      <w:r>
        <w:rPr>
          <w:b/>
          <w:color w:val="1F497D"/>
          <w:sz w:val="32"/>
        </w:rPr>
        <w:t>Phase 3 — Visualization Module</w:t>
      </w:r>
    </w:p>
    <w:p>
      <w:pPr>
        <w:spacing w:before="40" w:after="80"/>
      </w:pPr>
      <w:r>
        <w:rPr>
          <w:color w:val="595959"/>
          <w:sz w:val="22"/>
        </w:rPr>
        <w:t>Visualizations are the primary output of the interpretability framework — they make attribution scores communicable to chemists and biologists without domain ML knowledge. Three plot types are required: (1) molecular atom coloring, (2) protein sequence heatmap, and (3) cross-attention interaction matrix.</w:t>
      </w:r>
    </w:p>
    <w:p>
      <w:pPr>
        <w:spacing w:before="240" w:after="40"/>
      </w:pPr>
      <w:r>
        <w:rPr>
          <w:b/>
          <w:color w:val="007078"/>
          <w:sz w:val="26"/>
        </w:rPr>
        <w:t>Step 3.1 — Drug Molecule Highlight Plot</w:t>
      </w:r>
    </w:p>
    <w:p>
      <w:pPr>
        <w:spacing w:before="40" w:after="80"/>
      </w:pPr>
      <w:r>
        <w:rPr>
          <w:color w:val="595959"/>
          <w:sz w:val="22"/>
        </w:rPr>
        <w:t>Use RDKit's drawing utilities to produce a 2D molecular structure diagram where each atom is colored by its ensemble attribution score. High-importance atoms appear red/orange; low-importance atoms appear grey/white.</w:t>
      </w:r>
    </w:p>
    <w:p>
      <w:pPr>
        <w:spacing w:before="160" w:after="40"/>
      </w:pPr>
      <w:r>
        <w:rPr>
          <w:b/>
          <w:color w:val="1F497D"/>
          <w:sz w:val="22"/>
        </w:rPr>
        <w:t>Implementation</w:t>
      </w:r>
    </w:p>
    <w:p>
      <w:pPr>
        <w:spacing w:before="20" w:after="20"/>
        <w:ind w:left="454"/>
      </w:pPr>
      <w:r>
        <w:rPr>
          <w:b/>
          <w:color w:val="C55A11"/>
          <w:sz w:val="22"/>
        </w:rPr>
        <w:t xml:space="preserve">○  </w:t>
      </w:r>
      <w:r>
        <w:rPr>
          <w:color w:val="595959"/>
          <w:sz w:val="22"/>
        </w:rPr>
        <w:t>Script: interpret/visualize_drug.py</w:t>
      </w:r>
    </w:p>
    <w:p>
      <w:pPr>
        <w:spacing w:before="20" w:after="20"/>
        <w:ind w:left="454"/>
      </w:pPr>
      <w:r>
        <w:rPr>
          <w:b/>
          <w:color w:val="C55A11"/>
          <w:sz w:val="22"/>
        </w:rPr>
        <w:t xml:space="preserve">○  </w:t>
      </w:r>
      <w:r>
        <w:rPr>
          <w:color w:val="595959"/>
          <w:sz w:val="22"/>
        </w:rPr>
        <w:t>Use rdkit.Chem.Draw.rdMolDraw2D with atom highlight colors from a matplotlib colormap (e.g., RdYlGn_r)</w:t>
      </w:r>
    </w:p>
    <w:p>
      <w:pPr>
        <w:spacing w:before="20" w:after="20"/>
        <w:ind w:left="454"/>
      </w:pPr>
      <w:r>
        <w:rPr>
          <w:b/>
          <w:color w:val="C55A11"/>
          <w:sz w:val="22"/>
        </w:rPr>
        <w:t xml:space="preserve">○  </w:t>
      </w:r>
      <w:r>
        <w:rPr>
          <w:color w:val="595959"/>
          <w:sz w:val="22"/>
        </w:rPr>
        <w:t>Overlay atom importance scores as a continuous color scale; include colorbar in figure</w:t>
      </w:r>
    </w:p>
    <w:p>
      <w:pPr>
        <w:spacing w:before="20" w:after="20"/>
        <w:ind w:left="454"/>
      </w:pPr>
      <w:r>
        <w:rPr>
          <w:b/>
          <w:color w:val="C55A11"/>
          <w:sz w:val="22"/>
        </w:rPr>
        <w:t xml:space="preserve">○  </w:t>
      </w:r>
      <w:r>
        <w:rPr>
          <w:color w:val="595959"/>
          <w:sz w:val="22"/>
        </w:rPr>
        <w:t>Save as PNG (300 dpi) and SVG for paper inclusion</w:t>
      </w:r>
    </w:p>
    <w:p>
      <w:pPr>
        <w:spacing w:before="20" w:after="20"/>
        <w:ind w:left="454"/>
      </w:pPr>
      <w:r>
        <w:rPr>
          <w:b/>
          <w:color w:val="C55A11"/>
          <w:sz w:val="22"/>
        </w:rPr>
        <w:t xml:space="preserve">○  </w:t>
      </w:r>
      <w:r>
        <w:rPr>
          <w:color w:val="595959"/>
          <w:sz w:val="22"/>
        </w:rPr>
        <w:t>Also produce a table of top-5 atoms by importance: atom index, element, importance score, SMARTS substructure match</w:t>
      </w:r>
    </w:p>
    <w:p>
      <w:pPr>
        <w:spacing w:before="160" w:after="40"/>
      </w:pPr>
      <w:r>
        <w:rPr>
          <w:b/>
          <w:color w:val="1F497D"/>
          <w:sz w:val="22"/>
        </w:rPr>
        <w:t>Functional Group Annotation</w:t>
      </w:r>
    </w:p>
    <w:p>
      <w:pPr>
        <w:spacing w:before="40" w:after="80"/>
      </w:pPr>
      <w:r>
        <w:rPr>
          <w:color w:val="595959"/>
          <w:sz w:val="22"/>
        </w:rPr>
        <w:t>After ranking atoms by importance, map high-importance clusters to known pharmacophoric groups (hydrogen bond donors/acceptors, hydrophobic regions, aromatic rings, charged groups) using RDKit's GetSubstructMatches with SMARTS patterns. Report which pharmacophore types the model consistently attends to across multiple drug-target pairs.</w:t>
      </w:r>
    </w:p>
    <w:p>
      <w:pPr>
        <w:spacing w:before="240" w:after="40"/>
      </w:pPr>
      <w:r>
        <w:rPr>
          <w:b/>
          <w:color w:val="007078"/>
          <w:sz w:val="26"/>
        </w:rPr>
        <w:t>Step 3.2 — Protein Sequence Heatmap</w:t>
      </w:r>
    </w:p>
    <w:p>
      <w:pPr>
        <w:spacing w:before="40" w:after="80"/>
      </w:pPr>
      <w:r>
        <w:rPr>
          <w:color w:val="595959"/>
          <w:sz w:val="22"/>
        </w:rPr>
        <w:t>Visualize residue importance as a 1D heatmap aligned to the protein sequence. Annotate known functional regions (active site, binding pocket) if available from UniProt annotations.</w:t>
      </w:r>
    </w:p>
    <w:p>
      <w:pPr>
        <w:spacing w:before="160" w:after="40"/>
      </w:pPr>
      <w:r>
        <w:rPr>
          <w:b/>
          <w:color w:val="1F497D"/>
          <w:sz w:val="22"/>
        </w:rPr>
        <w:t>Implementation</w:t>
      </w:r>
    </w:p>
    <w:p>
      <w:pPr>
        <w:spacing w:before="20" w:after="20"/>
        <w:ind w:left="454"/>
      </w:pPr>
      <w:r>
        <w:rPr>
          <w:b/>
          <w:color w:val="C55A11"/>
          <w:sz w:val="22"/>
        </w:rPr>
        <w:t xml:space="preserve">○  </w:t>
      </w:r>
      <w:r>
        <w:rPr>
          <w:color w:val="595959"/>
          <w:sz w:val="22"/>
        </w:rPr>
        <w:t>Script: interpret/visualize_protein.py</w:t>
      </w:r>
    </w:p>
    <w:p>
      <w:pPr>
        <w:spacing w:before="20" w:after="20"/>
        <w:ind w:left="454"/>
      </w:pPr>
      <w:r>
        <w:rPr>
          <w:b/>
          <w:color w:val="C55A11"/>
          <w:sz w:val="22"/>
        </w:rPr>
        <w:t xml:space="preserve">○  </w:t>
      </w:r>
      <w:r>
        <w:rPr>
          <w:color w:val="595959"/>
          <w:sz w:val="22"/>
        </w:rPr>
        <w:t>Plot residue_importance as a bar chart or 1D heatmap using seaborn/matplotlib</w:t>
      </w:r>
    </w:p>
    <w:p>
      <w:pPr>
        <w:spacing w:before="20" w:after="20"/>
        <w:ind w:left="454"/>
      </w:pPr>
      <w:r>
        <w:rPr>
          <w:b/>
          <w:color w:val="C55A11"/>
          <w:sz w:val="22"/>
        </w:rPr>
        <w:t xml:space="preserve">○  </w:t>
      </w:r>
      <w:r>
        <w:rPr>
          <w:color w:val="595959"/>
          <w:sz w:val="22"/>
        </w:rPr>
        <w:t>Color scale: white (unimportant) → deep blue (highly important)</w:t>
      </w:r>
    </w:p>
    <w:p>
      <w:pPr>
        <w:spacing w:before="20" w:after="20"/>
        <w:ind w:left="454"/>
      </w:pPr>
      <w:r>
        <w:rPr>
          <w:b/>
          <w:color w:val="C55A11"/>
          <w:sz w:val="22"/>
        </w:rPr>
        <w:t xml:space="preserve">○  </w:t>
      </w:r>
      <w:r>
        <w:rPr>
          <w:color w:val="595959"/>
          <w:sz w:val="22"/>
        </w:rPr>
        <w:t>Annotate x-axis with secondary structure elements if available (helix/sheet/loop from PDB DSSP)</w:t>
      </w:r>
    </w:p>
    <w:p>
      <w:pPr>
        <w:spacing w:before="20" w:after="20"/>
        <w:ind w:left="454"/>
      </w:pPr>
      <w:r>
        <w:rPr>
          <w:b/>
          <w:color w:val="C55A11"/>
          <w:sz w:val="22"/>
        </w:rPr>
        <w:t xml:space="preserve">○  </w:t>
      </w:r>
      <w:r>
        <w:rPr>
          <w:color w:val="595959"/>
          <w:sz w:val="22"/>
        </w:rPr>
        <w:t>For luo_17 targets, cross-reference UniProt binding site annotations (BioMart / UniProt REST API)</w:t>
      </w:r>
    </w:p>
    <w:p>
      <w:pPr>
        <w:spacing w:before="240" w:after="40"/>
      </w:pPr>
      <w:r>
        <w:rPr>
          <w:b/>
          <w:color w:val="007078"/>
          <w:sz w:val="26"/>
        </w:rPr>
        <w:t>Step 3.3 — Drug-Protein Cross-Attention Matrix</w:t>
      </w:r>
    </w:p>
    <w:p>
      <w:pPr>
        <w:spacing w:before="40" w:after="80"/>
      </w:pPr>
      <w:r>
        <w:rPr>
          <w:color w:val="595959"/>
          <w:sz w:val="22"/>
        </w:rPr>
        <w:t>Visualize the full attn_d2p matrix (N_atoms × L_residues) as a 2D heatmap. This reveals which drug atoms interact with which protein regions, exposing the learned binding interface.</w:t>
      </w:r>
    </w:p>
    <w:p>
      <w:pPr>
        <w:spacing w:before="20" w:after="20"/>
        <w:ind w:left="454"/>
      </w:pPr>
      <w:r>
        <w:rPr>
          <w:b/>
          <w:color w:val="C55A11"/>
          <w:sz w:val="22"/>
        </w:rPr>
        <w:t xml:space="preserve">○  </w:t>
      </w:r>
      <w:r>
        <w:rPr>
          <w:color w:val="595959"/>
          <w:sz w:val="22"/>
        </w:rPr>
        <w:t>Script: interpret/visualize_cross_attention.py</w:t>
      </w:r>
    </w:p>
    <w:p>
      <w:pPr>
        <w:spacing w:before="20" w:after="20"/>
        <w:ind w:left="454"/>
      </w:pPr>
      <w:r>
        <w:rPr>
          <w:b/>
          <w:color w:val="C55A11"/>
          <w:sz w:val="22"/>
        </w:rPr>
        <w:t xml:space="preserve">○  </w:t>
      </w:r>
      <w:r>
        <w:rPr>
          <w:color w:val="595959"/>
          <w:sz w:val="22"/>
        </w:rPr>
        <w:t>Use seaborn.heatmap with atom SMILES labels on y-axis and residue indices on x-axis</w:t>
      </w:r>
    </w:p>
    <w:p>
      <w:pPr>
        <w:spacing w:before="20" w:after="20"/>
        <w:ind w:left="454"/>
      </w:pPr>
      <w:r>
        <w:rPr>
          <w:b/>
          <w:color w:val="C55A11"/>
          <w:sz w:val="22"/>
        </w:rPr>
        <w:t xml:space="preserve">○  </w:t>
      </w:r>
      <w:r>
        <w:rPr>
          <w:color w:val="595959"/>
          <w:sz w:val="22"/>
        </w:rPr>
        <w:t>Downsample long sequences (&gt;512 residues) by max-pooling over 5-residue windows</w:t>
      </w:r>
    </w:p>
    <w:p>
      <w:pPr>
        <w:spacing w:before="20" w:after="20"/>
        <w:ind w:left="454"/>
      </w:pPr>
      <w:r>
        <w:rPr>
          <w:b/>
          <w:color w:val="C55A11"/>
          <w:sz w:val="22"/>
        </w:rPr>
        <w:t xml:space="preserve">○  </w:t>
      </w:r>
      <w:r>
        <w:rPr>
          <w:color w:val="595959"/>
          <w:sz w:val="22"/>
        </w:rPr>
        <w:t>Highlight rows/columns that exceed 2× mean attention (putative binding contacts)</w:t>
      </w:r>
    </w:p>
    <w:p>
      <w:pPr>
        <w:spacing w:before="240" w:after="40"/>
      </w:pPr>
      <w:r>
        <w:rPr>
          <w:b/>
          <w:color w:val="007078"/>
          <w:sz w:val="26"/>
        </w:rPr>
        <w:t>Step 3.4 — Batch Visualization Pipeline</w:t>
      </w:r>
    </w:p>
    <w:p>
      <w:pPr>
        <w:spacing w:before="40" w:after="80"/>
      </w:pPr>
      <w:r>
        <w:rPr>
          <w:color w:val="595959"/>
          <w:sz w:val="22"/>
        </w:rPr>
        <w:t>For the paper, select 3–5 representative drug-target pairs per dataset and generate all three plot types for each. Automate via a master script that calls the three visualize_*.py scripts for each pair.</w:t>
      </w:r>
    </w:p>
    <w:p>
      <w:pPr>
        <w:spacing w:before="20" w:after="20"/>
        <w:ind w:left="454"/>
      </w:pPr>
      <w:r>
        <w:rPr>
          <w:b/>
          <w:color w:val="C55A11"/>
          <w:sz w:val="22"/>
        </w:rPr>
        <w:t xml:space="preserve">○  </w:t>
      </w:r>
      <w:r>
        <w:rPr>
          <w:color w:val="595959"/>
          <w:sz w:val="22"/>
        </w:rPr>
        <w:t>Script: interpret/run_visualization.py — loop over selected pairs, call all three scripts, output to paper/figures/interpretability/</w:t>
      </w:r>
    </w:p>
    <w:p>
      <w:pPr>
        <w:spacing w:before="20" w:after="20"/>
        <w:ind w:left="454"/>
      </w:pPr>
      <w:r>
        <w:rPr>
          <w:b/>
          <w:color w:val="C55A11"/>
          <w:sz w:val="22"/>
        </w:rPr>
        <w:t xml:space="preserve">○  </w:t>
      </w:r>
      <w:r>
        <w:rPr>
          <w:color w:val="595959"/>
          <w:sz w:val="22"/>
        </w:rPr>
        <w:t>Pair selection criteria: correct predictions with highest confidence, covering diverse chemical scaffolds</w:t>
      </w:r>
    </w:p>
    <w:p>
      <w:r>
        <w:br w:type="page"/>
      </w:r>
    </w:p>
    <w:p>
      <w:pPr>
        <w:spacing w:before="360" w:after="80"/>
        <w:pBdr>
          <w:bottom w:val="single" w:sz="6" w:space="1" w:color="1F497D"/>
        </w:pBdr>
      </w:pPr>
      <w:r>
        <w:rPr>
          <w:b/>
          <w:color w:val="1F497D"/>
          <w:sz w:val="32"/>
        </w:rPr>
        <w:t>Phase 4 — Quantitative Interpretability Metrics</w:t>
      </w:r>
    </w:p>
    <w:p>
      <w:pPr>
        <w:spacing w:before="40" w:after="80"/>
      </w:pPr>
      <w:r>
        <w:rPr>
          <w:color w:val="595959"/>
          <w:sz w:val="22"/>
        </w:rPr>
        <w:t>Qualitative visualizations must be supported by quantitative metrics that can be reported in a table. Three metric families are proposed: faithfulness (does masking important atoms hurt the prediction?), consistency (do the same atoms/residues get high scores across seeds?), and specificity (are the attributed features chemically/biologically meaningful?).</w:t>
      </w:r>
    </w:p>
    <w:p>
      <w:pPr>
        <w:spacing w:before="240" w:after="40"/>
      </w:pPr>
      <w:r>
        <w:rPr>
          <w:b/>
          <w:color w:val="007078"/>
          <w:sz w:val="26"/>
        </w:rPr>
        <w:t>Step 4.1 — Faithfulness: Atom Masking Experiment</w:t>
      </w:r>
    </w:p>
    <w:p>
      <w:pPr>
        <w:spacing w:before="40" w:after="80"/>
      </w:pPr>
      <w:r>
        <w:rPr>
          <w:color w:val="595959"/>
          <w:sz w:val="22"/>
        </w:rPr>
        <w:t>Mask the top-K% highest-importance atoms in the drug graph by zeroing their node features. Measure the drop in prediction confidence. If the attribution is faithful, masking important atoms should cause a larger drop than masking random atoms.</w:t>
      </w:r>
    </w:p>
    <w:p>
      <w:pPr>
        <w:spacing w:before="160" w:after="40"/>
      </w:pPr>
      <w:r>
        <w:rPr>
          <w:b/>
          <w:color w:val="1F497D"/>
          <w:sz w:val="22"/>
        </w:rPr>
        <w:t>Protocol</w:t>
      </w:r>
    </w:p>
    <w:tbl>
      <w:tblPr>
        <w:tblStyle w:val="TableGrid"/>
        <w:tblW w:type="auto" w:w="0"/>
        <w:tblLook w:firstColumn="1" w:firstRow="1" w:lastColumn="0" w:lastRow="0" w:noHBand="0" w:noVBand="1" w:val="04A0"/>
      </w:tblPr>
      <w:tblGrid>
        <w:gridCol w:w="4561"/>
        <w:gridCol w:w="4561"/>
      </w:tblGrid>
      <w:tr>
        <w:tc>
          <w:tcPr>
            <w:tcW w:type="dxa" w:w="3600"/>
            <w:shd w:val="clear" w:color="auto" w:fill="1F497D"/>
          </w:tcPr>
          <w:p>
            <w:r>
              <w:rPr>
                <w:b/>
                <w:color w:val="FFFFFF"/>
                <w:sz w:val="20"/>
              </w:rPr>
              <w:t>K%</w:t>
            </w:r>
          </w:p>
        </w:tc>
        <w:tc>
          <w:tcPr>
            <w:tcW w:type="dxa" w:w="6480"/>
            <w:shd w:val="clear" w:color="auto" w:fill="1F497D"/>
          </w:tcPr>
          <w:p>
            <w:r>
              <w:rPr>
                <w:b/>
                <w:color w:val="FFFFFF"/>
                <w:sz w:val="20"/>
              </w:rPr>
              <w:t>Expected Outcome (faithful model)</w:t>
            </w:r>
          </w:p>
        </w:tc>
      </w:tr>
      <w:tr>
        <w:tc>
          <w:tcPr>
            <w:tcW w:type="dxa" w:w="3600"/>
            <w:shd w:val="clear" w:color="auto" w:fill="F2F7FF"/>
          </w:tcPr>
          <w:p>
            <w:r>
              <w:rPr>
                <w:color w:val="595959"/>
                <w:sz w:val="20"/>
              </w:rPr>
              <w:t>Top 10% atoms masked</w:t>
            </w:r>
          </w:p>
        </w:tc>
        <w:tc>
          <w:tcPr>
            <w:tcW w:type="dxa" w:w="6480"/>
            <w:shd w:val="clear" w:color="auto" w:fill="F2F7FF"/>
          </w:tcPr>
          <w:p>
            <w:r>
              <w:rPr>
                <w:color w:val="595959"/>
                <w:sz w:val="20"/>
              </w:rPr>
              <w:t>Prediction confidence drops by &gt;20% on average</w:t>
            </w:r>
          </w:p>
        </w:tc>
      </w:tr>
      <w:tr>
        <w:tc>
          <w:tcPr>
            <w:tcW w:type="dxa" w:w="3600"/>
            <w:shd w:val="clear" w:color="auto" w:fill="FFFFFF"/>
          </w:tcPr>
          <w:p>
            <w:r>
              <w:rPr>
                <w:color w:val="595959"/>
                <w:sz w:val="20"/>
              </w:rPr>
              <w:t>Top 25% atoms masked</w:t>
            </w:r>
          </w:p>
        </w:tc>
        <w:tc>
          <w:tcPr>
            <w:tcW w:type="dxa" w:w="6480"/>
            <w:shd w:val="clear" w:color="auto" w:fill="FFFFFF"/>
          </w:tcPr>
          <w:p>
            <w:r>
              <w:rPr>
                <w:color w:val="595959"/>
                <w:sz w:val="20"/>
              </w:rPr>
              <w:t>Prediction confidence drops by &gt;40% on average</w:t>
            </w:r>
          </w:p>
        </w:tc>
      </w:tr>
      <w:tr>
        <w:tc>
          <w:tcPr>
            <w:tcW w:type="dxa" w:w="3600"/>
            <w:shd w:val="clear" w:color="auto" w:fill="F2F7FF"/>
          </w:tcPr>
          <w:p>
            <w:r>
              <w:rPr>
                <w:color w:val="595959"/>
                <w:sz w:val="20"/>
              </w:rPr>
              <w:t>Random 10% atoms masked (control)</w:t>
            </w:r>
          </w:p>
        </w:tc>
        <w:tc>
          <w:tcPr>
            <w:tcW w:type="dxa" w:w="6480"/>
            <w:shd w:val="clear" w:color="auto" w:fill="F2F7FF"/>
          </w:tcPr>
          <w:p>
            <w:r>
              <w:rPr>
                <w:color w:val="595959"/>
                <w:sz w:val="20"/>
              </w:rPr>
              <w:t>Smaller drop than Top 10%</w:t>
            </w:r>
          </w:p>
        </w:tc>
      </w:tr>
      <w:tr>
        <w:tc>
          <w:tcPr>
            <w:tcW w:type="dxa" w:w="3600"/>
            <w:shd w:val="clear" w:color="auto" w:fill="FFFFFF"/>
          </w:tcPr>
          <w:p>
            <w:r>
              <w:rPr>
                <w:color w:val="595959"/>
                <w:sz w:val="20"/>
              </w:rPr>
              <w:t>Random 25% atoms masked (control)</w:t>
            </w:r>
          </w:p>
        </w:tc>
        <w:tc>
          <w:tcPr>
            <w:tcW w:type="dxa" w:w="6480"/>
            <w:shd w:val="clear" w:color="auto" w:fill="FFFFFF"/>
          </w:tcPr>
          <w:p>
            <w:r>
              <w:rPr>
                <w:color w:val="595959"/>
                <w:sz w:val="20"/>
              </w:rPr>
              <w:t>Smaller drop than Top 25%</w:t>
            </w:r>
          </w:p>
        </w:tc>
      </w:tr>
    </w:tbl>
    <w:p/>
    <w:p>
      <w:pPr>
        <w:spacing w:before="120" w:after="120"/>
        <w:ind w:left="567"/>
        <w:pBdr>
          <w:left w:val="single" w:sz="12" w:space="6" w:color="007078"/>
        </w:pBdr>
      </w:pPr>
      <w:r>
        <w:rPr>
          <w:i/>
          <w:color w:val="595959"/>
          <w:sz w:val="21"/>
        </w:rPr>
        <w:t>Metric: Faithfulness Score = AUC of the confidence-drop vs. K% curve. Higher score = more faithful attribution. Report for both attention and Grad-CAM methods.</w:t>
      </w:r>
    </w:p>
    <w:p>
      <w:pPr>
        <w:spacing w:before="20" w:after="20"/>
        <w:ind w:left="454"/>
      </w:pPr>
      <w:r>
        <w:rPr>
          <w:b/>
          <w:color w:val="C55A11"/>
          <w:sz w:val="22"/>
        </w:rPr>
        <w:t xml:space="preserve">○  </w:t>
      </w:r>
      <w:r>
        <w:rPr>
          <w:color w:val="595959"/>
          <w:sz w:val="22"/>
        </w:rPr>
        <w:t>Script: interpret/faithfulness.py — systematic masking experiment over 100 drug-target pairs per dataset</w:t>
      </w:r>
    </w:p>
    <w:p>
      <w:pPr>
        <w:spacing w:before="20" w:after="20"/>
        <w:ind w:left="454"/>
      </w:pPr>
      <w:r>
        <w:rPr>
          <w:b/>
          <w:color w:val="C55A11"/>
          <w:sz w:val="22"/>
        </w:rPr>
        <w:t xml:space="preserve">○  </w:t>
      </w:r>
      <w:r>
        <w:rPr>
          <w:color w:val="595959"/>
          <w:sz w:val="22"/>
        </w:rPr>
        <w:t>Report mean ± std of faithfulness score for each attribution method (attention, Grad-CAM, ensemble)</w:t>
      </w:r>
    </w:p>
    <w:p>
      <w:pPr>
        <w:spacing w:before="240" w:after="40"/>
      </w:pPr>
      <w:r>
        <w:rPr>
          <w:b/>
          <w:color w:val="007078"/>
          <w:sz w:val="26"/>
        </w:rPr>
        <w:t>Step 4.2 — Consistency: Cross-Seed Agreement</w:t>
      </w:r>
    </w:p>
    <w:p>
      <w:pPr>
        <w:spacing w:before="40" w:after="80"/>
      </w:pPr>
      <w:r>
        <w:rPr>
          <w:color w:val="595959"/>
          <w:sz w:val="22"/>
        </w:rPr>
        <w:t>For each drug-target pair, run attribution extraction using checkpoints from all 5 seeds. Compute Spearman rank correlation between the atom importance vectors from different seeds. High consistency = the attribution is a stable model property, not a training-run artifact.</w:t>
      </w:r>
    </w:p>
    <w:p>
      <w:pPr>
        <w:spacing w:before="20" w:after="20"/>
        <w:ind w:left="454"/>
      </w:pPr>
      <w:r>
        <w:rPr>
          <w:b/>
          <w:color w:val="C55A11"/>
          <w:sz w:val="22"/>
        </w:rPr>
        <w:t xml:space="preserve">○  </w:t>
      </w:r>
      <w:r>
        <w:rPr>
          <w:color w:val="595959"/>
          <w:sz w:val="22"/>
        </w:rPr>
        <w:t>Run extract_attention.py for all 5 seeds on 20 representative pairs per split</w:t>
      </w:r>
    </w:p>
    <w:p>
      <w:pPr>
        <w:spacing w:before="20" w:after="20"/>
        <w:ind w:left="454"/>
      </w:pPr>
      <w:r>
        <w:rPr>
          <w:b/>
          <w:color w:val="C55A11"/>
          <w:sz w:val="22"/>
        </w:rPr>
        <w:t xml:space="preserve">○  </w:t>
      </w:r>
      <w:r>
        <w:rPr>
          <w:color w:val="595959"/>
          <w:sz w:val="22"/>
        </w:rPr>
        <w:t>Compute pairwise Spearman ρ between seed pairs → report mean ± std for each dataset/split</w:t>
      </w:r>
    </w:p>
    <w:p>
      <w:pPr>
        <w:spacing w:before="20" w:after="20"/>
        <w:ind w:left="454"/>
      </w:pPr>
      <w:r>
        <w:rPr>
          <w:b/>
          <w:color w:val="C55A11"/>
          <w:sz w:val="22"/>
        </w:rPr>
        <w:t xml:space="preserve">○  </w:t>
      </w:r>
      <w:r>
        <w:rPr>
          <w:color w:val="595959"/>
          <w:sz w:val="22"/>
        </w:rPr>
        <w:t>Flag pairs where consistency &lt; 0.5 as potentially unreliable</w:t>
      </w:r>
    </w:p>
    <w:p>
      <w:pPr>
        <w:spacing w:before="240" w:after="40"/>
      </w:pPr>
      <w:r>
        <w:rPr>
          <w:b/>
          <w:color w:val="007078"/>
          <w:sz w:val="26"/>
        </w:rPr>
        <w:t>Step 4.3 — Specificity: Pharmacophore Alignment Score</w:t>
      </w:r>
    </w:p>
    <w:p>
      <w:pPr>
        <w:spacing w:before="40" w:after="80"/>
      </w:pPr>
      <w:r>
        <w:rPr>
          <w:color w:val="595959"/>
          <w:sz w:val="22"/>
        </w:rPr>
        <w:t>Quantify whether high-importance atoms correspond to known pharmacophoric features. Use RDKit's pharmacophore detection (GetPharmacophoreDescriptors or SMARTS matching) to label each atom as pharmacophoric or not. Compute precision@K: of the top-K atoms by importance, what fraction are pharmacophoric?</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F497D"/>
          </w:tcPr>
          <w:p>
            <w:r>
              <w:rPr>
                <w:b/>
                <w:color w:val="FFFFFF"/>
                <w:sz w:val="20"/>
              </w:rPr>
              <w:t>Metric</w:t>
            </w:r>
          </w:p>
        </w:tc>
        <w:tc>
          <w:tcPr>
            <w:tcW w:type="dxa" w:w="4752"/>
            <w:shd w:val="clear" w:color="auto" w:fill="1F497D"/>
          </w:tcPr>
          <w:p>
            <w:r>
              <w:rPr>
                <w:b/>
                <w:color w:val="FFFFFF"/>
                <w:sz w:val="20"/>
              </w:rPr>
              <w:t>Description</w:t>
            </w:r>
          </w:p>
        </w:tc>
        <w:tc>
          <w:tcPr>
            <w:tcW w:type="dxa" w:w="2304"/>
            <w:shd w:val="clear" w:color="auto" w:fill="1F497D"/>
          </w:tcPr>
          <w:p>
            <w:r>
              <w:rPr>
                <w:b/>
                <w:color w:val="FFFFFF"/>
                <w:sz w:val="20"/>
              </w:rPr>
              <w:t>Target Value</w:t>
            </w:r>
          </w:p>
        </w:tc>
      </w:tr>
      <w:tr>
        <w:tc>
          <w:tcPr>
            <w:tcW w:type="dxa" w:w="3168"/>
            <w:shd w:val="clear" w:color="auto" w:fill="F2F7FF"/>
          </w:tcPr>
          <w:p>
            <w:r>
              <w:rPr>
                <w:color w:val="595959"/>
                <w:sz w:val="20"/>
              </w:rPr>
              <w:t>Pharmacophore Precision@5</w:t>
            </w:r>
          </w:p>
        </w:tc>
        <w:tc>
          <w:tcPr>
            <w:tcW w:type="dxa" w:w="4752"/>
            <w:shd w:val="clear" w:color="auto" w:fill="F2F7FF"/>
          </w:tcPr>
          <w:p>
            <w:r>
              <w:rPr>
                <w:color w:val="595959"/>
                <w:sz w:val="20"/>
              </w:rPr>
              <w:t>% of top-5 atoms matching known pharmacophores</w:t>
            </w:r>
          </w:p>
        </w:tc>
        <w:tc>
          <w:tcPr>
            <w:tcW w:type="dxa" w:w="2304"/>
            <w:shd w:val="clear" w:color="auto" w:fill="F2F7FF"/>
          </w:tcPr>
          <w:p>
            <w:r>
              <w:rPr>
                <w:color w:val="595959"/>
                <w:sz w:val="20"/>
              </w:rPr>
              <w:t>&gt; 60%</w:t>
            </w:r>
          </w:p>
        </w:tc>
      </w:tr>
      <w:tr>
        <w:tc>
          <w:tcPr>
            <w:tcW w:type="dxa" w:w="3168"/>
            <w:shd w:val="clear" w:color="auto" w:fill="FFFFFF"/>
          </w:tcPr>
          <w:p>
            <w:r>
              <w:rPr>
                <w:color w:val="595959"/>
                <w:sz w:val="20"/>
              </w:rPr>
              <w:t>Binding Pocket Recall</w:t>
            </w:r>
          </w:p>
        </w:tc>
        <w:tc>
          <w:tcPr>
            <w:tcW w:type="dxa" w:w="4752"/>
            <w:shd w:val="clear" w:color="auto" w:fill="FFFFFF"/>
          </w:tcPr>
          <w:p>
            <w:r>
              <w:rPr>
                <w:color w:val="595959"/>
                <w:sz w:val="20"/>
              </w:rPr>
              <w:t>% of known binding-pocket residues in top-25% residue scores</w:t>
            </w:r>
          </w:p>
        </w:tc>
        <w:tc>
          <w:tcPr>
            <w:tcW w:type="dxa" w:w="2304"/>
            <w:shd w:val="clear" w:color="auto" w:fill="FFFFFF"/>
          </w:tcPr>
          <w:p>
            <w:r>
              <w:rPr>
                <w:color w:val="595959"/>
                <w:sz w:val="20"/>
              </w:rPr>
              <w:t>&gt; 50%</w:t>
            </w:r>
          </w:p>
        </w:tc>
      </w:tr>
      <w:tr>
        <w:tc>
          <w:tcPr>
            <w:tcW w:type="dxa" w:w="3168"/>
            <w:shd w:val="clear" w:color="auto" w:fill="F2F7FF"/>
          </w:tcPr>
          <w:p>
            <w:r>
              <w:rPr>
                <w:color w:val="595959"/>
                <w:sz w:val="20"/>
              </w:rPr>
              <w:t>Consistency ρ (cross-seed)</w:t>
            </w:r>
          </w:p>
        </w:tc>
        <w:tc>
          <w:tcPr>
            <w:tcW w:type="dxa" w:w="4752"/>
            <w:shd w:val="clear" w:color="auto" w:fill="F2F7FF"/>
          </w:tcPr>
          <w:p>
            <w:r>
              <w:rPr>
                <w:color w:val="595959"/>
                <w:sz w:val="20"/>
              </w:rPr>
              <w:t>Mean Spearman ρ between seed pairs</w:t>
            </w:r>
          </w:p>
        </w:tc>
        <w:tc>
          <w:tcPr>
            <w:tcW w:type="dxa" w:w="2304"/>
            <w:shd w:val="clear" w:color="auto" w:fill="F2F7FF"/>
          </w:tcPr>
          <w:p>
            <w:r>
              <w:rPr>
                <w:color w:val="595959"/>
                <w:sz w:val="20"/>
              </w:rPr>
              <w:t>&gt; 0.7</w:t>
            </w:r>
          </w:p>
        </w:tc>
      </w:tr>
      <w:tr>
        <w:tc>
          <w:tcPr>
            <w:tcW w:type="dxa" w:w="3168"/>
            <w:shd w:val="clear" w:color="auto" w:fill="FFFFFF"/>
          </w:tcPr>
          <w:p>
            <w:r>
              <w:rPr>
                <w:color w:val="595959"/>
                <w:sz w:val="20"/>
              </w:rPr>
              <w:t>Faithfulness AUC</w:t>
            </w:r>
          </w:p>
        </w:tc>
        <w:tc>
          <w:tcPr>
            <w:tcW w:type="dxa" w:w="4752"/>
            <w:shd w:val="clear" w:color="auto" w:fill="FFFFFF"/>
          </w:tcPr>
          <w:p>
            <w:r>
              <w:rPr>
                <w:color w:val="595959"/>
                <w:sz w:val="20"/>
              </w:rPr>
              <w:t>AUC of confidence-drop vs. K% curve</w:t>
            </w:r>
          </w:p>
        </w:tc>
        <w:tc>
          <w:tcPr>
            <w:tcW w:type="dxa" w:w="2304"/>
            <w:shd w:val="clear" w:color="auto" w:fill="FFFFFF"/>
          </w:tcPr>
          <w:p>
            <w:r>
              <w:rPr>
                <w:color w:val="595959"/>
                <w:sz w:val="20"/>
              </w:rPr>
              <w:t>&gt; 0.6</w:t>
            </w:r>
          </w:p>
        </w:tc>
      </w:tr>
    </w:tbl>
    <w:p/>
    <w:p>
      <w:r>
        <w:br w:type="page"/>
      </w:r>
    </w:p>
    <w:p>
      <w:pPr>
        <w:spacing w:before="360" w:after="80"/>
        <w:pBdr>
          <w:bottom w:val="single" w:sz="6" w:space="1" w:color="1F497D"/>
        </w:pBdr>
      </w:pPr>
      <w:r>
        <w:rPr>
          <w:b/>
          <w:color w:val="1F497D"/>
          <w:sz w:val="32"/>
        </w:rPr>
        <w:t>Phase 5 — Case Study Validation</w:t>
      </w:r>
    </w:p>
    <w:p>
      <w:pPr>
        <w:spacing w:before="40" w:after="80"/>
      </w:pPr>
      <w:r>
        <w:rPr>
          <w:color w:val="595959"/>
          <w:sz w:val="22"/>
        </w:rPr>
        <w:t>The proposal §3.7.3 requires validating predicted binding hotspots against experimentally validated binding sites from crystal structures in the PDB. This phase selects well-characterised drug-target pairs, retrieves PDB structures, annotates binding sites, and computes overlap between model attribution and experimental binding residues.</w:t>
      </w:r>
    </w:p>
    <w:p>
      <w:pPr>
        <w:spacing w:before="240" w:after="40"/>
      </w:pPr>
      <w:r>
        <w:rPr>
          <w:b/>
          <w:color w:val="007078"/>
          <w:sz w:val="26"/>
        </w:rPr>
        <w:t>Step 5.1 — Case Study Pair Selection</w:t>
      </w:r>
    </w:p>
    <w:p>
      <w:pPr>
        <w:spacing w:before="160" w:after="40"/>
      </w:pPr>
      <w:r>
        <w:rPr>
          <w:b/>
          <w:color w:val="1F497D"/>
          <w:sz w:val="22"/>
        </w:rPr>
        <w:t>Selection Criteria</w:t>
      </w:r>
    </w:p>
    <w:p>
      <w:pPr>
        <w:pStyle w:val="ListBullet"/>
        <w:spacing w:before="20" w:after="20"/>
        <w:ind w:left="454"/>
      </w:pPr>
      <w:r>
        <w:rPr>
          <w:color w:val="595959"/>
          <w:sz w:val="22"/>
        </w:rPr>
        <w:t>The drug-target pair must be present in luo_17 or yamanishi_e (or davis for DTA).</w:t>
      </w:r>
    </w:p>
    <w:p>
      <w:pPr>
        <w:pStyle w:val="ListBullet"/>
        <w:spacing w:before="20" w:after="20"/>
        <w:ind w:left="454"/>
      </w:pPr>
      <w:r>
        <w:rPr>
          <w:color w:val="595959"/>
          <w:sz w:val="22"/>
        </w:rPr>
        <w:t>The model must predict the pair correctly (true positive) with high confidence (top 10% by predicted probability).</w:t>
      </w:r>
    </w:p>
    <w:p>
      <w:pPr>
        <w:pStyle w:val="ListBullet"/>
        <w:spacing w:before="20" w:after="20"/>
        <w:ind w:left="454"/>
      </w:pPr>
      <w:r>
        <w:rPr>
          <w:color w:val="595959"/>
          <w:sz w:val="22"/>
        </w:rPr>
        <w:t>A PDB crystal structure of the complex must exist (drug bound to target protein).</w:t>
      </w:r>
    </w:p>
    <w:p>
      <w:pPr>
        <w:pStyle w:val="ListBullet"/>
        <w:spacing w:before="20" w:after="20"/>
        <w:ind w:left="454"/>
      </w:pPr>
      <w:r>
        <w:rPr>
          <w:color w:val="595959"/>
          <w:sz w:val="22"/>
        </w:rPr>
        <w:t>The pair should cover diverse chemical scaffolds — aim for at least one kinase inhibitor, one GPCR ligand, and one enzyme inhibitor.</w:t>
      </w:r>
    </w:p>
    <w:p>
      <w:pPr>
        <w:spacing w:before="160" w:after="40"/>
      </w:pPr>
      <w:r>
        <w:rPr>
          <w:b/>
          <w:color w:val="1F497D"/>
          <w:sz w:val="22"/>
        </w:rPr>
        <w:t>Candidate Pairs from luo_17 (DrugBank dataset)</w:t>
      </w:r>
    </w:p>
    <w:p>
      <w:pPr>
        <w:spacing w:before="40" w:after="80"/>
      </w:pPr>
      <w:r>
        <w:rPr>
          <w:color w:val="595959"/>
          <w:sz w:val="22"/>
        </w:rPr>
        <w:t>luo_17 uses DrugBank IDs and UniProt targets. Query PDB for co-crystal structures using the PDB REST API (search by UniProt accession + small molecule ligand). Target 5–8 pairs total across both datasets.</w:t>
      </w:r>
    </w:p>
    <w:p>
      <w:pPr>
        <w:spacing w:before="20" w:after="20"/>
        <w:ind w:left="454"/>
      </w:pPr>
      <w:r>
        <w:rPr>
          <w:b/>
          <w:color w:val="C55A11"/>
          <w:sz w:val="22"/>
        </w:rPr>
        <w:t xml:space="preserve">○  </w:t>
      </w:r>
      <w:r>
        <w:rPr>
          <w:color w:val="595959"/>
          <w:sz w:val="22"/>
        </w:rPr>
        <w:t>Script: interpret/select_case_studies.py — query PDB REST API, filter by model confidence, output candidate list</w:t>
      </w:r>
    </w:p>
    <w:p>
      <w:pPr>
        <w:spacing w:before="20" w:after="20"/>
        <w:ind w:left="454"/>
      </w:pPr>
      <w:r>
        <w:rPr>
          <w:b/>
          <w:color w:val="C55A11"/>
          <w:sz w:val="22"/>
        </w:rPr>
        <w:t xml:space="preserve">○  </w:t>
      </w:r>
      <w:r>
        <w:rPr>
          <w:color w:val="595959"/>
          <w:sz w:val="22"/>
        </w:rPr>
        <w:t>Manual review: confirm ligand in crystal matches the drug SMILES in dataset</w:t>
      </w:r>
    </w:p>
    <w:tbl>
      <w:tblPr>
        <w:tblStyle w:val="TableGrid"/>
        <w:tblW w:type="auto" w:w="0"/>
        <w:tblLook w:firstColumn="1" w:firstRow="1" w:lastColumn="0" w:lastRow="0" w:noHBand="0" w:noVBand="1" w:val="04A0"/>
      </w:tblPr>
      <w:tblGrid>
        <w:gridCol w:w="3041"/>
        <w:gridCol w:w="3041"/>
        <w:gridCol w:w="3041"/>
      </w:tblGrid>
      <w:tr>
        <w:tc>
          <w:tcPr>
            <w:tcW w:type="dxa" w:w="2016"/>
            <w:shd w:val="clear" w:color="auto" w:fill="1F497D"/>
          </w:tcPr>
          <w:p>
            <w:r>
              <w:rPr>
                <w:b/>
                <w:color w:val="FFFFFF"/>
                <w:sz w:val="20"/>
              </w:rPr>
              <w:t>Dataset</w:t>
            </w:r>
          </w:p>
        </w:tc>
        <w:tc>
          <w:tcPr>
            <w:tcW w:type="dxa" w:w="2880"/>
            <w:shd w:val="clear" w:color="auto" w:fill="1F497D"/>
          </w:tcPr>
          <w:p>
            <w:r>
              <w:rPr>
                <w:b/>
                <w:color w:val="FFFFFF"/>
                <w:sz w:val="20"/>
              </w:rPr>
              <w:t>Target Type</w:t>
            </w:r>
          </w:p>
        </w:tc>
        <w:tc>
          <w:tcPr>
            <w:tcW w:type="dxa" w:w="5184"/>
            <w:shd w:val="clear" w:color="auto" w:fill="1F497D"/>
          </w:tcPr>
          <w:p>
            <w:r>
              <w:rPr>
                <w:b/>
                <w:color w:val="FFFFFF"/>
                <w:sz w:val="20"/>
              </w:rPr>
              <w:t>Example Pairs (illustrative)</w:t>
            </w:r>
          </w:p>
        </w:tc>
      </w:tr>
      <w:tr>
        <w:tc>
          <w:tcPr>
            <w:tcW w:type="dxa" w:w="2016"/>
            <w:shd w:val="clear" w:color="auto" w:fill="F2F7FF"/>
          </w:tcPr>
          <w:p>
            <w:r>
              <w:rPr>
                <w:color w:val="595959"/>
                <w:sz w:val="20"/>
              </w:rPr>
              <w:t>luo_17</w:t>
            </w:r>
          </w:p>
        </w:tc>
        <w:tc>
          <w:tcPr>
            <w:tcW w:type="dxa" w:w="2880"/>
            <w:shd w:val="clear" w:color="auto" w:fill="F2F7FF"/>
          </w:tcPr>
          <w:p>
            <w:r>
              <w:rPr>
                <w:color w:val="595959"/>
                <w:sz w:val="20"/>
              </w:rPr>
              <w:t>Kinase (DrugBank)</w:t>
            </w:r>
          </w:p>
        </w:tc>
        <w:tc>
          <w:tcPr>
            <w:tcW w:type="dxa" w:w="5184"/>
            <w:shd w:val="clear" w:color="auto" w:fill="F2F7FF"/>
          </w:tcPr>
          <w:p>
            <w:r>
              <w:rPr>
                <w:color w:val="595959"/>
                <w:sz w:val="20"/>
              </w:rPr>
              <w:t>Imatinib/ABL1, Erlotinib/EGFR — confirmed co-crystals in PDB</w:t>
            </w:r>
          </w:p>
        </w:tc>
      </w:tr>
      <w:tr>
        <w:tc>
          <w:tcPr>
            <w:tcW w:type="dxa" w:w="2016"/>
            <w:shd w:val="clear" w:color="auto" w:fill="FFFFFF"/>
          </w:tcPr>
          <w:p>
            <w:r>
              <w:rPr>
                <w:color w:val="595959"/>
                <w:sz w:val="20"/>
              </w:rPr>
              <w:t>luo_17</w:t>
            </w:r>
          </w:p>
        </w:tc>
        <w:tc>
          <w:tcPr>
            <w:tcW w:type="dxa" w:w="2880"/>
            <w:shd w:val="clear" w:color="auto" w:fill="FFFFFF"/>
          </w:tcPr>
          <w:p>
            <w:r>
              <w:rPr>
                <w:color w:val="595959"/>
                <w:sz w:val="20"/>
              </w:rPr>
              <w:t>GPCR (DrugBank)</w:t>
            </w:r>
          </w:p>
        </w:tc>
        <w:tc>
          <w:tcPr>
            <w:tcW w:type="dxa" w:w="5184"/>
            <w:shd w:val="clear" w:color="auto" w:fill="FFFFFF"/>
          </w:tcPr>
          <w:p>
            <w:r>
              <w:rPr>
                <w:color w:val="595959"/>
                <w:sz w:val="20"/>
              </w:rPr>
              <w:t>Risperidone/DRD2 or similar — check PDB 6CM4 etc.</w:t>
            </w:r>
          </w:p>
        </w:tc>
      </w:tr>
      <w:tr>
        <w:tc>
          <w:tcPr>
            <w:tcW w:type="dxa" w:w="2016"/>
            <w:shd w:val="clear" w:color="auto" w:fill="F2F7FF"/>
          </w:tcPr>
          <w:p>
            <w:r>
              <w:rPr>
                <w:color w:val="595959"/>
                <w:sz w:val="20"/>
              </w:rPr>
              <w:t>yamanishi_e</w:t>
            </w:r>
          </w:p>
        </w:tc>
        <w:tc>
          <w:tcPr>
            <w:tcW w:type="dxa" w:w="2880"/>
            <w:shd w:val="clear" w:color="auto" w:fill="F2F7FF"/>
          </w:tcPr>
          <w:p>
            <w:r>
              <w:rPr>
                <w:color w:val="595959"/>
                <w:sz w:val="20"/>
              </w:rPr>
              <w:t>Enzyme (Enzymes subset)</w:t>
            </w:r>
          </w:p>
        </w:tc>
        <w:tc>
          <w:tcPr>
            <w:tcW w:type="dxa" w:w="5184"/>
            <w:shd w:val="clear" w:color="auto" w:fill="F2F7FF"/>
          </w:tcPr>
          <w:p>
            <w:r>
              <w:rPr>
                <w:color w:val="595959"/>
                <w:sz w:val="20"/>
              </w:rPr>
              <w:t>Acetaminophen/COX-1 analog — verify SMILES match</w:t>
            </w:r>
          </w:p>
        </w:tc>
      </w:tr>
      <w:tr>
        <w:tc>
          <w:tcPr>
            <w:tcW w:type="dxa" w:w="2016"/>
            <w:shd w:val="clear" w:color="auto" w:fill="FFFFFF"/>
          </w:tcPr>
          <w:p>
            <w:r>
              <w:rPr>
                <w:color w:val="595959"/>
                <w:sz w:val="20"/>
              </w:rPr>
              <w:t>davis</w:t>
            </w:r>
          </w:p>
        </w:tc>
        <w:tc>
          <w:tcPr>
            <w:tcW w:type="dxa" w:w="2880"/>
            <w:shd w:val="clear" w:color="auto" w:fill="FFFFFF"/>
          </w:tcPr>
          <w:p>
            <w:r>
              <w:rPr>
                <w:color w:val="595959"/>
                <w:sz w:val="20"/>
              </w:rPr>
              <w:t>Kinase (DTA)</w:t>
            </w:r>
          </w:p>
        </w:tc>
        <w:tc>
          <w:tcPr>
            <w:tcW w:type="dxa" w:w="5184"/>
            <w:shd w:val="clear" w:color="auto" w:fill="FFFFFF"/>
          </w:tcPr>
          <w:p>
            <w:r>
              <w:rPr>
                <w:color w:val="595959"/>
                <w:sz w:val="20"/>
              </w:rPr>
              <w:t>Staurosporine/PKCα — broad-spectrum binding for affinity case</w:t>
            </w:r>
          </w:p>
        </w:tc>
      </w:tr>
    </w:tbl>
    <w:p/>
    <w:p>
      <w:pPr>
        <w:spacing w:before="240" w:after="40"/>
      </w:pPr>
      <w:r>
        <w:rPr>
          <w:b/>
          <w:color w:val="007078"/>
          <w:sz w:val="26"/>
        </w:rPr>
        <w:t>Step 5.2 — PDB Binding Site Annotation</w:t>
      </w:r>
    </w:p>
    <w:p>
      <w:pPr>
        <w:spacing w:before="40" w:after="80"/>
      </w:pPr>
      <w:r>
        <w:rPr>
          <w:color w:val="595959"/>
          <w:sz w:val="22"/>
        </w:rPr>
        <w:t>For each selected pair, extract the binding site residues from the PDB structure: residues within 4 Å of any ligand heavy atom. This gives the ground-truth set of binding residues.</w:t>
      </w:r>
    </w:p>
    <w:p>
      <w:pPr>
        <w:spacing w:before="20" w:after="20"/>
        <w:ind w:left="454"/>
      </w:pPr>
      <w:r>
        <w:rPr>
          <w:b/>
          <w:color w:val="C55A11"/>
          <w:sz w:val="22"/>
        </w:rPr>
        <w:t xml:space="preserve">○  </w:t>
      </w:r>
      <w:r>
        <w:rPr>
          <w:color w:val="595959"/>
          <w:sz w:val="22"/>
        </w:rPr>
        <w:t>Use Biopython (Bio.PDB) to parse PDB structure and extract residues within 4 Å of ligand</w:t>
      </w:r>
    </w:p>
    <w:p>
      <w:pPr>
        <w:spacing w:before="20" w:after="20"/>
        <w:ind w:left="454"/>
      </w:pPr>
      <w:r>
        <w:rPr>
          <w:b/>
          <w:color w:val="C55A11"/>
          <w:sz w:val="22"/>
        </w:rPr>
        <w:t xml:space="preserve">○  </w:t>
      </w:r>
      <w:r>
        <w:rPr>
          <w:color w:val="595959"/>
          <w:sz w:val="22"/>
        </w:rPr>
        <w:t>Map PDB residue indices to protein sequence indices (handle insertions/deletions via sequence alignment)</w:t>
      </w:r>
    </w:p>
    <w:p>
      <w:pPr>
        <w:spacing w:before="20" w:after="20"/>
        <w:ind w:left="454"/>
      </w:pPr>
      <w:r>
        <w:rPr>
          <w:b/>
          <w:color w:val="C55A11"/>
          <w:sz w:val="22"/>
        </w:rPr>
        <w:t xml:space="preserve">○  </w:t>
      </w:r>
      <w:r>
        <w:rPr>
          <w:color w:val="595959"/>
          <w:sz w:val="22"/>
        </w:rPr>
        <w:t>Store as: binding_residues = {uniprot_id: set(residue_indices)} for each case study target</w:t>
      </w:r>
    </w:p>
    <w:p>
      <w:pPr>
        <w:spacing w:before="240" w:after="40"/>
      </w:pPr>
      <w:r>
        <w:rPr>
          <w:b/>
          <w:color w:val="007078"/>
          <w:sz w:val="26"/>
        </w:rPr>
        <w:t>Step 5.3 — Quantitative Overlap Evaluation</w:t>
      </w:r>
    </w:p>
    <w:p>
      <w:pPr>
        <w:spacing w:before="40" w:after="80"/>
      </w:pPr>
      <w:r>
        <w:rPr>
          <w:color w:val="595959"/>
          <w:sz w:val="22"/>
        </w:rPr>
        <w:t>Compare the model's top-K% residues by importance score against the PDB binding residues. Compute precision, recall, and F1 at multiple K thresholds.</w:t>
      </w:r>
    </w:p>
    <w:tbl>
      <w:tblPr>
        <w:tblStyle w:val="TableGrid"/>
        <w:tblW w:type="auto" w:w="0"/>
        <w:tblLook w:firstColumn="1" w:firstRow="1" w:lastColumn="0" w:lastRow="0" w:noHBand="0" w:noVBand="1" w:val="04A0"/>
      </w:tblPr>
      <w:tblGrid>
        <w:gridCol w:w="3041"/>
        <w:gridCol w:w="3041"/>
        <w:gridCol w:w="3041"/>
      </w:tblGrid>
      <w:tr>
        <w:tc>
          <w:tcPr>
            <w:tcW w:type="dxa" w:w="2304"/>
            <w:shd w:val="clear" w:color="auto" w:fill="1F497D"/>
          </w:tcPr>
          <w:p>
            <w:r>
              <w:rPr>
                <w:b/>
                <w:color w:val="FFFFFF"/>
                <w:sz w:val="20"/>
              </w:rPr>
              <w:t>Metric</w:t>
            </w:r>
          </w:p>
        </w:tc>
        <w:tc>
          <w:tcPr>
            <w:tcW w:type="dxa" w:w="4032"/>
            <w:shd w:val="clear" w:color="auto" w:fill="1F497D"/>
          </w:tcPr>
          <w:p>
            <w:r>
              <w:rPr>
                <w:b/>
                <w:color w:val="FFFFFF"/>
                <w:sz w:val="20"/>
              </w:rPr>
              <w:t>Formula</w:t>
            </w:r>
          </w:p>
        </w:tc>
        <w:tc>
          <w:tcPr>
            <w:tcW w:type="dxa" w:w="3888"/>
            <w:shd w:val="clear" w:color="auto" w:fill="1F497D"/>
          </w:tcPr>
          <w:p>
            <w:r>
              <w:rPr>
                <w:b/>
                <w:color w:val="FFFFFF"/>
                <w:sz w:val="20"/>
              </w:rPr>
              <w:t>Interpretation</w:t>
            </w:r>
          </w:p>
        </w:tc>
      </w:tr>
      <w:tr>
        <w:tc>
          <w:tcPr>
            <w:tcW w:type="dxa" w:w="2304"/>
            <w:shd w:val="clear" w:color="auto" w:fill="F2F7FF"/>
          </w:tcPr>
          <w:p>
            <w:r>
              <w:rPr>
                <w:color w:val="595959"/>
                <w:sz w:val="20"/>
              </w:rPr>
              <w:t>Precision@K%</w:t>
            </w:r>
          </w:p>
        </w:tc>
        <w:tc>
          <w:tcPr>
            <w:tcW w:type="dxa" w:w="4032"/>
            <w:shd w:val="clear" w:color="auto" w:fill="F2F7FF"/>
          </w:tcPr>
          <w:p>
            <w:r>
              <w:rPr>
                <w:color w:val="595959"/>
                <w:sz w:val="20"/>
              </w:rPr>
              <w:t>TP / (TP + FP) where TP = top-K% ∩ binding residues</w:t>
            </w:r>
          </w:p>
        </w:tc>
        <w:tc>
          <w:tcPr>
            <w:tcW w:type="dxa" w:w="3888"/>
            <w:shd w:val="clear" w:color="auto" w:fill="F2F7FF"/>
          </w:tcPr>
          <w:p>
            <w:r>
              <w:rPr>
                <w:color w:val="595959"/>
                <w:sz w:val="20"/>
              </w:rPr>
              <w:t>Are high-importance residues in the binding site?</w:t>
            </w:r>
          </w:p>
        </w:tc>
      </w:tr>
      <w:tr>
        <w:tc>
          <w:tcPr>
            <w:tcW w:type="dxa" w:w="2304"/>
            <w:shd w:val="clear" w:color="auto" w:fill="FFFFFF"/>
          </w:tcPr>
          <w:p>
            <w:r>
              <w:rPr>
                <w:color w:val="595959"/>
                <w:sz w:val="20"/>
              </w:rPr>
              <w:t>Recall@K%</w:t>
            </w:r>
          </w:p>
        </w:tc>
        <w:tc>
          <w:tcPr>
            <w:tcW w:type="dxa" w:w="4032"/>
            <w:shd w:val="clear" w:color="auto" w:fill="FFFFFF"/>
          </w:tcPr>
          <w:p>
            <w:r>
              <w:rPr>
                <w:color w:val="595959"/>
                <w:sz w:val="20"/>
              </w:rPr>
              <w:t>TP / |binding residues|</w:t>
            </w:r>
          </w:p>
        </w:tc>
        <w:tc>
          <w:tcPr>
            <w:tcW w:type="dxa" w:w="3888"/>
            <w:shd w:val="clear" w:color="auto" w:fill="FFFFFF"/>
          </w:tcPr>
          <w:p>
            <w:r>
              <w:rPr>
                <w:color w:val="595959"/>
                <w:sz w:val="20"/>
              </w:rPr>
              <w:t>What fraction of binding residues are captured?</w:t>
            </w:r>
          </w:p>
        </w:tc>
      </w:tr>
      <w:tr>
        <w:tc>
          <w:tcPr>
            <w:tcW w:type="dxa" w:w="2304"/>
            <w:shd w:val="clear" w:color="auto" w:fill="F2F7FF"/>
          </w:tcPr>
          <w:p>
            <w:r>
              <w:rPr>
                <w:color w:val="595959"/>
                <w:sz w:val="20"/>
              </w:rPr>
              <w:t>F1@K%</w:t>
            </w:r>
          </w:p>
        </w:tc>
        <w:tc>
          <w:tcPr>
            <w:tcW w:type="dxa" w:w="4032"/>
            <w:shd w:val="clear" w:color="auto" w:fill="F2F7FF"/>
          </w:tcPr>
          <w:p>
            <w:r>
              <w:rPr>
                <w:color w:val="595959"/>
                <w:sz w:val="20"/>
              </w:rPr>
              <w:t>2 × P × R / (P + R)</w:t>
            </w:r>
          </w:p>
        </w:tc>
        <w:tc>
          <w:tcPr>
            <w:tcW w:type="dxa" w:w="3888"/>
            <w:shd w:val="clear" w:color="auto" w:fill="F2F7FF"/>
          </w:tcPr>
          <w:p>
            <w:r>
              <w:rPr>
                <w:color w:val="595959"/>
                <w:sz w:val="20"/>
              </w:rPr>
              <w:t>Balance between precision and recall</w:t>
            </w:r>
          </w:p>
        </w:tc>
      </w:tr>
      <w:tr>
        <w:tc>
          <w:tcPr>
            <w:tcW w:type="dxa" w:w="2304"/>
            <w:shd w:val="clear" w:color="auto" w:fill="FFFFFF"/>
          </w:tcPr>
          <w:p>
            <w:r>
              <w:rPr>
                <w:color w:val="595959"/>
                <w:sz w:val="20"/>
              </w:rPr>
              <w:t>AUROC (residue)</w:t>
            </w:r>
          </w:p>
        </w:tc>
        <w:tc>
          <w:tcPr>
            <w:tcW w:type="dxa" w:w="4032"/>
            <w:shd w:val="clear" w:color="auto" w:fill="FFFFFF"/>
          </w:tcPr>
          <w:p>
            <w:r>
              <w:rPr>
                <w:color w:val="595959"/>
                <w:sz w:val="20"/>
              </w:rPr>
              <w:t>ROC curve treating binding residue as positive class</w:t>
            </w:r>
          </w:p>
        </w:tc>
        <w:tc>
          <w:tcPr>
            <w:tcW w:type="dxa" w:w="3888"/>
            <w:shd w:val="clear" w:color="auto" w:fill="FFFFFF"/>
          </w:tcPr>
          <w:p>
            <w:r>
              <w:rPr>
                <w:color w:val="595959"/>
                <w:sz w:val="20"/>
              </w:rPr>
              <w:t>Overall discriminative power of attribution</w:t>
            </w:r>
          </w:p>
        </w:tc>
      </w:tr>
    </w:tbl>
    <w:p/>
    <w:p>
      <w:pPr>
        <w:spacing w:before="120" w:after="120"/>
        <w:ind w:left="567"/>
        <w:pBdr>
          <w:left w:val="single" w:sz="12" w:space="6" w:color="007078"/>
        </w:pBdr>
      </w:pPr>
      <w:r>
        <w:rPr>
          <w:i/>
          <w:color w:val="595959"/>
          <w:sz w:val="21"/>
        </w:rPr>
        <w:t>Report results at K=10%, K=25%, K=50% and the full AUROC. Target: mean Precision@25% &gt; 0.5 and Recall@50% &gt; 0.6 across case studies.</w:t>
      </w:r>
    </w:p>
    <w:p>
      <w:pPr>
        <w:spacing w:before="20" w:after="20"/>
        <w:ind w:left="454"/>
      </w:pPr>
      <w:r>
        <w:rPr>
          <w:b/>
          <w:color w:val="C55A11"/>
          <w:sz w:val="22"/>
        </w:rPr>
        <w:t xml:space="preserve">○  </w:t>
      </w:r>
      <w:r>
        <w:rPr>
          <w:color w:val="595959"/>
          <w:sz w:val="22"/>
        </w:rPr>
        <w:t>Script: interpret/evaluate_case_studies.py — compute all metrics for each pair, save to paper/case_study_results.csv</w:t>
      </w:r>
    </w:p>
    <w:p>
      <w:pPr>
        <w:spacing w:before="20" w:after="20"/>
        <w:ind w:left="454"/>
      </w:pPr>
      <w:r>
        <w:rPr>
          <w:b/>
          <w:color w:val="C55A11"/>
          <w:sz w:val="22"/>
        </w:rPr>
        <w:t xml:space="preserve">○  </w:t>
      </w:r>
      <w:r>
        <w:rPr>
          <w:color w:val="595959"/>
          <w:sz w:val="22"/>
        </w:rPr>
        <w:t>Statistical test: is the model attribution significantly better than random at each K threshold (paired t-test vs. uniform baseline)?</w:t>
      </w:r>
    </w:p>
    <w:p>
      <w:pPr>
        <w:spacing w:before="240" w:after="40"/>
      </w:pPr>
      <w:r>
        <w:rPr>
          <w:b/>
          <w:color w:val="007078"/>
          <w:sz w:val="26"/>
        </w:rPr>
        <w:t>Step 5.4 — Qualitative Write-up</w:t>
      </w:r>
    </w:p>
    <w:p>
      <w:pPr>
        <w:spacing w:before="40" w:after="80"/>
      </w:pPr>
      <w:r>
        <w:rPr>
          <w:color w:val="595959"/>
          <w:sz w:val="22"/>
        </w:rPr>
        <w:t>For each case study pair, write a 1–2 paragraph analysis including: (a) the predicted interaction class/affinity, (b) the top-5 drug atoms and their functional group identity, (c) the top-10 protein residues and whether they match the PDB binding site, (d) comparison against the crystal structure image (if publishable). These form the qualitative component of Section 3.7.3 in the paper.</w:t>
      </w:r>
    </w:p>
    <w:p>
      <w:pPr>
        <w:spacing w:before="20" w:after="20"/>
        <w:ind w:left="454"/>
      </w:pPr>
      <w:r>
        <w:rPr>
          <w:b/>
          <w:color w:val="C55A11"/>
          <w:sz w:val="22"/>
        </w:rPr>
        <w:t xml:space="preserve">○  </w:t>
      </w:r>
      <w:r>
        <w:rPr>
          <w:color w:val="595959"/>
          <w:sz w:val="22"/>
        </w:rPr>
        <w:t>Prepare 3–5 case study write-ups for the interpretability section of the thesis/paper</w:t>
      </w:r>
    </w:p>
    <w:p>
      <w:pPr>
        <w:spacing w:before="20" w:after="20"/>
        <w:ind w:left="454"/>
      </w:pPr>
      <w:r>
        <w:rPr>
          <w:b/>
          <w:color w:val="C55A11"/>
          <w:sz w:val="22"/>
        </w:rPr>
        <w:t xml:space="preserve">○  </w:t>
      </w:r>
      <w:r>
        <w:rPr>
          <w:color w:val="595959"/>
          <w:sz w:val="22"/>
        </w:rPr>
        <w:t>Include: molecular structure with atom highlighting, sequence heatmap, overlap summary table</w:t>
      </w:r>
    </w:p>
    <w:p>
      <w:r>
        <w:br w:type="page"/>
      </w:r>
    </w:p>
    <w:p>
      <w:pPr>
        <w:spacing w:before="360" w:after="80"/>
        <w:pBdr>
          <w:bottom w:val="single" w:sz="6" w:space="1" w:color="1F497D"/>
        </w:pBdr>
      </w:pPr>
      <w:r>
        <w:rPr>
          <w:b/>
          <w:color w:val="1F497D"/>
          <w:sz w:val="32"/>
        </w:rPr>
        <w:t>Phase 6 — Benchmarking Against Baseline Interpretability Methods</w:t>
      </w:r>
    </w:p>
    <w:p>
      <w:pPr>
        <w:spacing w:before="40" w:after="80"/>
      </w:pPr>
      <w:r>
        <w:rPr>
          <w:color w:val="595959"/>
          <w:sz w:val="22"/>
        </w:rPr>
        <w:t>To demonstrate that the cross-attention attribution provides genuine insight (not just a plausible-looking map), compare it against two standard baselines: (1) random attribution (lower bound) and (2) integrated gradients at the input feature level.</w:t>
      </w:r>
    </w:p>
    <w:p>
      <w:pPr>
        <w:spacing w:before="240" w:after="40"/>
      </w:pPr>
      <w:r>
        <w:rPr>
          <w:b/>
          <w:color w:val="007078"/>
          <w:sz w:val="26"/>
        </w:rPr>
        <w:t>Step 6.1 — Random Attribution Baseline</w:t>
      </w:r>
    </w:p>
    <w:p>
      <w:pPr>
        <w:spacing w:before="40" w:after="80"/>
      </w:pPr>
      <w:r>
        <w:rPr>
          <w:color w:val="595959"/>
          <w:sz w:val="22"/>
        </w:rPr>
        <w:t>Assign uniform random importance scores to atoms and residues. Use 100 random seeds per pair. This sets the floor for all quantitative metrics.</w:t>
      </w:r>
    </w:p>
    <w:p>
      <w:pPr>
        <w:spacing w:before="240" w:after="40"/>
      </w:pPr>
      <w:r>
        <w:rPr>
          <w:b/>
          <w:color w:val="007078"/>
          <w:sz w:val="26"/>
        </w:rPr>
        <w:t>Step 6.2 — Input Gradient Baseline</w:t>
      </w:r>
    </w:p>
    <w:p>
      <w:pPr>
        <w:spacing w:before="40" w:after="80"/>
      </w:pPr>
      <w:r>
        <w:rPr>
          <w:color w:val="595959"/>
          <w:sz w:val="22"/>
        </w:rPr>
        <w:t>Compute the gradient of the prediction w.r.t. the raw input atom features (before the GAT). The L2 norm of the gradient at each atom position gives a naive saliency score. This is a model-agnostic baseline that requires no architectural modification.</w:t>
      </w:r>
    </w:p>
    <w:p>
      <w:pPr>
        <w:spacing w:before="20" w:after="20"/>
        <w:ind w:left="454"/>
      </w:pPr>
      <w:r>
        <w:rPr>
          <w:b/>
          <w:color w:val="C55A11"/>
          <w:sz w:val="22"/>
        </w:rPr>
        <w:t xml:space="preserve">○  </w:t>
      </w:r>
      <w:r>
        <w:rPr>
          <w:color w:val="595959"/>
          <w:sz w:val="22"/>
        </w:rPr>
        <w:t>Implement in interpret/input_gradient.py — requires autograd at raw input node features (no hooks needed)</w:t>
      </w:r>
    </w:p>
    <w:p>
      <w:pPr>
        <w:spacing w:before="240" w:after="40"/>
      </w:pPr>
      <w:r>
        <w:rPr>
          <w:b/>
          <w:color w:val="007078"/>
          <w:sz w:val="26"/>
        </w:rPr>
        <w:t>Step 6.3 — Comparison Table</w:t>
      </w:r>
    </w:p>
    <w:tbl>
      <w:tblPr>
        <w:tblStyle w:val="TableGrid"/>
        <w:tblW w:type="auto" w:w="0"/>
        <w:tblLook w:firstColumn="1" w:firstRow="1" w:lastColumn="0" w:lastRow="0" w:noHBand="0" w:noVBand="1" w:val="04A0"/>
      </w:tblPr>
      <w:tblGrid>
        <w:gridCol w:w="2280"/>
        <w:gridCol w:w="2280"/>
        <w:gridCol w:w="2280"/>
        <w:gridCol w:w="2280"/>
      </w:tblGrid>
      <w:tr>
        <w:tc>
          <w:tcPr>
            <w:tcW w:type="dxa" w:w="3168"/>
            <w:shd w:val="clear" w:color="auto" w:fill="1F497D"/>
          </w:tcPr>
          <w:p>
            <w:r>
              <w:rPr>
                <w:b/>
                <w:color w:val="FFFFFF"/>
                <w:sz w:val="20"/>
              </w:rPr>
              <w:t>Method</w:t>
            </w:r>
          </w:p>
        </w:tc>
        <w:tc>
          <w:tcPr>
            <w:tcW w:type="dxa" w:w="2736"/>
            <w:shd w:val="clear" w:color="auto" w:fill="1F497D"/>
          </w:tcPr>
          <w:p>
            <w:r>
              <w:rPr>
                <w:b/>
                <w:color w:val="FFFFFF"/>
                <w:sz w:val="20"/>
              </w:rPr>
              <w:t>Requires Architecture Change?</w:t>
            </w:r>
          </w:p>
        </w:tc>
        <w:tc>
          <w:tcPr>
            <w:tcW w:type="dxa" w:w="2448"/>
            <w:shd w:val="clear" w:color="auto" w:fill="1F497D"/>
          </w:tcPr>
          <w:p>
            <w:r>
              <w:rPr>
                <w:b/>
                <w:color w:val="FFFFFF"/>
                <w:sz w:val="20"/>
              </w:rPr>
              <w:t>Grounded in Prediction?</w:t>
            </w:r>
          </w:p>
        </w:tc>
        <w:tc>
          <w:tcPr>
            <w:tcW w:type="dxa" w:w="2592"/>
            <w:shd w:val="clear" w:color="auto" w:fill="1F497D"/>
          </w:tcPr>
          <w:p>
            <w:r>
              <w:rPr>
                <w:b/>
                <w:color w:val="FFFFFF"/>
                <w:sz w:val="20"/>
              </w:rPr>
              <w:t>Expected Precision@25%</w:t>
            </w:r>
          </w:p>
        </w:tc>
      </w:tr>
      <w:tr>
        <w:tc>
          <w:tcPr>
            <w:tcW w:type="dxa" w:w="3168"/>
            <w:shd w:val="clear" w:color="auto" w:fill="F2F7FF"/>
          </w:tcPr>
          <w:p>
            <w:r>
              <w:rPr>
                <w:color w:val="595959"/>
                <w:sz w:val="20"/>
              </w:rPr>
              <w:t>Random (baseline)</w:t>
            </w:r>
          </w:p>
        </w:tc>
        <w:tc>
          <w:tcPr>
            <w:tcW w:type="dxa" w:w="2736"/>
            <w:shd w:val="clear" w:color="auto" w:fill="F2F7FF"/>
          </w:tcPr>
          <w:p>
            <w:r>
              <w:rPr>
                <w:color w:val="595959"/>
                <w:sz w:val="20"/>
              </w:rPr>
              <w:t>No</w:t>
            </w:r>
          </w:p>
        </w:tc>
        <w:tc>
          <w:tcPr>
            <w:tcW w:type="dxa" w:w="2448"/>
            <w:shd w:val="clear" w:color="auto" w:fill="F2F7FF"/>
          </w:tcPr>
          <w:p>
            <w:r>
              <w:rPr>
                <w:color w:val="595959"/>
                <w:sz w:val="20"/>
              </w:rPr>
              <w:t>No</w:t>
            </w:r>
          </w:p>
        </w:tc>
        <w:tc>
          <w:tcPr>
            <w:tcW w:type="dxa" w:w="2592"/>
            <w:shd w:val="clear" w:color="auto" w:fill="F2F7FF"/>
          </w:tcPr>
          <w:p>
            <w:r>
              <w:rPr>
                <w:color w:val="595959"/>
                <w:sz w:val="20"/>
              </w:rPr>
              <w:t>~25% (chance)</w:t>
            </w:r>
          </w:p>
        </w:tc>
      </w:tr>
      <w:tr>
        <w:tc>
          <w:tcPr>
            <w:tcW w:type="dxa" w:w="3168"/>
            <w:shd w:val="clear" w:color="auto" w:fill="FFFFFF"/>
          </w:tcPr>
          <w:p>
            <w:r>
              <w:rPr>
                <w:color w:val="595959"/>
                <w:sz w:val="20"/>
              </w:rPr>
              <w:t>Input gradient</w:t>
            </w:r>
          </w:p>
        </w:tc>
        <w:tc>
          <w:tcPr>
            <w:tcW w:type="dxa" w:w="2736"/>
            <w:shd w:val="clear" w:color="auto" w:fill="FFFFFF"/>
          </w:tcPr>
          <w:p>
            <w:r>
              <w:rPr>
                <w:color w:val="595959"/>
                <w:sz w:val="20"/>
              </w:rPr>
              <w:t>No</w:t>
            </w:r>
          </w:p>
        </w:tc>
        <w:tc>
          <w:tcPr>
            <w:tcW w:type="dxa" w:w="2448"/>
            <w:shd w:val="clear" w:color="auto" w:fill="FFFFFF"/>
          </w:tcPr>
          <w:p>
            <w:r>
              <w:rPr>
                <w:color w:val="595959"/>
                <w:sz w:val="20"/>
              </w:rPr>
              <w:t>Yes</w:t>
            </w:r>
          </w:p>
        </w:tc>
        <w:tc>
          <w:tcPr>
            <w:tcW w:type="dxa" w:w="2592"/>
            <w:shd w:val="clear" w:color="auto" w:fill="FFFFFF"/>
          </w:tcPr>
          <w:p>
            <w:r>
              <w:rPr>
                <w:color w:val="595959"/>
                <w:sz w:val="20"/>
              </w:rPr>
              <w:t>30–40% (target)</w:t>
            </w:r>
          </w:p>
        </w:tc>
      </w:tr>
      <w:tr>
        <w:tc>
          <w:tcPr>
            <w:tcW w:type="dxa" w:w="3168"/>
            <w:shd w:val="clear" w:color="auto" w:fill="F2F7FF"/>
          </w:tcPr>
          <w:p>
            <w:r>
              <w:rPr>
                <w:color w:val="595959"/>
                <w:sz w:val="20"/>
              </w:rPr>
              <w:t>Cross-attention (Phase 1)</w:t>
            </w:r>
          </w:p>
        </w:tc>
        <w:tc>
          <w:tcPr>
            <w:tcW w:type="dxa" w:w="2736"/>
            <w:shd w:val="clear" w:color="auto" w:fill="F2F7FF"/>
          </w:tcPr>
          <w:p>
            <w:r>
              <w:rPr>
                <w:color w:val="595959"/>
                <w:sz w:val="20"/>
              </w:rPr>
              <w:t>Yes</w:t>
            </w:r>
          </w:p>
        </w:tc>
        <w:tc>
          <w:tcPr>
            <w:tcW w:type="dxa" w:w="2448"/>
            <w:shd w:val="clear" w:color="auto" w:fill="F2F7FF"/>
          </w:tcPr>
          <w:p>
            <w:r>
              <w:rPr>
                <w:color w:val="595959"/>
                <w:sz w:val="20"/>
              </w:rPr>
              <w:t>Indirectly</w:t>
            </w:r>
          </w:p>
        </w:tc>
        <w:tc>
          <w:tcPr>
            <w:tcW w:type="dxa" w:w="2592"/>
            <w:shd w:val="clear" w:color="auto" w:fill="F2F7FF"/>
          </w:tcPr>
          <w:p>
            <w:r>
              <w:rPr>
                <w:color w:val="595959"/>
                <w:sz w:val="20"/>
              </w:rPr>
              <w:t>40–55% (target)</w:t>
            </w:r>
          </w:p>
        </w:tc>
      </w:tr>
      <w:tr>
        <w:tc>
          <w:tcPr>
            <w:tcW w:type="dxa" w:w="3168"/>
            <w:shd w:val="clear" w:color="auto" w:fill="FFFFFF"/>
          </w:tcPr>
          <w:p>
            <w:r>
              <w:rPr>
                <w:color w:val="595959"/>
                <w:sz w:val="20"/>
              </w:rPr>
              <w:t>Grad-CAM (Phase 2)</w:t>
            </w:r>
          </w:p>
        </w:tc>
        <w:tc>
          <w:tcPr>
            <w:tcW w:type="dxa" w:w="2736"/>
            <w:shd w:val="clear" w:color="auto" w:fill="FFFFFF"/>
          </w:tcPr>
          <w:p>
            <w:r>
              <w:rPr>
                <w:color w:val="595959"/>
                <w:sz w:val="20"/>
              </w:rPr>
              <w:t>Yes</w:t>
            </w:r>
          </w:p>
        </w:tc>
        <w:tc>
          <w:tcPr>
            <w:tcW w:type="dxa" w:w="2448"/>
            <w:shd w:val="clear" w:color="auto" w:fill="FFFFFF"/>
          </w:tcPr>
          <w:p>
            <w:r>
              <w:rPr>
                <w:color w:val="595959"/>
                <w:sz w:val="20"/>
              </w:rPr>
              <w:t>Yes</w:t>
            </w:r>
          </w:p>
        </w:tc>
        <w:tc>
          <w:tcPr>
            <w:tcW w:type="dxa" w:w="2592"/>
            <w:shd w:val="clear" w:color="auto" w:fill="FFFFFF"/>
          </w:tcPr>
          <w:p>
            <w:r>
              <w:rPr>
                <w:color w:val="595959"/>
                <w:sz w:val="20"/>
              </w:rPr>
              <w:t>45–60% (target)</w:t>
            </w:r>
          </w:p>
        </w:tc>
      </w:tr>
      <w:tr>
        <w:tc>
          <w:tcPr>
            <w:tcW w:type="dxa" w:w="3168"/>
            <w:shd w:val="clear" w:color="auto" w:fill="F2F7FF"/>
          </w:tcPr>
          <w:p>
            <w:r>
              <w:rPr>
                <w:color w:val="595959"/>
                <w:sz w:val="20"/>
              </w:rPr>
              <w:t>Ensemble (Phase 2.3)</w:t>
            </w:r>
          </w:p>
        </w:tc>
        <w:tc>
          <w:tcPr>
            <w:tcW w:type="dxa" w:w="2736"/>
            <w:shd w:val="clear" w:color="auto" w:fill="F2F7FF"/>
          </w:tcPr>
          <w:p>
            <w:r>
              <w:rPr>
                <w:color w:val="595959"/>
                <w:sz w:val="20"/>
              </w:rPr>
              <w:t>Yes</w:t>
            </w:r>
          </w:p>
        </w:tc>
        <w:tc>
          <w:tcPr>
            <w:tcW w:type="dxa" w:w="2448"/>
            <w:shd w:val="clear" w:color="auto" w:fill="F2F7FF"/>
          </w:tcPr>
          <w:p>
            <w:r>
              <w:rPr>
                <w:color w:val="595959"/>
                <w:sz w:val="20"/>
              </w:rPr>
              <w:t>Yes</w:t>
            </w:r>
          </w:p>
        </w:tc>
        <w:tc>
          <w:tcPr>
            <w:tcW w:type="dxa" w:w="2592"/>
            <w:shd w:val="clear" w:color="auto" w:fill="F2F7FF"/>
          </w:tcPr>
          <w:p>
            <w:r>
              <w:rPr>
                <w:color w:val="595959"/>
                <w:sz w:val="20"/>
              </w:rPr>
              <w:t>50–65% (target)</w:t>
            </w:r>
          </w:p>
        </w:tc>
      </w:tr>
    </w:tbl>
    <w:p/>
    <w:p>
      <w:pPr>
        <w:spacing w:before="120" w:after="120"/>
        <w:ind w:left="567"/>
        <w:pBdr>
          <w:left w:val="single" w:sz="12" w:space="6" w:color="C00000"/>
        </w:pBdr>
      </w:pPr>
      <w:r>
        <w:rPr>
          <w:i/>
          <w:color w:val="595959"/>
          <w:sz w:val="21"/>
        </w:rPr>
        <w:t>If ensemble Precision@25% is &lt; 40%, investigate whether the attribution is model-meaningful or whether the GCA module's attention weights are not strongly informative (flat attention over long protein sequences is a known failure mode).</w:t>
      </w:r>
    </w:p>
    <w:p>
      <w:r>
        <w:br w:type="page"/>
      </w:r>
    </w:p>
    <w:p>
      <w:pPr>
        <w:spacing w:before="360" w:after="80"/>
        <w:pBdr>
          <w:bottom w:val="single" w:sz="6" w:space="1" w:color="1F497D"/>
        </w:pBdr>
      </w:pPr>
      <w:r>
        <w:rPr>
          <w:b/>
          <w:color w:val="1F497D"/>
          <w:sz w:val="32"/>
        </w:rPr>
        <w:t>Phase 7 — Reporting: Paper Section 3.7 and Evaluation Report</w:t>
      </w:r>
    </w:p>
    <w:p>
      <w:pPr>
        <w:spacing w:before="40" w:after="80"/>
      </w:pPr>
      <w:r>
        <w:rPr>
          <w:color w:val="595959"/>
          <w:sz w:val="22"/>
        </w:rPr>
        <w:t>All results feed into the paper's interpretability section and into evaluation_report.md Section 3.11 (new section for Objective 3). The goal is a self-contained, reproducible interpretability analysis that can stand alongside the predictive performance results.</w:t>
      </w:r>
    </w:p>
    <w:p>
      <w:pPr>
        <w:spacing w:before="240" w:after="40"/>
      </w:pPr>
      <w:r>
        <w:rPr>
          <w:b/>
          <w:color w:val="007078"/>
          <w:sz w:val="26"/>
        </w:rPr>
        <w:t>Step 7.1 — Evaluation Report Section 3.11</w:t>
      </w:r>
    </w:p>
    <w:p>
      <w:pPr>
        <w:spacing w:before="160" w:after="40"/>
      </w:pPr>
      <w:r>
        <w:rPr>
          <w:b/>
          <w:color w:val="1F497D"/>
          <w:sz w:val="22"/>
        </w:rPr>
        <w:t>Subsections to Write</w:t>
      </w:r>
    </w:p>
    <w:p>
      <w:pPr>
        <w:pStyle w:val="ListBullet"/>
        <w:spacing w:before="20" w:after="20"/>
        <w:ind w:left="454"/>
      </w:pPr>
      <w:r>
        <w:rPr>
          <w:color w:val="595959"/>
          <w:sz w:val="22"/>
        </w:rPr>
        <w:t>3.11.1  Attribution Extraction — describe the cross-attention weight extraction pipeline</w:t>
      </w:r>
    </w:p>
    <w:p>
      <w:pPr>
        <w:pStyle w:val="ListBullet"/>
        <w:spacing w:before="20" w:after="20"/>
        <w:ind w:left="454"/>
      </w:pPr>
      <w:r>
        <w:rPr>
          <w:color w:val="595959"/>
          <w:sz w:val="22"/>
        </w:rPr>
        <w:t>3.11.2  Graph Grad-CAM — describe the GNN Grad-CAM implementation</w:t>
      </w:r>
    </w:p>
    <w:p>
      <w:pPr>
        <w:pStyle w:val="ListBullet"/>
        <w:spacing w:before="20" w:after="20"/>
        <w:ind w:left="454"/>
      </w:pPr>
      <w:r>
        <w:rPr>
          <w:color w:val="595959"/>
          <w:sz w:val="22"/>
        </w:rPr>
        <w:t>3.11.3  Visualization Gallery — 2–3 key figures (molecule highlight, sequence heatmap, cross-attention matrix)</w:t>
      </w:r>
    </w:p>
    <w:p>
      <w:pPr>
        <w:pStyle w:val="ListBullet"/>
        <w:spacing w:before="20" w:after="20"/>
        <w:ind w:left="454"/>
      </w:pPr>
      <w:r>
        <w:rPr>
          <w:color w:val="595959"/>
          <w:sz w:val="22"/>
        </w:rPr>
        <w:t>3.11.4  Quantitative Metrics — faithfulness, consistency, pharmacophore precision tables</w:t>
      </w:r>
    </w:p>
    <w:p>
      <w:pPr>
        <w:pStyle w:val="ListBullet"/>
        <w:spacing w:before="20" w:after="20"/>
        <w:ind w:left="454"/>
      </w:pPr>
      <w:r>
        <w:rPr>
          <w:color w:val="595959"/>
          <w:sz w:val="22"/>
        </w:rPr>
        <w:t>3.11.5  Case Study Validation — 3–5 pair analyses with PDB comparison</w:t>
      </w:r>
    </w:p>
    <w:p>
      <w:pPr>
        <w:pStyle w:val="ListBullet"/>
        <w:spacing w:before="20" w:after="20"/>
        <w:ind w:left="454"/>
      </w:pPr>
      <w:r>
        <w:rPr>
          <w:color w:val="595959"/>
          <w:sz w:val="22"/>
        </w:rPr>
        <w:t>3.11.6  Baseline Comparison — attribution methods ranked by precision@K</w:t>
      </w:r>
    </w:p>
    <w:p>
      <w:pPr>
        <w:spacing w:before="240" w:after="40"/>
      </w:pPr>
      <w:r>
        <w:rPr>
          <w:b/>
          <w:color w:val="007078"/>
          <w:sz w:val="26"/>
        </w:rPr>
        <w:t>Step 7.2 — Summary Tables for Paper</w:t>
      </w:r>
    </w:p>
    <w:tbl>
      <w:tblPr>
        <w:tblStyle w:val="TableGrid"/>
        <w:tblW w:type="auto" w:w="0"/>
        <w:tblLook w:firstColumn="1" w:firstRow="1" w:lastColumn="0" w:lastRow="0" w:noHBand="0" w:noVBand="1" w:val="04A0"/>
      </w:tblPr>
      <w:tblGrid>
        <w:gridCol w:w="3041"/>
        <w:gridCol w:w="3041"/>
        <w:gridCol w:w="3041"/>
      </w:tblGrid>
      <w:tr>
        <w:tc>
          <w:tcPr>
            <w:tcW w:type="dxa" w:w="1728"/>
            <w:shd w:val="clear" w:color="auto" w:fill="1F497D"/>
          </w:tcPr>
          <w:p>
            <w:r>
              <w:rPr>
                <w:b/>
                <w:color w:val="FFFFFF"/>
                <w:sz w:val="20"/>
              </w:rPr>
              <w:t>Table</w:t>
            </w:r>
          </w:p>
        </w:tc>
        <w:tc>
          <w:tcPr>
            <w:tcW w:type="dxa" w:w="5760"/>
            <w:shd w:val="clear" w:color="auto" w:fill="1F497D"/>
          </w:tcPr>
          <w:p>
            <w:r>
              <w:rPr>
                <w:b/>
                <w:color w:val="FFFFFF"/>
                <w:sz w:val="20"/>
              </w:rPr>
              <w:t>Content</w:t>
            </w:r>
          </w:p>
        </w:tc>
        <w:tc>
          <w:tcPr>
            <w:tcW w:type="dxa" w:w="2304"/>
            <w:shd w:val="clear" w:color="auto" w:fill="1F497D"/>
          </w:tcPr>
          <w:p>
            <w:r>
              <w:rPr>
                <w:b/>
                <w:color w:val="FFFFFF"/>
                <w:sz w:val="20"/>
              </w:rPr>
              <w:t>Location</w:t>
            </w:r>
          </w:p>
        </w:tc>
      </w:tr>
      <w:tr>
        <w:tc>
          <w:tcPr>
            <w:tcW w:type="dxa" w:w="1728"/>
            <w:shd w:val="clear" w:color="auto" w:fill="F2F7FF"/>
          </w:tcPr>
          <w:p>
            <w:r>
              <w:rPr>
                <w:color w:val="595959"/>
                <w:sz w:val="20"/>
              </w:rPr>
              <w:t>Table 21</w:t>
            </w:r>
          </w:p>
        </w:tc>
        <w:tc>
          <w:tcPr>
            <w:tcW w:type="dxa" w:w="5760"/>
            <w:shd w:val="clear" w:color="auto" w:fill="F2F7FF"/>
          </w:tcPr>
          <w:p>
            <w:r>
              <w:rPr>
                <w:color w:val="595959"/>
                <w:sz w:val="20"/>
              </w:rPr>
              <w:t>Quantitative interpretability metrics (all attribution methods, both datasets)</w:t>
            </w:r>
          </w:p>
        </w:tc>
        <w:tc>
          <w:tcPr>
            <w:tcW w:type="dxa" w:w="2304"/>
            <w:shd w:val="clear" w:color="auto" w:fill="F2F7FF"/>
          </w:tcPr>
          <w:p>
            <w:r>
              <w:rPr>
                <w:color w:val="595959"/>
                <w:sz w:val="20"/>
              </w:rPr>
              <w:t>Section 3.11.4</w:t>
            </w:r>
          </w:p>
        </w:tc>
      </w:tr>
      <w:tr>
        <w:tc>
          <w:tcPr>
            <w:tcW w:type="dxa" w:w="1728"/>
            <w:shd w:val="clear" w:color="auto" w:fill="FFFFFF"/>
          </w:tcPr>
          <w:p>
            <w:r>
              <w:rPr>
                <w:color w:val="595959"/>
                <w:sz w:val="20"/>
              </w:rPr>
              <w:t>Table 22</w:t>
            </w:r>
          </w:p>
        </w:tc>
        <w:tc>
          <w:tcPr>
            <w:tcW w:type="dxa" w:w="5760"/>
            <w:shd w:val="clear" w:color="auto" w:fill="FFFFFF"/>
          </w:tcPr>
          <w:p>
            <w:r>
              <w:rPr>
                <w:color w:val="595959"/>
                <w:sz w:val="20"/>
              </w:rPr>
              <w:t>Case study binding site overlap results (precision/recall/F1 per pair)</w:t>
            </w:r>
          </w:p>
        </w:tc>
        <w:tc>
          <w:tcPr>
            <w:tcW w:type="dxa" w:w="2304"/>
            <w:shd w:val="clear" w:color="auto" w:fill="FFFFFF"/>
          </w:tcPr>
          <w:p>
            <w:r>
              <w:rPr>
                <w:color w:val="595959"/>
                <w:sz w:val="20"/>
              </w:rPr>
              <w:t>Section 3.11.5</w:t>
            </w:r>
          </w:p>
        </w:tc>
      </w:tr>
      <w:tr>
        <w:tc>
          <w:tcPr>
            <w:tcW w:type="dxa" w:w="1728"/>
            <w:shd w:val="clear" w:color="auto" w:fill="F2F7FF"/>
          </w:tcPr>
          <w:p>
            <w:r>
              <w:rPr>
                <w:color w:val="595959"/>
                <w:sz w:val="20"/>
              </w:rPr>
              <w:t>Table 23</w:t>
            </w:r>
          </w:p>
        </w:tc>
        <w:tc>
          <w:tcPr>
            <w:tcW w:type="dxa" w:w="5760"/>
            <w:shd w:val="clear" w:color="auto" w:fill="F2F7FF"/>
          </w:tcPr>
          <w:p>
            <w:r>
              <w:rPr>
                <w:color w:val="595959"/>
                <w:sz w:val="20"/>
              </w:rPr>
              <w:t>Attribution method comparison (vs. random and input gradient baselines)</w:t>
            </w:r>
          </w:p>
        </w:tc>
        <w:tc>
          <w:tcPr>
            <w:tcW w:type="dxa" w:w="2304"/>
            <w:shd w:val="clear" w:color="auto" w:fill="F2F7FF"/>
          </w:tcPr>
          <w:p>
            <w:r>
              <w:rPr>
                <w:color w:val="595959"/>
                <w:sz w:val="20"/>
              </w:rPr>
              <w:t>Section 3.11.6</w:t>
            </w:r>
          </w:p>
        </w:tc>
      </w:tr>
    </w:tbl>
    <w:p/>
    <w:p>
      <w:pPr>
        <w:spacing w:before="240" w:after="40"/>
      </w:pPr>
      <w:r>
        <w:rPr>
          <w:b/>
          <w:color w:val="007078"/>
          <w:sz w:val="26"/>
        </w:rPr>
        <w:t>Step 7.3 — Figures for Paper</w:t>
      </w:r>
    </w:p>
    <w:tbl>
      <w:tblPr>
        <w:tblStyle w:val="TableGrid"/>
        <w:tblW w:type="auto" w:w="0"/>
        <w:tblLook w:firstColumn="1" w:firstRow="1" w:lastColumn="0" w:lastRow="0" w:noHBand="0" w:noVBand="1" w:val="04A0"/>
      </w:tblPr>
      <w:tblGrid>
        <w:gridCol w:w="4561"/>
        <w:gridCol w:w="4561"/>
      </w:tblGrid>
      <w:tr>
        <w:tc>
          <w:tcPr>
            <w:tcW w:type="dxa" w:w="2016"/>
            <w:shd w:val="clear" w:color="auto" w:fill="1F497D"/>
          </w:tcPr>
          <w:p>
            <w:r>
              <w:rPr>
                <w:b/>
                <w:color w:val="FFFFFF"/>
                <w:sz w:val="20"/>
              </w:rPr>
              <w:t>Figure</w:t>
            </w:r>
          </w:p>
        </w:tc>
        <w:tc>
          <w:tcPr>
            <w:tcW w:type="dxa" w:w="7488"/>
            <w:shd w:val="clear" w:color="auto" w:fill="1F497D"/>
          </w:tcPr>
          <w:p>
            <w:r>
              <w:rPr>
                <w:b/>
                <w:color w:val="FFFFFF"/>
                <w:sz w:val="20"/>
              </w:rPr>
              <w:t>Description</w:t>
            </w:r>
          </w:p>
        </w:tc>
      </w:tr>
      <w:tr>
        <w:tc>
          <w:tcPr>
            <w:tcW w:type="dxa" w:w="2016"/>
            <w:shd w:val="clear" w:color="auto" w:fill="F2F7FF"/>
          </w:tcPr>
          <w:p>
            <w:r>
              <w:rPr>
                <w:color w:val="595959"/>
                <w:sz w:val="20"/>
              </w:rPr>
              <w:t>Fig. 3.X</w:t>
            </w:r>
          </w:p>
        </w:tc>
        <w:tc>
          <w:tcPr>
            <w:tcW w:type="dxa" w:w="7488"/>
            <w:shd w:val="clear" w:color="auto" w:fill="F2F7FF"/>
          </w:tcPr>
          <w:p>
            <w:r>
              <w:rPr>
                <w:color w:val="595959"/>
                <w:sz w:val="20"/>
              </w:rPr>
              <w:t>Example drug molecule with atom importance coloring (luo_17 case study)</w:t>
            </w:r>
          </w:p>
        </w:tc>
      </w:tr>
      <w:tr>
        <w:tc>
          <w:tcPr>
            <w:tcW w:type="dxa" w:w="2016"/>
            <w:shd w:val="clear" w:color="auto" w:fill="FFFFFF"/>
          </w:tcPr>
          <w:p>
            <w:r>
              <w:rPr>
                <w:color w:val="595959"/>
                <w:sz w:val="20"/>
              </w:rPr>
              <w:t>Fig. 3.X+1</w:t>
            </w:r>
          </w:p>
        </w:tc>
        <w:tc>
          <w:tcPr>
            <w:tcW w:type="dxa" w:w="7488"/>
            <w:shd w:val="clear" w:color="auto" w:fill="FFFFFF"/>
          </w:tcPr>
          <w:p>
            <w:r>
              <w:rPr>
                <w:color w:val="595959"/>
                <w:sz w:val="20"/>
              </w:rPr>
              <w:t>Protein sequence heatmap for the same pair — known binding residues annotated</w:t>
            </w:r>
          </w:p>
        </w:tc>
      </w:tr>
      <w:tr>
        <w:tc>
          <w:tcPr>
            <w:tcW w:type="dxa" w:w="2016"/>
            <w:shd w:val="clear" w:color="auto" w:fill="F2F7FF"/>
          </w:tcPr>
          <w:p>
            <w:r>
              <w:rPr>
                <w:color w:val="595959"/>
                <w:sz w:val="20"/>
              </w:rPr>
              <w:t>Fig. 3.X+2</w:t>
            </w:r>
          </w:p>
        </w:tc>
        <w:tc>
          <w:tcPr>
            <w:tcW w:type="dxa" w:w="7488"/>
            <w:shd w:val="clear" w:color="auto" w:fill="F2F7FF"/>
          </w:tcPr>
          <w:p>
            <w:r>
              <w:rPr>
                <w:color w:val="595959"/>
                <w:sz w:val="20"/>
              </w:rPr>
              <w:t>Cross-attention matrix (drug atoms × protein residues) — binding interface heatmap</w:t>
            </w:r>
          </w:p>
        </w:tc>
      </w:tr>
      <w:tr>
        <w:tc>
          <w:tcPr>
            <w:tcW w:type="dxa" w:w="2016"/>
            <w:shd w:val="clear" w:color="auto" w:fill="FFFFFF"/>
          </w:tcPr>
          <w:p>
            <w:r>
              <w:rPr>
                <w:color w:val="595959"/>
                <w:sz w:val="20"/>
              </w:rPr>
              <w:t>Fig. 3.X+3</w:t>
            </w:r>
          </w:p>
        </w:tc>
        <w:tc>
          <w:tcPr>
            <w:tcW w:type="dxa" w:w="7488"/>
            <w:shd w:val="clear" w:color="auto" w:fill="FFFFFF"/>
          </w:tcPr>
          <w:p>
            <w:r>
              <w:rPr>
                <w:color w:val="595959"/>
                <w:sz w:val="20"/>
              </w:rPr>
              <w:t>PDB crystal structure overlaid with top-10 model-predicted binding residues</w:t>
            </w:r>
          </w:p>
        </w:tc>
      </w:tr>
      <w:tr>
        <w:tc>
          <w:tcPr>
            <w:tcW w:type="dxa" w:w="2016"/>
            <w:shd w:val="clear" w:color="auto" w:fill="F2F7FF"/>
          </w:tcPr>
          <w:p>
            <w:r>
              <w:rPr>
                <w:color w:val="595959"/>
                <w:sz w:val="20"/>
              </w:rPr>
              <w:t>Fig. 3.X+4</w:t>
            </w:r>
          </w:p>
        </w:tc>
        <w:tc>
          <w:tcPr>
            <w:tcW w:type="dxa" w:w="7488"/>
            <w:shd w:val="clear" w:color="auto" w:fill="F2F7FF"/>
          </w:tcPr>
          <w:p>
            <w:r>
              <w:rPr>
                <w:color w:val="595959"/>
                <w:sz w:val="20"/>
              </w:rPr>
              <w:t>Faithfulness curve: prediction confidence vs. % atoms masked (all methods)</w:t>
            </w:r>
          </w:p>
        </w:tc>
      </w:tr>
    </w:tbl>
    <w:p/>
    <w:p>
      <w:pPr>
        <w:spacing w:before="240" w:after="40"/>
      </w:pPr>
      <w:r>
        <w:rPr>
          <w:b/>
          <w:color w:val="007078"/>
          <w:sz w:val="26"/>
        </w:rPr>
        <w:t>Step 7.4 — Commit and Version Control</w:t>
      </w:r>
    </w:p>
    <w:p>
      <w:pPr>
        <w:spacing w:before="20" w:after="20"/>
        <w:ind w:left="454"/>
      </w:pPr>
      <w:r>
        <w:rPr>
          <w:b/>
          <w:color w:val="C55A11"/>
          <w:sz w:val="22"/>
        </w:rPr>
        <w:t xml:space="preserve">○  </w:t>
      </w:r>
      <w:r>
        <w:rPr>
          <w:color w:val="595959"/>
          <w:sz w:val="22"/>
        </w:rPr>
        <w:t>Commit all interpret/ scripts and paper/figures/interpretability/ after each phase</w:t>
      </w:r>
    </w:p>
    <w:p>
      <w:pPr>
        <w:spacing w:before="20" w:after="20"/>
        <w:ind w:left="454"/>
      </w:pPr>
      <w:r>
        <w:rPr>
          <w:b/>
          <w:color w:val="C55A11"/>
          <w:sz w:val="22"/>
        </w:rPr>
        <w:t xml:space="preserve">○  </w:t>
      </w:r>
      <w:r>
        <w:rPr>
          <w:color w:val="595959"/>
          <w:sz w:val="22"/>
        </w:rPr>
        <w:t>Tag the commit with 'obj3-phaseN-complete' for traceability</w:t>
      </w:r>
    </w:p>
    <w:p>
      <w:pPr>
        <w:spacing w:before="20" w:after="20"/>
        <w:ind w:left="454"/>
      </w:pPr>
      <w:r>
        <w:rPr>
          <w:b/>
          <w:color w:val="C55A11"/>
          <w:sz w:val="22"/>
        </w:rPr>
        <w:t xml:space="preserve">○  </w:t>
      </w:r>
      <w:r>
        <w:rPr>
          <w:color w:val="595959"/>
          <w:sz w:val="22"/>
        </w:rPr>
        <w:t>Update evaluation_report.md Section 3.11 incrementally as each phase completes</w:t>
      </w:r>
    </w:p>
    <w:p>
      <w:r>
        <w:br w:type="page"/>
      </w:r>
    </w:p>
    <w:p>
      <w:pPr>
        <w:spacing w:before="360" w:after="80"/>
        <w:pBdr>
          <w:bottom w:val="single" w:sz="6" w:space="1" w:color="1F497D"/>
        </w:pBdr>
      </w:pPr>
      <w:r>
        <w:rPr>
          <w:b/>
          <w:color w:val="1F497D"/>
          <w:sz w:val="32"/>
        </w:rPr>
        <w:t>Execution Timeline and Dependencies</w:t>
      </w:r>
    </w:p>
    <w:p>
      <w:pPr>
        <w:spacing w:before="40" w:after="80"/>
      </w:pPr>
      <w:r>
        <w:rPr>
          <w:color w:val="595959"/>
          <w:sz w:val="22"/>
        </w:rPr>
        <w:t>The phases are largely sequential: Phase 1 (extraction) must complete before Phases 2–6. Visualization (Phase 3) and Quantitative Metrics (Phase 4) can run in parallel once attribution scores exist. Case Study Validation (Phase 5) has an external dependency on PDB structure retrieval.</w:t>
      </w:r>
    </w:p>
    <w:tbl>
      <w:tblPr>
        <w:tblStyle w:val="TableGrid"/>
        <w:tblW w:type="auto" w:w="0"/>
        <w:tblLook w:firstColumn="1" w:firstRow="1" w:lastColumn="0" w:lastRow="0" w:noHBand="0" w:noVBand="1" w:val="04A0"/>
      </w:tblPr>
      <w:tblGrid>
        <w:gridCol w:w="2280"/>
        <w:gridCol w:w="2280"/>
        <w:gridCol w:w="2280"/>
        <w:gridCol w:w="2280"/>
      </w:tblGrid>
      <w:tr>
        <w:tc>
          <w:tcPr>
            <w:tcW w:type="dxa" w:w="3168"/>
            <w:shd w:val="clear" w:color="auto" w:fill="1F497D"/>
          </w:tcPr>
          <w:p>
            <w:r>
              <w:rPr>
                <w:b/>
                <w:color w:val="FFFFFF"/>
                <w:sz w:val="20"/>
              </w:rPr>
              <w:t>Phase</w:t>
            </w:r>
          </w:p>
        </w:tc>
        <w:tc>
          <w:tcPr>
            <w:tcW w:type="dxa" w:w="2880"/>
            <w:shd w:val="clear" w:color="auto" w:fill="1F497D"/>
          </w:tcPr>
          <w:p>
            <w:r>
              <w:rPr>
                <w:b/>
                <w:color w:val="FFFFFF"/>
                <w:sz w:val="20"/>
              </w:rPr>
              <w:t>Prerequisite</w:t>
            </w:r>
          </w:p>
        </w:tc>
        <w:tc>
          <w:tcPr>
            <w:tcW w:type="dxa" w:w="1872"/>
            <w:shd w:val="clear" w:color="auto" w:fill="1F497D"/>
          </w:tcPr>
          <w:p>
            <w:r>
              <w:rPr>
                <w:b/>
                <w:color w:val="FFFFFF"/>
                <w:sz w:val="20"/>
              </w:rPr>
              <w:t>Est. Duration</w:t>
            </w:r>
          </w:p>
        </w:tc>
        <w:tc>
          <w:tcPr>
            <w:tcW w:type="dxa" w:w="3024"/>
            <w:shd w:val="clear" w:color="auto" w:fill="1F497D"/>
          </w:tcPr>
          <w:p>
            <w:r>
              <w:rPr>
                <w:b/>
                <w:color w:val="FFFFFF"/>
                <w:sz w:val="20"/>
              </w:rPr>
              <w:t>Key Risk</w:t>
            </w:r>
          </w:p>
        </w:tc>
      </w:tr>
      <w:tr>
        <w:tc>
          <w:tcPr>
            <w:tcW w:type="dxa" w:w="3168"/>
            <w:shd w:val="clear" w:color="auto" w:fill="F2F7FF"/>
          </w:tcPr>
          <w:p>
            <w:r>
              <w:rPr>
                <w:color w:val="595959"/>
                <w:sz w:val="20"/>
              </w:rPr>
              <w:t>Phase 1 — Extraction</w:t>
            </w:r>
          </w:p>
        </w:tc>
        <w:tc>
          <w:tcPr>
            <w:tcW w:type="dxa" w:w="2880"/>
            <w:shd w:val="clear" w:color="auto" w:fill="F2F7FF"/>
          </w:tcPr>
          <w:p>
            <w:r>
              <w:rPr>
                <w:color w:val="595959"/>
                <w:sz w:val="20"/>
              </w:rPr>
              <w:t>C3 checkpoints (done)</w:t>
            </w:r>
          </w:p>
        </w:tc>
        <w:tc>
          <w:tcPr>
            <w:tcW w:type="dxa" w:w="1872"/>
            <w:shd w:val="clear" w:color="auto" w:fill="F2F7FF"/>
          </w:tcPr>
          <w:p>
            <w:r>
              <w:rPr>
                <w:color w:val="595959"/>
                <w:sz w:val="20"/>
              </w:rPr>
              <w:t>1–2 days</w:t>
            </w:r>
          </w:p>
        </w:tc>
        <w:tc>
          <w:tcPr>
            <w:tcW w:type="dxa" w:w="3024"/>
            <w:shd w:val="clear" w:color="auto" w:fill="F2F7FF"/>
          </w:tcPr>
          <w:p>
            <w:r>
              <w:rPr>
                <w:color w:val="595959"/>
                <w:sz w:val="20"/>
              </w:rPr>
              <w:t>GCA module may not store weights; requires refactoring</w:t>
            </w:r>
          </w:p>
        </w:tc>
      </w:tr>
      <w:tr>
        <w:tc>
          <w:tcPr>
            <w:tcW w:type="dxa" w:w="3168"/>
            <w:shd w:val="clear" w:color="auto" w:fill="FFFFFF"/>
          </w:tcPr>
          <w:p>
            <w:r>
              <w:rPr>
                <w:color w:val="595959"/>
                <w:sz w:val="20"/>
              </w:rPr>
              <w:t>Phase 2 — Grad-CAM</w:t>
            </w:r>
          </w:p>
        </w:tc>
        <w:tc>
          <w:tcPr>
            <w:tcW w:type="dxa" w:w="2880"/>
            <w:shd w:val="clear" w:color="auto" w:fill="FFFFFF"/>
          </w:tcPr>
          <w:p>
            <w:r>
              <w:rPr>
                <w:color w:val="595959"/>
                <w:sz w:val="20"/>
              </w:rPr>
              <w:t>Phase 1 complete</w:t>
            </w:r>
          </w:p>
        </w:tc>
        <w:tc>
          <w:tcPr>
            <w:tcW w:type="dxa" w:w="1872"/>
            <w:shd w:val="clear" w:color="auto" w:fill="FFFFFF"/>
          </w:tcPr>
          <w:p>
            <w:r>
              <w:rPr>
                <w:color w:val="595959"/>
                <w:sz w:val="20"/>
              </w:rPr>
              <w:t>1–2 days</w:t>
            </w:r>
          </w:p>
        </w:tc>
        <w:tc>
          <w:tcPr>
            <w:tcW w:type="dxa" w:w="3024"/>
            <w:shd w:val="clear" w:color="auto" w:fill="FFFFFF"/>
          </w:tcPr>
          <w:p>
            <w:r>
              <w:rPr>
                <w:color w:val="595959"/>
                <w:sz w:val="20"/>
              </w:rPr>
              <w:t>Memory: per-sample gradient computation on long proteins</w:t>
            </w:r>
          </w:p>
        </w:tc>
      </w:tr>
      <w:tr>
        <w:tc>
          <w:tcPr>
            <w:tcW w:type="dxa" w:w="3168"/>
            <w:shd w:val="clear" w:color="auto" w:fill="F2F7FF"/>
          </w:tcPr>
          <w:p>
            <w:r>
              <w:rPr>
                <w:color w:val="595959"/>
                <w:sz w:val="20"/>
              </w:rPr>
              <w:t>Phase 3 — Visualization</w:t>
            </w:r>
          </w:p>
        </w:tc>
        <w:tc>
          <w:tcPr>
            <w:tcW w:type="dxa" w:w="2880"/>
            <w:shd w:val="clear" w:color="auto" w:fill="F2F7FF"/>
          </w:tcPr>
          <w:p>
            <w:r>
              <w:rPr>
                <w:color w:val="595959"/>
                <w:sz w:val="20"/>
              </w:rPr>
              <w:t>Phase 1 or 2 complete</w:t>
            </w:r>
          </w:p>
        </w:tc>
        <w:tc>
          <w:tcPr>
            <w:tcW w:type="dxa" w:w="1872"/>
            <w:shd w:val="clear" w:color="auto" w:fill="F2F7FF"/>
          </w:tcPr>
          <w:p>
            <w:r>
              <w:rPr>
                <w:color w:val="595959"/>
                <w:sz w:val="20"/>
              </w:rPr>
              <w:t>1–2 days</w:t>
            </w:r>
          </w:p>
        </w:tc>
        <w:tc>
          <w:tcPr>
            <w:tcW w:type="dxa" w:w="3024"/>
            <w:shd w:val="clear" w:color="auto" w:fill="F2F7FF"/>
          </w:tcPr>
          <w:p>
            <w:r>
              <w:rPr>
                <w:color w:val="595959"/>
                <w:sz w:val="20"/>
              </w:rPr>
              <w:t>RDKit version compatibility; SVG export quality</w:t>
            </w:r>
          </w:p>
        </w:tc>
      </w:tr>
      <w:tr>
        <w:tc>
          <w:tcPr>
            <w:tcW w:type="dxa" w:w="3168"/>
            <w:shd w:val="clear" w:color="auto" w:fill="FFFFFF"/>
          </w:tcPr>
          <w:p>
            <w:r>
              <w:rPr>
                <w:color w:val="595959"/>
                <w:sz w:val="20"/>
              </w:rPr>
              <w:t>Phase 4 — Quant. Metrics</w:t>
            </w:r>
          </w:p>
        </w:tc>
        <w:tc>
          <w:tcPr>
            <w:tcW w:type="dxa" w:w="2880"/>
            <w:shd w:val="clear" w:color="auto" w:fill="FFFFFF"/>
          </w:tcPr>
          <w:p>
            <w:r>
              <w:rPr>
                <w:color w:val="595959"/>
                <w:sz w:val="20"/>
              </w:rPr>
              <w:t>Phase 1 + 2 complete</w:t>
            </w:r>
          </w:p>
        </w:tc>
        <w:tc>
          <w:tcPr>
            <w:tcW w:type="dxa" w:w="1872"/>
            <w:shd w:val="clear" w:color="auto" w:fill="FFFFFF"/>
          </w:tcPr>
          <w:p>
            <w:r>
              <w:rPr>
                <w:color w:val="595959"/>
                <w:sz w:val="20"/>
              </w:rPr>
              <w:t>2–3 days</w:t>
            </w:r>
          </w:p>
        </w:tc>
        <w:tc>
          <w:tcPr>
            <w:tcW w:type="dxa" w:w="3024"/>
            <w:shd w:val="clear" w:color="auto" w:fill="FFFFFF"/>
          </w:tcPr>
          <w:p>
            <w:r>
              <w:rPr>
                <w:color w:val="595959"/>
                <w:sz w:val="20"/>
              </w:rPr>
              <w:t>Masking experiment is slow (100 pairs × 5 K-values × forward pass)</w:t>
            </w:r>
          </w:p>
        </w:tc>
      </w:tr>
      <w:tr>
        <w:tc>
          <w:tcPr>
            <w:tcW w:type="dxa" w:w="3168"/>
            <w:shd w:val="clear" w:color="auto" w:fill="F2F7FF"/>
          </w:tcPr>
          <w:p>
            <w:r>
              <w:rPr>
                <w:color w:val="595959"/>
                <w:sz w:val="20"/>
              </w:rPr>
              <w:t>Phase 5 — Case Studies</w:t>
            </w:r>
          </w:p>
        </w:tc>
        <w:tc>
          <w:tcPr>
            <w:tcW w:type="dxa" w:w="2880"/>
            <w:shd w:val="clear" w:color="auto" w:fill="F2F7FF"/>
          </w:tcPr>
          <w:p>
            <w:r>
              <w:rPr>
                <w:color w:val="595959"/>
                <w:sz w:val="20"/>
              </w:rPr>
              <w:t>Phase 3 + PDB retrieval</w:t>
            </w:r>
          </w:p>
        </w:tc>
        <w:tc>
          <w:tcPr>
            <w:tcW w:type="dxa" w:w="1872"/>
            <w:shd w:val="clear" w:color="auto" w:fill="F2F7FF"/>
          </w:tcPr>
          <w:p>
            <w:r>
              <w:rPr>
                <w:color w:val="595959"/>
                <w:sz w:val="20"/>
              </w:rPr>
              <w:t>3–4 days</w:t>
            </w:r>
          </w:p>
        </w:tc>
        <w:tc>
          <w:tcPr>
            <w:tcW w:type="dxa" w:w="3024"/>
            <w:shd w:val="clear" w:color="auto" w:fill="F2F7FF"/>
          </w:tcPr>
          <w:p>
            <w:r>
              <w:rPr>
                <w:color w:val="595959"/>
                <w:sz w:val="20"/>
              </w:rPr>
              <w:t>PDB API rate limits; sequence alignment errors</w:t>
            </w:r>
          </w:p>
        </w:tc>
      </w:tr>
      <w:tr>
        <w:tc>
          <w:tcPr>
            <w:tcW w:type="dxa" w:w="3168"/>
            <w:shd w:val="clear" w:color="auto" w:fill="FFFFFF"/>
          </w:tcPr>
          <w:p>
            <w:r>
              <w:rPr>
                <w:color w:val="595959"/>
                <w:sz w:val="20"/>
              </w:rPr>
              <w:t>Phase 6 — Baselines</w:t>
            </w:r>
          </w:p>
        </w:tc>
        <w:tc>
          <w:tcPr>
            <w:tcW w:type="dxa" w:w="2880"/>
            <w:shd w:val="clear" w:color="auto" w:fill="FFFFFF"/>
          </w:tcPr>
          <w:p>
            <w:r>
              <w:rPr>
                <w:color w:val="595959"/>
                <w:sz w:val="20"/>
              </w:rPr>
              <w:t>Phase 1 complete</w:t>
            </w:r>
          </w:p>
        </w:tc>
        <w:tc>
          <w:tcPr>
            <w:tcW w:type="dxa" w:w="1872"/>
            <w:shd w:val="clear" w:color="auto" w:fill="FFFFFF"/>
          </w:tcPr>
          <w:p>
            <w:r>
              <w:rPr>
                <w:color w:val="595959"/>
                <w:sz w:val="20"/>
              </w:rPr>
              <w:t>1 day</w:t>
            </w:r>
          </w:p>
        </w:tc>
        <w:tc>
          <w:tcPr>
            <w:tcW w:type="dxa" w:w="3024"/>
            <w:shd w:val="clear" w:color="auto" w:fill="FFFFFF"/>
          </w:tcPr>
          <w:p>
            <w:r>
              <w:rPr>
                <w:color w:val="595959"/>
                <w:sz w:val="20"/>
              </w:rPr>
              <w:t>Input gradient baseline may have very different scale</w:t>
            </w:r>
          </w:p>
        </w:tc>
      </w:tr>
      <w:tr>
        <w:tc>
          <w:tcPr>
            <w:tcW w:type="dxa" w:w="3168"/>
            <w:shd w:val="clear" w:color="auto" w:fill="F2F7FF"/>
          </w:tcPr>
          <w:p>
            <w:r>
              <w:rPr>
                <w:color w:val="595959"/>
                <w:sz w:val="20"/>
              </w:rPr>
              <w:t>Phase 7 — Reporting</w:t>
            </w:r>
          </w:p>
        </w:tc>
        <w:tc>
          <w:tcPr>
            <w:tcW w:type="dxa" w:w="2880"/>
            <w:shd w:val="clear" w:color="auto" w:fill="F2F7FF"/>
          </w:tcPr>
          <w:p>
            <w:r>
              <w:rPr>
                <w:color w:val="595959"/>
                <w:sz w:val="20"/>
              </w:rPr>
              <w:t>Phases 3–6 complete</w:t>
            </w:r>
          </w:p>
        </w:tc>
        <w:tc>
          <w:tcPr>
            <w:tcW w:type="dxa" w:w="1872"/>
            <w:shd w:val="clear" w:color="auto" w:fill="F2F7FF"/>
          </w:tcPr>
          <w:p>
            <w:r>
              <w:rPr>
                <w:color w:val="595959"/>
                <w:sz w:val="20"/>
              </w:rPr>
              <w:t>2–3 days</w:t>
            </w:r>
          </w:p>
        </w:tc>
        <w:tc>
          <w:tcPr>
            <w:tcW w:type="dxa" w:w="3024"/>
            <w:shd w:val="clear" w:color="auto" w:fill="F2F7FF"/>
          </w:tcPr>
          <w:p>
            <w:r>
              <w:rPr>
                <w:color w:val="595959"/>
                <w:sz w:val="20"/>
              </w:rPr>
              <w:t>Figure quality for publication (DPI, font sizes)</w:t>
            </w:r>
          </w:p>
        </w:tc>
      </w:tr>
    </w:tbl>
    <w:p/>
    <w:p>
      <w:pPr>
        <w:spacing w:before="120" w:after="120"/>
        <w:ind w:left="567"/>
        <w:pBdr>
          <w:left w:val="single" w:sz="12" w:space="6" w:color="C55A11"/>
        </w:pBdr>
      </w:pPr>
      <w:r>
        <w:rPr>
          <w:i/>
          <w:color w:val="595959"/>
          <w:sz w:val="21"/>
        </w:rPr>
        <w:t>Critical path: Phase 1 → Phase 2 → Phase 4 → Phase 5 → Phase 7. Total estimated duration: 11–17 working days assuming GPU access for forward passes.</w:t>
      </w:r>
    </w:p>
    <w:p>
      <w:pPr>
        <w:spacing w:before="240" w:after="40"/>
      </w:pPr>
      <w:r>
        <w:rPr>
          <w:b/>
          <w:color w:val="007078"/>
          <w:sz w:val="26"/>
        </w:rPr>
        <w:t>Dependencies and Tools</w:t>
      </w:r>
    </w:p>
    <w:tbl>
      <w:tblPr>
        <w:tblStyle w:val="TableGrid"/>
        <w:tblW w:type="auto" w:w="0"/>
        <w:tblLook w:firstColumn="1" w:firstRow="1" w:lastColumn="0" w:lastRow="0" w:noHBand="0" w:noVBand="1" w:val="04A0"/>
      </w:tblPr>
      <w:tblGrid>
        <w:gridCol w:w="3041"/>
        <w:gridCol w:w="3041"/>
        <w:gridCol w:w="3041"/>
      </w:tblGrid>
      <w:tr>
        <w:tc>
          <w:tcPr>
            <w:tcW w:type="dxa" w:w="2880"/>
            <w:shd w:val="clear" w:color="auto" w:fill="1F497D"/>
          </w:tcPr>
          <w:p>
            <w:r>
              <w:rPr>
                <w:b/>
                <w:color w:val="FFFFFF"/>
                <w:sz w:val="20"/>
              </w:rPr>
              <w:t>Tool / Library</w:t>
            </w:r>
          </w:p>
        </w:tc>
        <w:tc>
          <w:tcPr>
            <w:tcW w:type="dxa" w:w="4320"/>
            <w:shd w:val="clear" w:color="auto" w:fill="1F497D"/>
          </w:tcPr>
          <w:p>
            <w:r>
              <w:rPr>
                <w:b/>
                <w:color w:val="FFFFFF"/>
                <w:sz w:val="20"/>
              </w:rPr>
              <w:t>Purpose</w:t>
            </w:r>
          </w:p>
        </w:tc>
        <w:tc>
          <w:tcPr>
            <w:tcW w:type="dxa" w:w="2304"/>
            <w:shd w:val="clear" w:color="auto" w:fill="1F497D"/>
          </w:tcPr>
          <w:p>
            <w:r>
              <w:rPr>
                <w:b/>
                <w:color w:val="FFFFFF"/>
                <w:sz w:val="20"/>
              </w:rPr>
              <w:t>Already Installed?</w:t>
            </w:r>
          </w:p>
        </w:tc>
      </w:tr>
      <w:tr>
        <w:tc>
          <w:tcPr>
            <w:tcW w:type="dxa" w:w="2880"/>
            <w:shd w:val="clear" w:color="auto" w:fill="F2F7FF"/>
          </w:tcPr>
          <w:p>
            <w:r>
              <w:rPr>
                <w:color w:val="595959"/>
                <w:sz w:val="20"/>
              </w:rPr>
              <w:t>torch.autograd</w:t>
            </w:r>
          </w:p>
        </w:tc>
        <w:tc>
          <w:tcPr>
            <w:tcW w:type="dxa" w:w="4320"/>
            <w:shd w:val="clear" w:color="auto" w:fill="F2F7FF"/>
          </w:tcPr>
          <w:p>
            <w:r>
              <w:rPr>
                <w:color w:val="595959"/>
                <w:sz w:val="20"/>
              </w:rPr>
              <w:t>Gradient computation for Grad-CAM</w:t>
            </w:r>
          </w:p>
        </w:tc>
        <w:tc>
          <w:tcPr>
            <w:tcW w:type="dxa" w:w="2304"/>
            <w:shd w:val="clear" w:color="auto" w:fill="F2F7FF"/>
          </w:tcPr>
          <w:p>
            <w:r>
              <w:rPr>
                <w:color w:val="595959"/>
                <w:sz w:val="20"/>
              </w:rPr>
              <w:t>Yes (PyTorch)</w:t>
            </w:r>
          </w:p>
        </w:tc>
      </w:tr>
      <w:tr>
        <w:tc>
          <w:tcPr>
            <w:tcW w:type="dxa" w:w="2880"/>
            <w:shd w:val="clear" w:color="auto" w:fill="FFFFFF"/>
          </w:tcPr>
          <w:p>
            <w:r>
              <w:rPr>
                <w:color w:val="595959"/>
                <w:sz w:val="20"/>
              </w:rPr>
              <w:t>rdkit.Chem.Draw</w:t>
            </w:r>
          </w:p>
        </w:tc>
        <w:tc>
          <w:tcPr>
            <w:tcW w:type="dxa" w:w="4320"/>
            <w:shd w:val="clear" w:color="auto" w:fill="FFFFFF"/>
          </w:tcPr>
          <w:p>
            <w:r>
              <w:rPr>
                <w:color w:val="595959"/>
                <w:sz w:val="20"/>
              </w:rPr>
              <w:t>2D molecular visualization with atom colors</w:t>
            </w:r>
          </w:p>
        </w:tc>
        <w:tc>
          <w:tcPr>
            <w:tcW w:type="dxa" w:w="2304"/>
            <w:shd w:val="clear" w:color="auto" w:fill="FFFFFF"/>
          </w:tcPr>
          <w:p>
            <w:r>
              <w:rPr>
                <w:color w:val="595959"/>
                <w:sz w:val="20"/>
              </w:rPr>
              <w:t>Yes (RDKit)</w:t>
            </w:r>
          </w:p>
        </w:tc>
      </w:tr>
      <w:tr>
        <w:tc>
          <w:tcPr>
            <w:tcW w:type="dxa" w:w="2880"/>
            <w:shd w:val="clear" w:color="auto" w:fill="F2F7FF"/>
          </w:tcPr>
          <w:p>
            <w:r>
              <w:rPr>
                <w:color w:val="595959"/>
                <w:sz w:val="20"/>
              </w:rPr>
              <w:t>seaborn / matplotlib</w:t>
            </w:r>
          </w:p>
        </w:tc>
        <w:tc>
          <w:tcPr>
            <w:tcW w:type="dxa" w:w="4320"/>
            <w:shd w:val="clear" w:color="auto" w:fill="F2F7FF"/>
          </w:tcPr>
          <w:p>
            <w:r>
              <w:rPr>
                <w:color w:val="595959"/>
                <w:sz w:val="20"/>
              </w:rPr>
              <w:t>Sequence heatmaps and cross-attention matrix</w:t>
            </w:r>
          </w:p>
        </w:tc>
        <w:tc>
          <w:tcPr>
            <w:tcW w:type="dxa" w:w="2304"/>
            <w:shd w:val="clear" w:color="auto" w:fill="F2F7FF"/>
          </w:tcPr>
          <w:p>
            <w:r>
              <w:rPr>
                <w:color w:val="595959"/>
                <w:sz w:val="20"/>
              </w:rPr>
              <w:t>Yes</w:t>
            </w:r>
          </w:p>
        </w:tc>
      </w:tr>
      <w:tr>
        <w:tc>
          <w:tcPr>
            <w:tcW w:type="dxa" w:w="2880"/>
            <w:shd w:val="clear" w:color="auto" w:fill="FFFFFF"/>
          </w:tcPr>
          <w:p>
            <w:r>
              <w:rPr>
                <w:color w:val="595959"/>
                <w:sz w:val="20"/>
              </w:rPr>
              <w:t>Bio.PDB (Biopython)</w:t>
            </w:r>
          </w:p>
        </w:tc>
        <w:tc>
          <w:tcPr>
            <w:tcW w:type="dxa" w:w="4320"/>
            <w:shd w:val="clear" w:color="auto" w:fill="FFFFFF"/>
          </w:tcPr>
          <w:p>
            <w:r>
              <w:rPr>
                <w:color w:val="595959"/>
                <w:sz w:val="20"/>
              </w:rPr>
              <w:t>PDB structure parsing and binding site extraction</w:t>
            </w:r>
          </w:p>
        </w:tc>
        <w:tc>
          <w:tcPr>
            <w:tcW w:type="dxa" w:w="2304"/>
            <w:shd w:val="clear" w:color="auto" w:fill="FFFFFF"/>
          </w:tcPr>
          <w:p>
            <w:r>
              <w:rPr>
                <w:color w:val="595959"/>
                <w:sz w:val="20"/>
              </w:rPr>
              <w:t>Check: pip install biopython</w:t>
            </w:r>
          </w:p>
        </w:tc>
      </w:tr>
      <w:tr>
        <w:tc>
          <w:tcPr>
            <w:tcW w:type="dxa" w:w="2880"/>
            <w:shd w:val="clear" w:color="auto" w:fill="F2F7FF"/>
          </w:tcPr>
          <w:p>
            <w:r>
              <w:rPr>
                <w:color w:val="595959"/>
                <w:sz w:val="20"/>
              </w:rPr>
              <w:t>requests / PDB REST</w:t>
            </w:r>
          </w:p>
        </w:tc>
        <w:tc>
          <w:tcPr>
            <w:tcW w:type="dxa" w:w="4320"/>
            <w:shd w:val="clear" w:color="auto" w:fill="F2F7FF"/>
          </w:tcPr>
          <w:p>
            <w:r>
              <w:rPr>
                <w:color w:val="595959"/>
                <w:sz w:val="20"/>
              </w:rPr>
              <w:t>PDB structure and annotation retrieval</w:t>
            </w:r>
          </w:p>
        </w:tc>
        <w:tc>
          <w:tcPr>
            <w:tcW w:type="dxa" w:w="2304"/>
            <w:shd w:val="clear" w:color="auto" w:fill="F2F7FF"/>
          </w:tcPr>
          <w:p>
            <w:r>
              <w:rPr>
                <w:color w:val="595959"/>
                <w:sz w:val="20"/>
              </w:rPr>
              <w:t>Check: pip install requests</w:t>
            </w:r>
          </w:p>
        </w:tc>
      </w:tr>
      <w:tr>
        <w:tc>
          <w:tcPr>
            <w:tcW w:type="dxa" w:w="2880"/>
            <w:shd w:val="clear" w:color="auto" w:fill="FFFFFF"/>
          </w:tcPr>
          <w:p>
            <w:r>
              <w:rPr>
                <w:color w:val="595959"/>
                <w:sz w:val="20"/>
              </w:rPr>
              <w:t>scipy.stats</w:t>
            </w:r>
          </w:p>
        </w:tc>
        <w:tc>
          <w:tcPr>
            <w:tcW w:type="dxa" w:w="4320"/>
            <w:shd w:val="clear" w:color="auto" w:fill="FFFFFF"/>
          </w:tcPr>
          <w:p>
            <w:r>
              <w:rPr>
                <w:color w:val="595959"/>
                <w:sz w:val="20"/>
              </w:rPr>
              <w:t>Spearman correlation, paired t-tests</w:t>
            </w:r>
          </w:p>
        </w:tc>
        <w:tc>
          <w:tcPr>
            <w:tcW w:type="dxa" w:w="2304"/>
            <w:shd w:val="clear" w:color="auto" w:fill="FFFFFF"/>
          </w:tcPr>
          <w:p>
            <w:r>
              <w:rPr>
                <w:color w:val="595959"/>
                <w:sz w:val="20"/>
              </w:rPr>
              <w:t>Yes (scipy)</w:t>
            </w:r>
          </w:p>
        </w:tc>
      </w:tr>
    </w:tbl>
    <w:p/>
    <w:p>
      <w:r>
        <w:br w:type="page"/>
      </w:r>
    </w:p>
    <w:p>
      <w:pPr>
        <w:spacing w:before="360" w:after="80"/>
        <w:pBdr>
          <w:bottom w:val="single" w:sz="6" w:space="1" w:color="1F497D"/>
        </w:pBdr>
      </w:pPr>
      <w:r>
        <w:rPr>
          <w:b/>
          <w:color w:val="1F497D"/>
          <w:sz w:val="32"/>
        </w:rPr>
        <w:t>Expected Outcomes and Success Criteria</w:t>
      </w:r>
    </w:p>
    <w:p>
      <w:pPr>
        <w:spacing w:before="40" w:after="80"/>
      </w:pPr>
      <w:r>
        <w:rPr>
          <w:color w:val="595959"/>
          <w:sz w:val="22"/>
        </w:rPr>
        <w:t>Objective 3 is complete when all three components of the proposal §3.7 are delivered: attribution extraction (§3.7.1), visualization (§3.7.2), and case study validation (§3.7.3).</w:t>
      </w:r>
    </w:p>
    <w:p>
      <w:pPr>
        <w:spacing w:before="240" w:after="40"/>
      </w:pPr>
      <w:r>
        <w:rPr>
          <w:b/>
          <w:color w:val="007078"/>
          <w:sz w:val="26"/>
        </w:rPr>
        <w:t>Minimum Viable Outcome</w:t>
      </w:r>
    </w:p>
    <w:p>
      <w:pPr>
        <w:spacing w:before="20" w:after="20"/>
        <w:ind w:left="454"/>
      </w:pPr>
      <w:r>
        <w:rPr>
          <w:b/>
          <w:color w:val="19762E"/>
          <w:sz w:val="22"/>
        </w:rPr>
        <w:t xml:space="preserve">✓  </w:t>
      </w:r>
      <w:r>
        <w:rPr>
          <w:color w:val="595959"/>
          <w:sz w:val="22"/>
        </w:rPr>
        <w:t>GatedCrossAttention instrumented to return attention weights without degrading prediction performance</w:t>
      </w:r>
    </w:p>
    <w:p>
      <w:pPr>
        <w:spacing w:before="20" w:after="20"/>
        <w:ind w:left="454"/>
      </w:pPr>
      <w:r>
        <w:rPr>
          <w:b/>
          <w:color w:val="19762E"/>
          <w:sz w:val="22"/>
        </w:rPr>
        <w:t xml:space="preserve">✓  </w:t>
      </w:r>
      <w:r>
        <w:rPr>
          <w:color w:val="595959"/>
          <w:sz w:val="22"/>
        </w:rPr>
        <w:t>Per-atom and per-residue importance scores computed for all selected case study pairs</w:t>
      </w:r>
    </w:p>
    <w:p>
      <w:pPr>
        <w:spacing w:before="20" w:after="20"/>
        <w:ind w:left="454"/>
      </w:pPr>
      <w:r>
        <w:rPr>
          <w:b/>
          <w:color w:val="19762E"/>
          <w:sz w:val="22"/>
        </w:rPr>
        <w:t xml:space="preserve">✓  </w:t>
      </w:r>
      <w:r>
        <w:rPr>
          <w:color w:val="595959"/>
          <w:sz w:val="22"/>
        </w:rPr>
        <w:t>At least 3 drug molecule highlight plots and 3 protein sequence heatmaps generated</w:t>
      </w:r>
    </w:p>
    <w:p>
      <w:pPr>
        <w:spacing w:before="20" w:after="20"/>
        <w:ind w:left="454"/>
      </w:pPr>
      <w:r>
        <w:rPr>
          <w:b/>
          <w:color w:val="19762E"/>
          <w:sz w:val="22"/>
        </w:rPr>
        <w:t xml:space="preserve">✓  </w:t>
      </w:r>
      <w:r>
        <w:rPr>
          <w:color w:val="595959"/>
          <w:sz w:val="22"/>
        </w:rPr>
        <w:t>Quantitative faithfulness and consistency metrics computed and reported</w:t>
      </w:r>
    </w:p>
    <w:p>
      <w:pPr>
        <w:spacing w:before="20" w:after="20"/>
        <w:ind w:left="454"/>
      </w:pPr>
      <w:r>
        <w:rPr>
          <w:b/>
          <w:color w:val="19762E"/>
          <w:sz w:val="22"/>
        </w:rPr>
        <w:t xml:space="preserve">✓  </w:t>
      </w:r>
      <w:r>
        <w:rPr>
          <w:color w:val="595959"/>
          <w:sz w:val="22"/>
        </w:rPr>
        <w:t>At least 3 case study pairs validated against PDB binding sites (Precision@25% &gt; 40%)</w:t>
      </w:r>
    </w:p>
    <w:p>
      <w:pPr>
        <w:spacing w:before="20" w:after="20"/>
        <w:ind w:left="454"/>
      </w:pPr>
      <w:r>
        <w:rPr>
          <w:b/>
          <w:color w:val="19762E"/>
          <w:sz w:val="22"/>
        </w:rPr>
        <w:t xml:space="preserve">✓  </w:t>
      </w:r>
      <w:r>
        <w:rPr>
          <w:color w:val="595959"/>
          <w:sz w:val="22"/>
        </w:rPr>
        <w:t>Evaluation report Section 3.11 fully written with all tables and figures</w:t>
      </w:r>
    </w:p>
    <w:p>
      <w:pPr>
        <w:spacing w:before="240" w:after="40"/>
      </w:pPr>
      <w:r>
        <w:rPr>
          <w:b/>
          <w:color w:val="007078"/>
          <w:sz w:val="26"/>
        </w:rPr>
        <w:t>Stretch Goals</w:t>
      </w:r>
    </w:p>
    <w:p>
      <w:pPr>
        <w:spacing w:before="20" w:after="20"/>
        <w:ind w:left="454"/>
      </w:pPr>
      <w:r>
        <w:rPr>
          <w:b/>
          <w:color w:val="C55A11"/>
          <w:sz w:val="22"/>
        </w:rPr>
        <w:t xml:space="preserve">○  </w:t>
      </w:r>
      <w:r>
        <w:rPr>
          <w:color w:val="595959"/>
          <w:sz w:val="22"/>
        </w:rPr>
        <w:t>Extend case studies to DAVIS DTA dataset — map affinity-weighted attention to binding free energy contributions</w:t>
      </w:r>
    </w:p>
    <w:p>
      <w:pPr>
        <w:spacing w:before="20" w:after="20"/>
        <w:ind w:left="454"/>
      </w:pPr>
      <w:r>
        <w:rPr>
          <w:b/>
          <w:color w:val="C55A11"/>
          <w:sz w:val="22"/>
        </w:rPr>
        <w:t xml:space="preserve">○  </w:t>
      </w:r>
      <w:r>
        <w:rPr>
          <w:color w:val="595959"/>
          <w:sz w:val="22"/>
        </w:rPr>
        <w:t>3D protein structure visualization: project residue importance onto PDB RCSB 3D viewer (PyMOL script or NGL Viewer)</w:t>
      </w:r>
    </w:p>
    <w:p>
      <w:pPr>
        <w:spacing w:before="20" w:after="20"/>
        <w:ind w:left="454"/>
      </w:pPr>
      <w:r>
        <w:rPr>
          <w:b/>
          <w:color w:val="C55A11"/>
          <w:sz w:val="22"/>
        </w:rPr>
        <w:t xml:space="preserve">○  </w:t>
      </w:r>
      <w:r>
        <w:rPr>
          <w:color w:val="595959"/>
          <w:sz w:val="22"/>
        </w:rPr>
        <w:t>Interactive HTML report: plotly-based interactive cross-attention matrix + molecule viewer</w:t>
      </w:r>
    </w:p>
    <w:p>
      <w:pPr>
        <w:spacing w:before="20" w:after="20"/>
        <w:ind w:left="454"/>
      </w:pPr>
      <w:r>
        <w:rPr>
          <w:b/>
          <w:color w:val="C55A11"/>
          <w:sz w:val="22"/>
        </w:rPr>
        <w:t xml:space="preserve">○  </w:t>
      </w:r>
      <w:r>
        <w:rPr>
          <w:color w:val="595959"/>
          <w:sz w:val="22"/>
        </w:rPr>
        <w:t>Comparison with NHGNN-DTA (He et al. 2023) and MutualDTA (Yuan et al. 2025) — two published interpretable DTI models</w:t>
      </w:r>
    </w:p>
    <w:p>
      <w:pPr>
        <w:spacing w:before="240" w:after="40"/>
      </w:pPr>
      <w:r>
        <w:rPr>
          <w:b/>
          <w:color w:val="007078"/>
          <w:sz w:val="26"/>
        </w:rPr>
        <w:t>Failure Modes and Contingencies</w:t>
      </w:r>
    </w:p>
    <w:tbl>
      <w:tblPr>
        <w:tblStyle w:val="TableGrid"/>
        <w:tblW w:type="auto" w:w="0"/>
        <w:tblLook w:firstColumn="1" w:firstRow="1" w:lastColumn="0" w:lastRow="0" w:noHBand="0" w:noVBand="1" w:val="04A0"/>
      </w:tblPr>
      <w:tblGrid>
        <w:gridCol w:w="3041"/>
        <w:gridCol w:w="3041"/>
        <w:gridCol w:w="3041"/>
      </w:tblGrid>
      <w:tr>
        <w:tc>
          <w:tcPr>
            <w:tcW w:type="dxa" w:w="3456"/>
            <w:shd w:val="clear" w:color="auto" w:fill="1F497D"/>
          </w:tcPr>
          <w:p>
            <w:r>
              <w:rPr>
                <w:b/>
                <w:color w:val="FFFFFF"/>
                <w:sz w:val="20"/>
              </w:rPr>
              <w:t>Risk</w:t>
            </w:r>
          </w:p>
        </w:tc>
        <w:tc>
          <w:tcPr>
            <w:tcW w:type="dxa" w:w="2016"/>
            <w:shd w:val="clear" w:color="auto" w:fill="1F497D"/>
          </w:tcPr>
          <w:p>
            <w:r>
              <w:rPr>
                <w:b/>
                <w:color w:val="FFFFFF"/>
                <w:sz w:val="20"/>
              </w:rPr>
              <w:t>Likelihood</w:t>
            </w:r>
          </w:p>
        </w:tc>
        <w:tc>
          <w:tcPr>
            <w:tcW w:type="dxa" w:w="4752"/>
            <w:shd w:val="clear" w:color="auto" w:fill="1F497D"/>
          </w:tcPr>
          <w:p>
            <w:r>
              <w:rPr>
                <w:b/>
                <w:color w:val="FFFFFF"/>
                <w:sz w:val="20"/>
              </w:rPr>
              <w:t>Contingency</w:t>
            </w:r>
          </w:p>
        </w:tc>
      </w:tr>
      <w:tr>
        <w:tc>
          <w:tcPr>
            <w:tcW w:type="dxa" w:w="3456"/>
            <w:shd w:val="clear" w:color="auto" w:fill="F2F7FF"/>
          </w:tcPr>
          <w:p>
            <w:r>
              <w:rPr>
                <w:color w:val="595959"/>
                <w:sz w:val="20"/>
              </w:rPr>
              <w:t>Cross-attention is too flat (uniform over residues)</w:t>
            </w:r>
          </w:p>
        </w:tc>
        <w:tc>
          <w:tcPr>
            <w:tcW w:type="dxa" w:w="2016"/>
            <w:shd w:val="clear" w:color="auto" w:fill="F2F7FF"/>
          </w:tcPr>
          <w:p>
            <w:r>
              <w:rPr>
                <w:color w:val="595959"/>
                <w:sz w:val="20"/>
              </w:rPr>
              <w:t>Medium — long proteins dilute attention</w:t>
            </w:r>
          </w:p>
        </w:tc>
        <w:tc>
          <w:tcPr>
            <w:tcW w:type="dxa" w:w="4752"/>
            <w:shd w:val="clear" w:color="auto" w:fill="F2F7FF"/>
          </w:tcPr>
          <w:p>
            <w:r>
              <w:rPr>
                <w:color w:val="595959"/>
                <w:sz w:val="20"/>
              </w:rPr>
              <w:t>Switch to Grad-CAM as primary attribution; report attention as secondary</w:t>
            </w:r>
          </w:p>
        </w:tc>
      </w:tr>
      <w:tr>
        <w:tc>
          <w:tcPr>
            <w:tcW w:type="dxa" w:w="3456"/>
            <w:shd w:val="clear" w:color="auto" w:fill="FFFFFF"/>
          </w:tcPr>
          <w:p>
            <w:r>
              <w:rPr>
                <w:color w:val="595959"/>
                <w:sz w:val="20"/>
              </w:rPr>
              <w:t>PDB structures not available for dataset pairs</w:t>
            </w:r>
          </w:p>
        </w:tc>
        <w:tc>
          <w:tcPr>
            <w:tcW w:type="dxa" w:w="2016"/>
            <w:shd w:val="clear" w:color="auto" w:fill="FFFFFF"/>
          </w:tcPr>
          <w:p>
            <w:r>
              <w:rPr>
                <w:color w:val="595959"/>
                <w:sz w:val="20"/>
              </w:rPr>
              <w:t>Low–Medium — luo_17 is DrugBank-based</w:t>
            </w:r>
          </w:p>
        </w:tc>
        <w:tc>
          <w:tcPr>
            <w:tcW w:type="dxa" w:w="4752"/>
            <w:shd w:val="clear" w:color="auto" w:fill="FFFFFF"/>
          </w:tcPr>
          <w:p>
            <w:r>
              <w:rPr>
                <w:color w:val="595959"/>
                <w:sz w:val="20"/>
              </w:rPr>
              <w:t>Use AlphaFold2 structures + predicted binding pockets from FPocket</w:t>
            </w:r>
          </w:p>
        </w:tc>
      </w:tr>
      <w:tr>
        <w:tc>
          <w:tcPr>
            <w:tcW w:type="dxa" w:w="3456"/>
            <w:shd w:val="clear" w:color="auto" w:fill="F2F7FF"/>
          </w:tcPr>
          <w:p>
            <w:r>
              <w:rPr>
                <w:color w:val="595959"/>
                <w:sz w:val="20"/>
              </w:rPr>
              <w:t>Interpretation metrics low (Precision@25% &lt; 35%)</w:t>
            </w:r>
          </w:p>
        </w:tc>
        <w:tc>
          <w:tcPr>
            <w:tcW w:type="dxa" w:w="2016"/>
            <w:shd w:val="clear" w:color="auto" w:fill="F2F7FF"/>
          </w:tcPr>
          <w:p>
            <w:r>
              <w:rPr>
                <w:color w:val="595959"/>
                <w:sz w:val="20"/>
              </w:rPr>
              <w:t>Low — model has strong AUROC so representations are meaningful</w:t>
            </w:r>
          </w:p>
        </w:tc>
        <w:tc>
          <w:tcPr>
            <w:tcW w:type="dxa" w:w="4752"/>
            <w:shd w:val="clear" w:color="auto" w:fill="F2F7FF"/>
          </w:tcPr>
          <w:p>
            <w:r>
              <w:rPr>
                <w:color w:val="595959"/>
                <w:sz w:val="20"/>
              </w:rPr>
              <w:t>Report negative result transparently; analyse why (attention vs. gradient divergence)</w:t>
            </w:r>
          </w:p>
        </w:tc>
      </w:tr>
      <w:tr>
        <w:tc>
          <w:tcPr>
            <w:tcW w:type="dxa" w:w="3456"/>
            <w:shd w:val="clear" w:color="auto" w:fill="FFFFFF"/>
          </w:tcPr>
          <w:p>
            <w:r>
              <w:rPr>
                <w:color w:val="595959"/>
                <w:sz w:val="20"/>
              </w:rPr>
              <w:t>GPU memory issues with per-sample Grad-CAM</w:t>
            </w:r>
          </w:p>
        </w:tc>
        <w:tc>
          <w:tcPr>
            <w:tcW w:type="dxa" w:w="2016"/>
            <w:shd w:val="clear" w:color="auto" w:fill="FFFFFF"/>
          </w:tcPr>
          <w:p>
            <w:r>
              <w:rPr>
                <w:color w:val="595959"/>
                <w:sz w:val="20"/>
              </w:rPr>
              <w:t>Medium — long protein sequences</w:t>
            </w:r>
          </w:p>
        </w:tc>
        <w:tc>
          <w:tcPr>
            <w:tcW w:type="dxa" w:w="4752"/>
            <w:shd w:val="clear" w:color="auto" w:fill="FFFFFF"/>
          </w:tcPr>
          <w:p>
            <w:r>
              <w:rPr>
                <w:color w:val="595959"/>
                <w:sz w:val="20"/>
              </w:rPr>
              <w:t>Process single samples (batch_size=1), or truncate proteins at 512 residues</w:t>
            </w:r>
          </w:p>
        </w:tc>
      </w:tr>
    </w:tbl>
    <w:p/>
    <w:p>
      <w:r>
        <w:br w:type="page"/>
      </w:r>
    </w:p>
    <w:p>
      <w:pPr>
        <w:spacing w:before="360" w:after="80"/>
        <w:pBdr>
          <w:bottom w:val="single" w:sz="6" w:space="1" w:color="1F497D"/>
        </w:pBdr>
      </w:pPr>
      <w:r>
        <w:rPr>
          <w:b/>
          <w:color w:val="1F497D"/>
          <w:sz w:val="32"/>
        </w:rPr>
        <w:t>Proposed File Structure</w:t>
      </w:r>
    </w:p>
    <w:p>
      <w:pPr>
        <w:spacing w:before="80"/>
        <w:ind w:left="454"/>
      </w:pPr>
      <w:r>
        <w:rPr>
          <w:rFonts w:ascii="Courier New" w:hAnsi="Courier New"/>
          <w:color w:val="1F497D"/>
          <w:sz w:val="18"/>
        </w:rPr>
        <w:t>Modeling-DTI/</w:t>
        <w:br/>
        <w:t>├── interpret/</w:t>
        <w:br/>
        <w:t>│   ├── __init__.py</w:t>
        <w:br/>
        <w:t>│   ├── extract_attention.py      # Phase 1: attention weight extraction</w:t>
        <w:br/>
        <w:t>│   ├── grad_cam.py               # Phase 2: graph Grad-CAM</w:t>
        <w:br/>
        <w:t>│   ├── visualize_drug.py         # Phase 3: atom coloring</w:t>
        <w:br/>
        <w:t>│   ├── visualize_protein.py      # Phase 3: residue heatmap</w:t>
        <w:br/>
        <w:t>│   ├── visualize_cross_attention.py  # Phase 3: interaction matrix</w:t>
        <w:br/>
        <w:t>│   ├── run_visualization.py      # Phase 3: batch pipeline</w:t>
        <w:br/>
        <w:t>│   ├── faithfulness.py           # Phase 4: masking experiment</w:t>
        <w:br/>
        <w:t>│   ├── consistency.py            # Phase 4: cross-seed agreement</w:t>
        <w:br/>
        <w:t>│   ├── pharmacophore_precision.py # Phase 4: specificity</w:t>
        <w:br/>
        <w:t>│   ├── select_case_studies.py    # Phase 5: pair selection</w:t>
        <w:br/>
        <w:t>│   ├── retrieve_pdb.py           # Phase 5: PDB download + binding site</w:t>
        <w:br/>
        <w:t>│   ├── evaluate_case_studies.py  # Phase 5: overlap metrics</w:t>
        <w:br/>
        <w:t>│   └── input_gradient.py         # Phase 6: baseline</w:t>
        <w:br/>
        <w:t>├── paper/</w:t>
        <w:br/>
        <w:t>│   ├── figures/</w:t>
        <w:br/>
        <w:t>│   │   └── interpretability/     # All plots from Phase 3</w:t>
        <w:br/>
        <w:t>│   ├── case_study_results.csv    # Phase 5 output</w:t>
        <w:br/>
        <w:t>│   └── evaluation_report.md      # Section 3.11 added here</w:t>
        <w:br/>
        <w:t>└── model/</w:t>
        <w:br/>
        <w:t xml:space="preserve">    └── fusion.py                 # Modified: return_weights argument</w:t>
      </w:r>
    </w:p>
    <w:p>
      <w:pPr>
        <w:spacing w:before="40" w:after="80"/>
      </w:pPr>
      <w:r>
        <w:rPr>
          <w:color w:val="595959"/>
          <w:sz w:val="22"/>
        </w:rPr>
        <w:t>All scripts under interpret/ are standalone — they import from model/ and data/ but do not modify training code. The model/fusion.py change is backward-compatible (default return_weights=False).</w:t>
      </w:r>
    </w:p>
    <w:p>
      <w:pPr>
        <w:spacing w:before="240" w:after="40"/>
      </w:pPr>
      <w:r>
        <w:rPr>
          <w:b/>
          <w:color w:val="007078"/>
          <w:sz w:val="26"/>
        </w:rPr>
        <w:t>Summary of Objective 3 vs. Proposal Mapping</w:t>
      </w:r>
    </w:p>
    <w:tbl>
      <w:tblPr>
        <w:tblStyle w:val="TableGrid"/>
        <w:tblW w:type="auto" w:w="0"/>
        <w:tblLook w:firstColumn="1" w:firstRow="1" w:lastColumn="0" w:lastRow="0" w:noHBand="0" w:noVBand="1" w:val="04A0"/>
      </w:tblPr>
      <w:tblGrid>
        <w:gridCol w:w="3041"/>
        <w:gridCol w:w="3041"/>
        <w:gridCol w:w="3041"/>
      </w:tblGrid>
      <w:tr>
        <w:tc>
          <w:tcPr>
            <w:tcW w:type="dxa" w:w="3888"/>
            <w:shd w:val="clear" w:color="auto" w:fill="1F497D"/>
          </w:tcPr>
          <w:p>
            <w:r>
              <w:rPr>
                <w:b/>
                <w:color w:val="FFFFFF"/>
                <w:sz w:val="20"/>
              </w:rPr>
              <w:t>Proposal §3.7 Element</w:t>
            </w:r>
          </w:p>
        </w:tc>
        <w:tc>
          <w:tcPr>
            <w:tcW w:type="dxa" w:w="4320"/>
            <w:shd w:val="clear" w:color="auto" w:fill="1F497D"/>
          </w:tcPr>
          <w:p>
            <w:r>
              <w:rPr>
                <w:b/>
                <w:color w:val="FFFFFF"/>
                <w:sz w:val="20"/>
              </w:rPr>
              <w:t>This Plan</w:t>
            </w:r>
          </w:p>
        </w:tc>
        <w:tc>
          <w:tcPr>
            <w:tcW w:type="dxa" w:w="720"/>
            <w:shd w:val="clear" w:color="auto" w:fill="1F497D"/>
          </w:tcPr>
          <w:p>
            <w:r>
              <w:rPr>
                <w:b/>
                <w:color w:val="FFFFFF"/>
                <w:sz w:val="20"/>
              </w:rPr>
              <w:t>Phase</w:t>
            </w:r>
          </w:p>
        </w:tc>
      </w:tr>
      <w:tr>
        <w:tc>
          <w:tcPr>
            <w:tcW w:type="dxa" w:w="3888"/>
            <w:shd w:val="clear" w:color="auto" w:fill="F2F7FF"/>
          </w:tcPr>
          <w:p>
            <w:r>
              <w:rPr>
                <w:color w:val="595959"/>
                <w:sz w:val="20"/>
              </w:rPr>
              <w:t>Attention-Based Attribution — cross-attention weights quantify atom/residue contribution</w:t>
            </w:r>
          </w:p>
        </w:tc>
        <w:tc>
          <w:tcPr>
            <w:tcW w:type="dxa" w:w="4320"/>
            <w:shd w:val="clear" w:color="auto" w:fill="F2F7FF"/>
          </w:tcPr>
          <w:p>
            <w:r>
              <w:rPr>
                <w:color w:val="595959"/>
                <w:sz w:val="20"/>
              </w:rPr>
              <w:t>Phase 1: extract_attention.py — attn_d2p, attn_p2d → importance scores</w:t>
            </w:r>
          </w:p>
        </w:tc>
        <w:tc>
          <w:tcPr>
            <w:tcW w:type="dxa" w:w="720"/>
            <w:shd w:val="clear" w:color="auto" w:fill="F2F7FF"/>
          </w:tcPr>
          <w:p>
            <w:r>
              <w:rPr>
                <w:color w:val="595959"/>
                <w:sz w:val="20"/>
              </w:rPr>
              <w:t>1</w:t>
            </w:r>
          </w:p>
        </w:tc>
      </w:tr>
      <w:tr>
        <w:tc>
          <w:tcPr>
            <w:tcW w:type="dxa" w:w="3888"/>
            <w:shd w:val="clear" w:color="auto" w:fill="FFFFFF"/>
          </w:tcPr>
          <w:p>
            <w:r>
              <w:rPr>
                <w:color w:val="595959"/>
                <w:sz w:val="20"/>
              </w:rPr>
              <w:t>Graph-based Grad-CAM for molecular substructures</w:t>
            </w:r>
          </w:p>
        </w:tc>
        <w:tc>
          <w:tcPr>
            <w:tcW w:type="dxa" w:w="4320"/>
            <w:shd w:val="clear" w:color="auto" w:fill="FFFFFF"/>
          </w:tcPr>
          <w:p>
            <w:r>
              <w:rPr>
                <w:color w:val="595959"/>
                <w:sz w:val="20"/>
              </w:rPr>
              <w:t>Phase 2: grad_cam.py — GAT layer hooks + gradient × activation</w:t>
            </w:r>
          </w:p>
        </w:tc>
        <w:tc>
          <w:tcPr>
            <w:tcW w:type="dxa" w:w="720"/>
            <w:shd w:val="clear" w:color="auto" w:fill="FFFFFF"/>
          </w:tcPr>
          <w:p>
            <w:r>
              <w:rPr>
                <w:color w:val="595959"/>
                <w:sz w:val="20"/>
              </w:rPr>
              <w:t>2</w:t>
            </w:r>
          </w:p>
        </w:tc>
      </w:tr>
      <w:tr>
        <w:tc>
          <w:tcPr>
            <w:tcW w:type="dxa" w:w="3888"/>
            <w:shd w:val="clear" w:color="auto" w:fill="F2F7FF"/>
          </w:tcPr>
          <w:p>
            <w:r>
              <w:rPr>
                <w:color w:val="595959"/>
                <w:sz w:val="20"/>
              </w:rPr>
              <w:t>Heatmaps and saliency maps overlaid on molecular graphs / protein sequences</w:t>
            </w:r>
          </w:p>
        </w:tc>
        <w:tc>
          <w:tcPr>
            <w:tcW w:type="dxa" w:w="4320"/>
            <w:shd w:val="clear" w:color="auto" w:fill="F2F7FF"/>
          </w:tcPr>
          <w:p>
            <w:r>
              <w:rPr>
                <w:color w:val="595959"/>
                <w:sz w:val="20"/>
              </w:rPr>
              <w:t>Phase 3: visualize_drug.py, visualize_protein.py, visualize_cross_attention.py</w:t>
            </w:r>
          </w:p>
        </w:tc>
        <w:tc>
          <w:tcPr>
            <w:tcW w:type="dxa" w:w="720"/>
            <w:shd w:val="clear" w:color="auto" w:fill="F2F7FF"/>
          </w:tcPr>
          <w:p>
            <w:r>
              <w:rPr>
                <w:color w:val="595959"/>
                <w:sz w:val="20"/>
              </w:rPr>
              <w:t>3</w:t>
            </w:r>
          </w:p>
        </w:tc>
      </w:tr>
      <w:tr>
        <w:tc>
          <w:tcPr>
            <w:tcW w:type="dxa" w:w="3888"/>
            <w:shd w:val="clear" w:color="auto" w:fill="FFFFFF"/>
          </w:tcPr>
          <w:p>
            <w:r>
              <w:rPr>
                <w:color w:val="595959"/>
                <w:sz w:val="20"/>
              </w:rPr>
              <w:t>Quantitative attribution metrics (faithfulness, consistency, specificity)</w:t>
            </w:r>
          </w:p>
        </w:tc>
        <w:tc>
          <w:tcPr>
            <w:tcW w:type="dxa" w:w="4320"/>
            <w:shd w:val="clear" w:color="auto" w:fill="FFFFFF"/>
          </w:tcPr>
          <w:p>
            <w:r>
              <w:rPr>
                <w:color w:val="595959"/>
                <w:sz w:val="20"/>
              </w:rPr>
              <w:t>Phase 4: faithfulness.py, consistency.py, pharmacophore_precision.py</w:t>
            </w:r>
          </w:p>
        </w:tc>
        <w:tc>
          <w:tcPr>
            <w:tcW w:type="dxa" w:w="720"/>
            <w:shd w:val="clear" w:color="auto" w:fill="FFFFFF"/>
          </w:tcPr>
          <w:p>
            <w:r>
              <w:rPr>
                <w:color w:val="595959"/>
                <w:sz w:val="20"/>
              </w:rPr>
              <w:t>4</w:t>
            </w:r>
          </w:p>
        </w:tc>
      </w:tr>
      <w:tr>
        <w:tc>
          <w:tcPr>
            <w:tcW w:type="dxa" w:w="3888"/>
            <w:shd w:val="clear" w:color="auto" w:fill="F2F7FF"/>
          </w:tcPr>
          <w:p>
            <w:r>
              <w:rPr>
                <w:color w:val="595959"/>
                <w:sz w:val="20"/>
              </w:rPr>
              <w:t>Case study validation against PDB crystal structures</w:t>
            </w:r>
          </w:p>
        </w:tc>
        <w:tc>
          <w:tcPr>
            <w:tcW w:type="dxa" w:w="4320"/>
            <w:shd w:val="clear" w:color="auto" w:fill="F2F7FF"/>
          </w:tcPr>
          <w:p>
            <w:r>
              <w:rPr>
                <w:color w:val="595959"/>
                <w:sz w:val="20"/>
              </w:rPr>
              <w:t>Phase 5: select_case_studies.py → retrieve_pdb.py → evaluate_case_studies.py</w:t>
            </w:r>
          </w:p>
        </w:tc>
        <w:tc>
          <w:tcPr>
            <w:tcW w:type="dxa" w:w="720"/>
            <w:shd w:val="clear" w:color="auto" w:fill="F2F7FF"/>
          </w:tcPr>
          <w:p>
            <w:r>
              <w:rPr>
                <w:color w:val="595959"/>
                <w:sz w:val="20"/>
              </w:rPr>
              <w:t>5</w:t>
            </w:r>
          </w:p>
        </w:tc>
      </w:tr>
      <w:tr>
        <w:tc>
          <w:tcPr>
            <w:tcW w:type="dxa" w:w="3888"/>
            <w:shd w:val="clear" w:color="auto" w:fill="FFFFFF"/>
          </w:tcPr>
          <w:p>
            <w:r>
              <w:rPr>
                <w:color w:val="595959"/>
                <w:sz w:val="20"/>
              </w:rPr>
              <w:t>Baseline comparison to establish attribution quality</w:t>
            </w:r>
          </w:p>
        </w:tc>
        <w:tc>
          <w:tcPr>
            <w:tcW w:type="dxa" w:w="4320"/>
            <w:shd w:val="clear" w:color="auto" w:fill="FFFFFF"/>
          </w:tcPr>
          <w:p>
            <w:r>
              <w:rPr>
                <w:color w:val="595959"/>
                <w:sz w:val="20"/>
              </w:rPr>
              <w:t>Phase 6: input_gradient.py vs. attention vs. Grad-CAM</w:t>
            </w:r>
          </w:p>
        </w:tc>
        <w:tc>
          <w:tcPr>
            <w:tcW w:type="dxa" w:w="720"/>
            <w:shd w:val="clear" w:color="auto" w:fill="FFFFFF"/>
          </w:tcPr>
          <w:p>
            <w:r>
              <w:rPr>
                <w:color w:val="595959"/>
                <w:sz w:val="20"/>
              </w:rPr>
              <w:t>6</w:t>
            </w:r>
          </w:p>
        </w:tc>
      </w:tr>
      <w:tr>
        <w:tc>
          <w:tcPr>
            <w:tcW w:type="dxa" w:w="3888"/>
            <w:shd w:val="clear" w:color="auto" w:fill="F2F7FF"/>
          </w:tcPr>
          <w:p>
            <w:r>
              <w:rPr>
                <w:color w:val="595959"/>
                <w:sz w:val="20"/>
              </w:rPr>
              <w:t>Paper section on interpretability findings</w:t>
            </w:r>
          </w:p>
        </w:tc>
        <w:tc>
          <w:tcPr>
            <w:tcW w:type="dxa" w:w="4320"/>
            <w:shd w:val="clear" w:color="auto" w:fill="F2F7FF"/>
          </w:tcPr>
          <w:p>
            <w:r>
              <w:rPr>
                <w:color w:val="595959"/>
                <w:sz w:val="20"/>
              </w:rPr>
              <w:t>Phase 7: evaluation_report.md Section 3.11 + figures</w:t>
            </w:r>
          </w:p>
        </w:tc>
        <w:tc>
          <w:tcPr>
            <w:tcW w:type="dxa" w:w="720"/>
            <w:shd w:val="clear" w:color="auto" w:fill="F2F7FF"/>
          </w:tcPr>
          <w:p>
            <w:r>
              <w:rPr>
                <w:color w:val="595959"/>
                <w:sz w:val="20"/>
              </w:rPr>
              <w:t>7</w:t>
            </w:r>
          </w:p>
        </w:tc>
      </w:tr>
    </w:tbl>
    <w:p/>
    <w:p>
      <w:pPr>
        <w:spacing w:before="120" w:after="120"/>
        <w:ind w:left="567"/>
        <w:pBdr>
          <w:left w:val="single" w:sz="12" w:space="6" w:color="19762E"/>
        </w:pBdr>
      </w:pPr>
      <w:r>
        <w:rPr>
          <w:i/>
          <w:color w:val="595959"/>
          <w:sz w:val="21"/>
        </w:rPr>
        <w:t>Objective 3 is the final research objective. On completion, all three research questions (RQ1: fusion architecture, RQ2: cold-start representation, RQ3: interpretability) will have been fully addressed and reported.</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