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color w:val="1F497D"/>
          <w:sz w:val="44"/>
        </w:rPr>
        <w:t>Objective 1 — Full Research Walkthrough</w:t>
      </w:r>
    </w:p>
    <w:p>
      <w:pPr>
        <w:jc w:val="center"/>
      </w:pPr>
      <w:r>
        <w:rPr>
          <w:color w:val="007078"/>
          <w:sz w:val="28"/>
        </w:rPr>
        <w:t>H-GNN-RNN-DTI: Drug–Target Interaction and Affinity Prediction</w:t>
      </w:r>
    </w:p>
    <w:p/>
    <w:p>
      <w:pPr>
        <w:jc w:val="center"/>
      </w:pPr>
      <w:r>
        <w:rPr>
          <w:color w:val="595959"/>
          <w:sz w:val="22"/>
        </w:rPr>
        <w:t>Universiti Sains Malaysia  |  School of Computer Sciences</w:t>
        <w:br/>
        <w:t>Supervisor: Assoc. Prof. Dr. Nurul Hashimah</w:t>
        <w:br/>
        <w:t>Prepared: July 2026</w:t>
      </w:r>
    </w:p>
    <w:p>
      <w:r>
        <w:br w:type="page"/>
      </w:r>
    </w:p>
    <w:p>
      <w:pPr>
        <w:spacing w:before="360" w:after="80"/>
        <w:pBdr>
          <w:bottom w:val="single" w:sz="6" w:space="1" w:color="1F497D"/>
        </w:pBdr>
      </w:pPr>
      <w:r>
        <w:rPr>
          <w:b/>
          <w:color w:val="1F497D"/>
          <w:sz w:val="32"/>
        </w:rPr>
        <w:t>Document Overview</w:t>
      </w:r>
    </w:p>
    <w:p>
      <w:pPr>
        <w:spacing w:before="40" w:after="80"/>
      </w:pPr>
      <w:r>
        <w:rPr>
          <w:color w:val="595959"/>
          <w:sz w:val="22"/>
        </w:rPr>
        <w:t>This document is a complete, plain-English walkthrough of everything that was done for Objective 1 of the H-GNN-RNN-DTI research project. It explains what was built, why each decision was made, what the results look like, what was not finished, and how the work can be improved in the future.</w:t>
      </w:r>
    </w:p>
    <w:p>
      <w:pPr>
        <w:spacing w:before="40" w:after="80"/>
      </w:pPr>
      <w:r>
        <w:rPr>
          <w:color w:val="595959"/>
          <w:sz w:val="22"/>
        </w:rPr>
        <w:t>The document follows the five-phase plan from the Objective 1 Analysis Plan. Each section covers one phase, describes what actually happened during that phase, and gives the reasoning behind the choices made.</w:t>
      </w:r>
    </w:p>
    <w:p>
      <w:pPr>
        <w:spacing w:before="120" w:after="120"/>
        <w:ind w:left="567"/>
        <w:pBdr>
          <w:left w:val="single" w:sz="12" w:space="6" w:color="007078"/>
        </w:pBdr>
      </w:pPr>
      <w:r>
        <w:rPr>
          <w:i/>
          <w:color w:val="595959"/>
          <w:sz w:val="21"/>
        </w:rPr>
        <w:t>How to read this document:  ✓ marks mean the task is completed.  ○ marks mean the task was planned but not yet finished.</w:t>
      </w:r>
    </w:p>
    <w:p>
      <w:pPr>
        <w:spacing w:before="360" w:after="80"/>
        <w:pBdr>
          <w:bottom w:val="single" w:sz="6" w:space="1" w:color="1F497D"/>
        </w:pBdr>
      </w:pPr>
      <w:r>
        <w:rPr>
          <w:b/>
          <w:color w:val="1F497D"/>
          <w:sz w:val="32"/>
        </w:rPr>
        <w:t>1.  What is Objective 1?</w:t>
      </w:r>
    </w:p>
    <w:p>
      <w:pPr>
        <w:spacing w:before="40" w:after="80"/>
      </w:pPr>
      <w:r>
        <w:rPr>
          <w:color w:val="595959"/>
          <w:sz w:val="22"/>
        </w:rPr>
        <w:t>The goal of Objective 1 is to answer one question: does adding a Gated Cross-Attention layer to a drug–protein prediction model make it meaningfully better?</w:t>
      </w:r>
    </w:p>
    <w:p>
      <w:pPr>
        <w:spacing w:before="40" w:after="80"/>
      </w:pPr>
      <w:r>
        <w:rPr>
          <w:color w:val="595959"/>
          <w:sz w:val="22"/>
        </w:rPr>
        <w:t>To answer this, we built a full deep learning pipeline — from downloading raw data all the way to evaluating a trained model against published baselines. The main model is called H-GNN-RNN-DTI. It reads a drug's molecular structure through a Graph Neural Network (GNN) and reads a protein's amino acid sequence through a Recurrent Neural Network (RNN). Then it combines what it learned from both using a Gated Cross-Attention mechanism — a smart mixing layer that lets the drug representation and the protein representation influence each other before a final prediction is made.</w:t>
      </w:r>
    </w:p>
    <w:p>
      <w:pPr>
        <w:spacing w:before="40" w:after="80"/>
      </w:pPr>
      <w:r>
        <w:rPr>
          <w:color w:val="595959"/>
          <w:sz w:val="22"/>
        </w:rPr>
        <w:t>To prove the cross-attention layer is useful, we compared the full model against simpler versions: one where the drug and protein representations are just joined together without any intelligent mixing, one that uses only the drug encoder, and one that uses only the protein encoder. We also compared against two published baseline models from the literature.</w:t>
      </w:r>
    </w:p>
    <w:p>
      <w:pPr>
        <w:spacing w:before="120" w:after="120"/>
        <w:ind w:left="567"/>
        <w:pBdr>
          <w:left w:val="single" w:sz="12" w:space="6" w:color="007078"/>
        </w:pBdr>
      </w:pPr>
      <w:r>
        <w:rPr>
          <w:i/>
          <w:color w:val="595959"/>
          <w:sz w:val="21"/>
        </w:rPr>
        <w:t>In short: Objective 1 is about building the model, testing it rigorously, and proving with statistical evidence that the cross-attention mechanism adds real value.</w:t>
      </w:r>
    </w:p>
    <w:p>
      <w:pPr>
        <w:spacing w:before="360" w:after="80"/>
        <w:pBdr>
          <w:bottom w:val="single" w:sz="6" w:space="1" w:color="1F497D"/>
        </w:pBdr>
      </w:pPr>
      <w:r>
        <w:rPr>
          <w:b/>
          <w:color w:val="1F497D"/>
          <w:sz w:val="32"/>
        </w:rPr>
        <w:t>2.  Phase 1 — Data Gathering</w:t>
      </w:r>
    </w:p>
    <w:p>
      <w:pPr>
        <w:spacing w:before="40" w:after="80"/>
      </w:pPr>
      <w:r>
        <w:rPr>
          <w:color w:val="595959"/>
          <w:sz w:val="22"/>
        </w:rPr>
        <w:t>Before training any model, we need datasets: collections of known drug–protein pairs with labels telling us either whether they interact (yes/no) or how strongly they bind (a number). Four main datasets were collected for Objective 1.</w:t>
      </w:r>
    </w:p>
    <w:p>
      <w:pPr>
        <w:spacing w:before="240" w:after="40"/>
      </w:pPr>
      <w:r>
        <w:rPr>
          <w:b/>
          <w:color w:val="007078"/>
          <w:sz w:val="26"/>
        </w:rPr>
        <w:t>2.1  Datasets Collected</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1584"/>
            <w:shd w:val="clear" w:color="auto" w:fill="1F497D"/>
          </w:tcPr>
          <w:p>
            <w:r>
              <w:rPr>
                <w:b/>
                <w:color w:val="FFFFFF"/>
                <w:sz w:val="20"/>
              </w:rPr>
              <w:t>Dataset</w:t>
            </w:r>
          </w:p>
        </w:tc>
        <w:tc>
          <w:tcPr>
            <w:tcW w:type="dxa" w:w="2016"/>
            <w:shd w:val="clear" w:color="auto" w:fill="1F497D"/>
          </w:tcPr>
          <w:p>
            <w:r>
              <w:rPr>
                <w:b/>
                <w:color w:val="FFFFFF"/>
                <w:sz w:val="20"/>
              </w:rPr>
              <w:t>Task</w:t>
            </w:r>
          </w:p>
        </w:tc>
        <w:tc>
          <w:tcPr>
            <w:tcW w:type="dxa" w:w="1008"/>
            <w:shd w:val="clear" w:color="auto" w:fill="1F497D"/>
          </w:tcPr>
          <w:p>
            <w:r>
              <w:rPr>
                <w:b/>
                <w:color w:val="FFFFFF"/>
                <w:sz w:val="20"/>
              </w:rPr>
              <w:t>Drugs</w:t>
            </w:r>
          </w:p>
        </w:tc>
        <w:tc>
          <w:tcPr>
            <w:tcW w:type="dxa" w:w="1152"/>
            <w:shd w:val="clear" w:color="auto" w:fill="1F497D"/>
          </w:tcPr>
          <w:p>
            <w:r>
              <w:rPr>
                <w:b/>
                <w:color w:val="FFFFFF"/>
                <w:sz w:val="20"/>
              </w:rPr>
              <w:t>Proteins</w:t>
            </w:r>
          </w:p>
        </w:tc>
        <w:tc>
          <w:tcPr>
            <w:tcW w:type="dxa" w:w="1296"/>
            <w:shd w:val="clear" w:color="auto" w:fill="1F497D"/>
          </w:tcPr>
          <w:p>
            <w:r>
              <w:rPr>
                <w:b/>
                <w:color w:val="FFFFFF"/>
                <w:sz w:val="20"/>
              </w:rPr>
              <w:t>Pairs</w:t>
            </w:r>
          </w:p>
        </w:tc>
        <w:tc>
          <w:tcPr>
            <w:tcW w:type="dxa" w:w="2592"/>
            <w:shd w:val="clear" w:color="auto" w:fill="1F497D"/>
          </w:tcPr>
          <w:p>
            <w:r>
              <w:rPr>
                <w:b/>
                <w:color w:val="FFFFFF"/>
                <w:sz w:val="20"/>
              </w:rPr>
              <w:t>Status</w:t>
            </w:r>
          </w:p>
        </w:tc>
      </w:tr>
      <w:tr>
        <w:tc>
          <w:tcPr>
            <w:tcW w:type="dxa" w:w="1584"/>
            <w:shd w:val="clear" w:color="auto" w:fill="F2F7FF"/>
          </w:tcPr>
          <w:p>
            <w:r>
              <w:rPr>
                <w:color w:val="595959"/>
                <w:sz w:val="20"/>
              </w:rPr>
              <w:t>Davis</w:t>
            </w:r>
          </w:p>
        </w:tc>
        <w:tc>
          <w:tcPr>
            <w:tcW w:type="dxa" w:w="2016"/>
            <w:shd w:val="clear" w:color="auto" w:fill="F2F7FF"/>
          </w:tcPr>
          <w:p>
            <w:r>
              <w:rPr>
                <w:color w:val="595959"/>
                <w:sz w:val="20"/>
              </w:rPr>
              <w:t>Affinity (DTA)</w:t>
            </w:r>
          </w:p>
        </w:tc>
        <w:tc>
          <w:tcPr>
            <w:tcW w:type="dxa" w:w="1008"/>
            <w:shd w:val="clear" w:color="auto" w:fill="F2F7FF"/>
          </w:tcPr>
          <w:p>
            <w:r>
              <w:rPr>
                <w:color w:val="595959"/>
                <w:sz w:val="20"/>
              </w:rPr>
              <w:t>68</w:t>
            </w:r>
          </w:p>
        </w:tc>
        <w:tc>
          <w:tcPr>
            <w:tcW w:type="dxa" w:w="1152"/>
            <w:shd w:val="clear" w:color="auto" w:fill="F2F7FF"/>
          </w:tcPr>
          <w:p>
            <w:r>
              <w:rPr>
                <w:color w:val="595959"/>
                <w:sz w:val="20"/>
              </w:rPr>
              <w:t>442</w:t>
            </w:r>
          </w:p>
        </w:tc>
        <w:tc>
          <w:tcPr>
            <w:tcW w:type="dxa" w:w="1296"/>
            <w:shd w:val="clear" w:color="auto" w:fill="F2F7FF"/>
          </w:tcPr>
          <w:p>
            <w:r>
              <w:rPr>
                <w:color w:val="595959"/>
                <w:sz w:val="20"/>
              </w:rPr>
              <w:t>30,056</w:t>
            </w:r>
          </w:p>
        </w:tc>
        <w:tc>
          <w:tcPr>
            <w:tcW w:type="dxa" w:w="2592"/>
            <w:shd w:val="clear" w:color="auto" w:fill="F2F7FF"/>
          </w:tcPr>
          <w:p>
            <w:r>
              <w:rPr>
                <w:color w:val="595959"/>
                <w:sz w:val="20"/>
              </w:rPr>
              <w:t>✓ Complete</w:t>
            </w:r>
          </w:p>
        </w:tc>
      </w:tr>
      <w:tr>
        <w:tc>
          <w:tcPr>
            <w:tcW w:type="dxa" w:w="1584"/>
            <w:shd w:val="clear" w:color="auto" w:fill="FFFFFF"/>
          </w:tcPr>
          <w:p>
            <w:r>
              <w:rPr>
                <w:color w:val="595959"/>
                <w:sz w:val="20"/>
              </w:rPr>
              <w:t>KIBA</w:t>
            </w:r>
          </w:p>
        </w:tc>
        <w:tc>
          <w:tcPr>
            <w:tcW w:type="dxa" w:w="2016"/>
            <w:shd w:val="clear" w:color="auto" w:fill="FFFFFF"/>
          </w:tcPr>
          <w:p>
            <w:r>
              <w:rPr>
                <w:color w:val="595959"/>
                <w:sz w:val="20"/>
              </w:rPr>
              <w:t>Affinity (DTA)</w:t>
            </w:r>
          </w:p>
        </w:tc>
        <w:tc>
          <w:tcPr>
            <w:tcW w:type="dxa" w:w="1008"/>
            <w:shd w:val="clear" w:color="auto" w:fill="FFFFFF"/>
          </w:tcPr>
          <w:p>
            <w:r>
              <w:rPr>
                <w:color w:val="595959"/>
                <w:sz w:val="20"/>
              </w:rPr>
              <w:t>2,111</w:t>
            </w:r>
          </w:p>
        </w:tc>
        <w:tc>
          <w:tcPr>
            <w:tcW w:type="dxa" w:w="1152"/>
            <w:shd w:val="clear" w:color="auto" w:fill="FFFFFF"/>
          </w:tcPr>
          <w:p>
            <w:r>
              <w:rPr>
                <w:color w:val="595959"/>
                <w:sz w:val="20"/>
              </w:rPr>
              <w:t>229</w:t>
            </w:r>
          </w:p>
        </w:tc>
        <w:tc>
          <w:tcPr>
            <w:tcW w:type="dxa" w:w="1296"/>
            <w:shd w:val="clear" w:color="auto" w:fill="FFFFFF"/>
          </w:tcPr>
          <w:p>
            <w:r>
              <w:rPr>
                <w:color w:val="595959"/>
                <w:sz w:val="20"/>
              </w:rPr>
              <w:t>118,254</w:t>
            </w:r>
          </w:p>
        </w:tc>
        <w:tc>
          <w:tcPr>
            <w:tcW w:type="dxa" w:w="2592"/>
            <w:shd w:val="clear" w:color="auto" w:fill="FFFFFF"/>
          </w:tcPr>
          <w:p>
            <w:r>
              <w:rPr>
                <w:color w:val="595959"/>
                <w:sz w:val="20"/>
              </w:rPr>
              <w:t>✓ Complete</w:t>
            </w:r>
          </w:p>
        </w:tc>
      </w:tr>
      <w:tr>
        <w:tc>
          <w:tcPr>
            <w:tcW w:type="dxa" w:w="1584"/>
            <w:shd w:val="clear" w:color="auto" w:fill="F2F7FF"/>
          </w:tcPr>
          <w:p>
            <w:r>
              <w:rPr>
                <w:color w:val="595959"/>
                <w:sz w:val="20"/>
              </w:rPr>
              <w:t>Luo_17</w:t>
            </w:r>
          </w:p>
        </w:tc>
        <w:tc>
          <w:tcPr>
            <w:tcW w:type="dxa" w:w="2016"/>
            <w:shd w:val="clear" w:color="auto" w:fill="F2F7FF"/>
          </w:tcPr>
          <w:p>
            <w:r>
              <w:rPr>
                <w:color w:val="595959"/>
                <w:sz w:val="20"/>
              </w:rPr>
              <w:t>Interaction (DTI)</w:t>
            </w:r>
          </w:p>
        </w:tc>
        <w:tc>
          <w:tcPr>
            <w:tcW w:type="dxa" w:w="1008"/>
            <w:shd w:val="clear" w:color="auto" w:fill="F2F7FF"/>
          </w:tcPr>
          <w:p>
            <w:r>
              <w:rPr>
                <w:color w:val="595959"/>
                <w:sz w:val="20"/>
              </w:rPr>
              <w:t>708</w:t>
            </w:r>
          </w:p>
        </w:tc>
        <w:tc>
          <w:tcPr>
            <w:tcW w:type="dxa" w:w="1152"/>
            <w:shd w:val="clear" w:color="auto" w:fill="F2F7FF"/>
          </w:tcPr>
          <w:p>
            <w:r>
              <w:rPr>
                <w:color w:val="595959"/>
                <w:sz w:val="20"/>
              </w:rPr>
              <w:t>1,512</w:t>
            </w:r>
          </w:p>
        </w:tc>
        <w:tc>
          <w:tcPr>
            <w:tcW w:type="dxa" w:w="1296"/>
            <w:shd w:val="clear" w:color="auto" w:fill="F2F7FF"/>
          </w:tcPr>
          <w:p>
            <w:r>
              <w:rPr>
                <w:color w:val="595959"/>
                <w:sz w:val="20"/>
              </w:rPr>
              <w:t>3,846*</w:t>
            </w:r>
          </w:p>
        </w:tc>
        <w:tc>
          <w:tcPr>
            <w:tcW w:type="dxa" w:w="2592"/>
            <w:shd w:val="clear" w:color="auto" w:fill="F2F7FF"/>
          </w:tcPr>
          <w:p>
            <w:r>
              <w:rPr>
                <w:color w:val="595959"/>
                <w:sz w:val="20"/>
              </w:rPr>
              <w:t>✓ Complete</w:t>
            </w:r>
          </w:p>
        </w:tc>
      </w:tr>
      <w:tr>
        <w:tc>
          <w:tcPr>
            <w:tcW w:type="dxa" w:w="1584"/>
            <w:shd w:val="clear" w:color="auto" w:fill="FFFFFF"/>
          </w:tcPr>
          <w:p>
            <w:r>
              <w:rPr>
                <w:color w:val="595959"/>
                <w:sz w:val="20"/>
              </w:rPr>
              <w:t>Yamanishi_e</w:t>
            </w:r>
          </w:p>
        </w:tc>
        <w:tc>
          <w:tcPr>
            <w:tcW w:type="dxa" w:w="2016"/>
            <w:shd w:val="clear" w:color="auto" w:fill="FFFFFF"/>
          </w:tcPr>
          <w:p>
            <w:r>
              <w:rPr>
                <w:color w:val="595959"/>
                <w:sz w:val="20"/>
              </w:rPr>
              <w:t>Interaction (DTI)</w:t>
            </w:r>
          </w:p>
        </w:tc>
        <w:tc>
          <w:tcPr>
            <w:tcW w:type="dxa" w:w="1008"/>
            <w:shd w:val="clear" w:color="auto" w:fill="FFFFFF"/>
          </w:tcPr>
          <w:p>
            <w:r>
              <w:rPr>
                <w:color w:val="595959"/>
                <w:sz w:val="20"/>
              </w:rPr>
              <w:t>359</w:t>
            </w:r>
          </w:p>
        </w:tc>
        <w:tc>
          <w:tcPr>
            <w:tcW w:type="dxa" w:w="1152"/>
            <w:shd w:val="clear" w:color="auto" w:fill="FFFFFF"/>
          </w:tcPr>
          <w:p>
            <w:r>
              <w:rPr>
                <w:color w:val="595959"/>
                <w:sz w:val="20"/>
              </w:rPr>
              <w:t>90</w:t>
            </w:r>
          </w:p>
        </w:tc>
        <w:tc>
          <w:tcPr>
            <w:tcW w:type="dxa" w:w="1296"/>
            <w:shd w:val="clear" w:color="auto" w:fill="FFFFFF"/>
          </w:tcPr>
          <w:p>
            <w:r>
              <w:rPr>
                <w:color w:val="595959"/>
                <w:sz w:val="20"/>
              </w:rPr>
              <w:t>890*</w:t>
            </w:r>
          </w:p>
        </w:tc>
        <w:tc>
          <w:tcPr>
            <w:tcW w:type="dxa" w:w="2592"/>
            <w:shd w:val="clear" w:color="auto" w:fill="FFFFFF"/>
          </w:tcPr>
          <w:p>
            <w:r>
              <w:rPr>
                <w:color w:val="595959"/>
                <w:sz w:val="20"/>
              </w:rPr>
              <w:t>✓ Complete</w:t>
            </w:r>
          </w:p>
        </w:tc>
      </w:tr>
      <w:tr>
        <w:tc>
          <w:tcPr>
            <w:tcW w:type="dxa" w:w="1584"/>
            <w:shd w:val="clear" w:color="auto" w:fill="F2F7FF"/>
          </w:tcPr>
          <w:p>
            <w:r>
              <w:rPr>
                <w:color w:val="595959"/>
                <w:sz w:val="20"/>
              </w:rPr>
              <w:t>BindingDB</w:t>
            </w:r>
          </w:p>
        </w:tc>
        <w:tc>
          <w:tcPr>
            <w:tcW w:type="dxa" w:w="2016"/>
            <w:shd w:val="clear" w:color="auto" w:fill="F2F7FF"/>
          </w:tcPr>
          <w:p>
            <w:r>
              <w:rPr>
                <w:color w:val="595959"/>
                <w:sz w:val="20"/>
              </w:rPr>
              <w:t>Both</w:t>
            </w:r>
          </w:p>
        </w:tc>
        <w:tc>
          <w:tcPr>
            <w:tcW w:type="dxa" w:w="1008"/>
            <w:shd w:val="clear" w:color="auto" w:fill="F2F7FF"/>
          </w:tcPr>
          <w:p>
            <w:r>
              <w:rPr>
                <w:color w:val="595959"/>
                <w:sz w:val="20"/>
              </w:rPr>
              <w:t>~1M+</w:t>
            </w:r>
          </w:p>
        </w:tc>
        <w:tc>
          <w:tcPr>
            <w:tcW w:type="dxa" w:w="1152"/>
            <w:shd w:val="clear" w:color="auto" w:fill="F2F7FF"/>
          </w:tcPr>
          <w:p>
            <w:r>
              <w:rPr>
                <w:color w:val="595959"/>
                <w:sz w:val="20"/>
              </w:rPr>
              <w:t>~9K+</w:t>
            </w:r>
          </w:p>
        </w:tc>
        <w:tc>
          <w:tcPr>
            <w:tcW w:type="dxa" w:w="1296"/>
            <w:shd w:val="clear" w:color="auto" w:fill="F2F7FF"/>
          </w:tcPr>
          <w:p>
            <w:r>
              <w:rPr>
                <w:color w:val="595959"/>
                <w:sz w:val="20"/>
              </w:rPr>
              <w:t>Millions</w:t>
            </w:r>
          </w:p>
        </w:tc>
        <w:tc>
          <w:tcPr>
            <w:tcW w:type="dxa" w:w="2592"/>
            <w:shd w:val="clear" w:color="auto" w:fill="F2F7FF"/>
          </w:tcPr>
          <w:p>
            <w:r>
              <w:rPr>
                <w:color w:val="595959"/>
                <w:sz w:val="20"/>
              </w:rPr>
              <w:t>○ Not used in evaluation</w:t>
            </w:r>
          </w:p>
        </w:tc>
      </w:tr>
      <w:tr>
        <w:tc>
          <w:tcPr>
            <w:tcW w:type="dxa" w:w="1584"/>
            <w:shd w:val="clear" w:color="auto" w:fill="FFFFFF"/>
          </w:tcPr>
          <w:p>
            <w:r>
              <w:rPr>
                <w:color w:val="595959"/>
                <w:sz w:val="20"/>
              </w:rPr>
              <w:t>ChEMBL</w:t>
            </w:r>
          </w:p>
        </w:tc>
        <w:tc>
          <w:tcPr>
            <w:tcW w:type="dxa" w:w="2016"/>
            <w:shd w:val="clear" w:color="auto" w:fill="FFFFFF"/>
          </w:tcPr>
          <w:p>
            <w:r>
              <w:rPr>
                <w:color w:val="595959"/>
                <w:sz w:val="20"/>
              </w:rPr>
              <w:t>Both</w:t>
            </w:r>
          </w:p>
        </w:tc>
        <w:tc>
          <w:tcPr>
            <w:tcW w:type="dxa" w:w="1008"/>
            <w:shd w:val="clear" w:color="auto" w:fill="FFFFFF"/>
          </w:tcPr>
          <w:p>
            <w:r>
              <w:rPr>
                <w:color w:val="595959"/>
                <w:sz w:val="20"/>
              </w:rPr>
              <w:t>~2M+</w:t>
            </w:r>
          </w:p>
        </w:tc>
        <w:tc>
          <w:tcPr>
            <w:tcW w:type="dxa" w:w="1152"/>
            <w:shd w:val="clear" w:color="auto" w:fill="FFFFFF"/>
          </w:tcPr>
          <w:p>
            <w:r>
              <w:rPr>
                <w:color w:val="595959"/>
                <w:sz w:val="20"/>
              </w:rPr>
              <w:t>~15K+</w:t>
            </w:r>
          </w:p>
        </w:tc>
        <w:tc>
          <w:tcPr>
            <w:tcW w:type="dxa" w:w="1296"/>
            <w:shd w:val="clear" w:color="auto" w:fill="FFFFFF"/>
          </w:tcPr>
          <w:p>
            <w:r>
              <w:rPr>
                <w:color w:val="595959"/>
                <w:sz w:val="20"/>
              </w:rPr>
              <w:t>Millions</w:t>
            </w:r>
          </w:p>
        </w:tc>
        <w:tc>
          <w:tcPr>
            <w:tcW w:type="dxa" w:w="2592"/>
            <w:shd w:val="clear" w:color="auto" w:fill="FFFFFF"/>
          </w:tcPr>
          <w:p>
            <w:r>
              <w:rPr>
                <w:color w:val="595959"/>
                <w:sz w:val="20"/>
              </w:rPr>
              <w:t>○ Not used</w:t>
            </w:r>
          </w:p>
        </w:tc>
      </w:tr>
    </w:tbl>
    <w:p/>
    <w:p>
      <w:pPr>
        <w:spacing w:before="40" w:after="80"/>
      </w:pPr>
      <w:r>
        <w:rPr>
          <w:color w:val="595959"/>
          <w:sz w:val="22"/>
        </w:rPr>
        <w:t>* After 1:1 negative sampling.</w:t>
      </w:r>
    </w:p>
    <w:p>
      <w:pPr>
        <w:spacing w:before="240" w:after="40"/>
      </w:pPr>
      <w:r>
        <w:rPr>
          <w:b/>
          <w:color w:val="007078"/>
          <w:sz w:val="26"/>
        </w:rPr>
        <w:t>2.2  Why These Datasets?</w:t>
      </w:r>
    </w:p>
    <w:p>
      <w:pPr>
        <w:spacing w:before="160" w:after="40"/>
      </w:pPr>
      <w:r>
        <w:rPr>
          <w:b/>
          <w:color w:val="1F497D"/>
          <w:sz w:val="22"/>
        </w:rPr>
        <w:t>Davis and KIBA</w:t>
      </w:r>
    </w:p>
    <w:p>
      <w:pPr>
        <w:spacing w:before="40" w:after="80"/>
      </w:pPr>
      <w:r>
        <w:rPr>
          <w:color w:val="595959"/>
          <w:sz w:val="22"/>
        </w:rPr>
        <w:t>These are the two most widely used affinity benchmarks in DTI research. Using them allows fair comparison to published results (DeepDTA, GraphDTA, etc.) because many papers report results on exactly these datasets. Davis measures binding strength in Kd values (converted to pKd); KIBA combines multiple measurement types into a single unified score.</w:t>
      </w:r>
    </w:p>
    <w:p>
      <w:pPr>
        <w:spacing w:before="160" w:after="40"/>
      </w:pPr>
      <w:r>
        <w:rPr>
          <w:b/>
          <w:color w:val="1F497D"/>
          <w:sz w:val="22"/>
        </w:rPr>
        <w:t>Luo_17</w:t>
      </w:r>
    </w:p>
    <w:p>
      <w:pPr>
        <w:spacing w:before="40" w:after="80"/>
      </w:pPr>
      <w:r>
        <w:rPr>
          <w:color w:val="595959"/>
          <w:sz w:val="22"/>
        </w:rPr>
        <w:t>This dataset is required to reproduce the GSRF-DTI baseline result (Zhu et al., 2024), which reported AUROC = 0.9818 on Luo_17. It is a larger, heterogeneous network dataset — it not only has drug–protein interactions but also drug–drug similarity and protein–protein similarity matrices.</w:t>
      </w:r>
    </w:p>
    <w:p>
      <w:pPr>
        <w:spacing w:before="160" w:after="40"/>
      </w:pPr>
      <w:r>
        <w:rPr>
          <w:b/>
          <w:color w:val="1F497D"/>
          <w:sz w:val="22"/>
        </w:rPr>
        <w:t>Yamanishi_e (Enzyme subset)</w:t>
      </w:r>
    </w:p>
    <w:p>
      <w:pPr>
        <w:spacing w:before="40" w:after="80"/>
      </w:pPr>
      <w:r>
        <w:rPr>
          <w:color w:val="595959"/>
          <w:sz w:val="22"/>
        </w:rPr>
        <w:t>The Yamanishi 2008 dataset is divided into four protein families: Enzyme, Ion Channel, GPCR, and Nuclear Receptor. We chose the Enzyme subset because the DTKGIN baseline (Luo et al., 2024) reported AUC = 0.894 on cold-drug Yamanishi data, and the Enzyme subset is the standard choice in the literature. It is also small enough to run many experiments quickly on a CPU.</w:t>
      </w:r>
    </w:p>
    <w:p>
      <w:pPr>
        <w:spacing w:before="160" w:after="40"/>
      </w:pPr>
      <w:r>
        <w:rPr>
          <w:b/>
          <w:color w:val="1F497D"/>
          <w:sz w:val="22"/>
        </w:rPr>
        <w:t>BindingDB and ChEMBL — Why Not Used</w:t>
      </w:r>
    </w:p>
    <w:p>
      <w:pPr>
        <w:spacing w:before="40" w:after="80"/>
      </w:pPr>
      <w:r>
        <w:rPr>
          <w:color w:val="595959"/>
          <w:sz w:val="22"/>
        </w:rPr>
        <w:t>BindingDB and ChEMBL were downloaded and preprocessed (label files and split files exist). However, generating drug graphs and protein embeddings for millions of molecules requires significant GPU memory and compute time. Because the CPU-only environment made this impractical within the project timeline, these large datasets were not included in the main evaluation. This is the largest gap remaining in Objective 1 and is discussed further in Section 9.</w:t>
      </w:r>
    </w:p>
    <w:p>
      <w:pPr>
        <w:spacing w:before="360" w:after="80"/>
        <w:pBdr>
          <w:bottom w:val="single" w:sz="6" w:space="1" w:color="1F497D"/>
        </w:pBdr>
      </w:pPr>
      <w:r>
        <w:rPr>
          <w:b/>
          <w:color w:val="1F497D"/>
          <w:sz w:val="32"/>
        </w:rPr>
        <w:t>3.  Phase 2 — Data Preprocessing</w:t>
      </w:r>
    </w:p>
    <w:p>
      <w:pPr>
        <w:spacing w:before="40" w:after="80"/>
      </w:pPr>
      <w:r>
        <w:rPr>
          <w:color w:val="595959"/>
          <w:sz w:val="22"/>
        </w:rPr>
        <w:t>Raw data cannot be fed directly into a neural network. It must be converted into a format the model can read. This phase converts each drug into a molecular graph and each protein into a sequence of number vectors.</w:t>
      </w:r>
    </w:p>
    <w:p>
      <w:pPr>
        <w:spacing w:before="240" w:after="40"/>
      </w:pPr>
      <w:r>
        <w:rPr>
          <w:b/>
          <w:color w:val="007078"/>
          <w:sz w:val="26"/>
        </w:rPr>
        <w:t>3.1  Drug Representation — Molecular Graphs</w:t>
      </w:r>
    </w:p>
    <w:p>
      <w:pPr>
        <w:spacing w:before="40" w:after="80"/>
      </w:pPr>
      <w:r>
        <w:rPr>
          <w:color w:val="595959"/>
          <w:sz w:val="22"/>
        </w:rPr>
        <w:t>Each drug's SMILES string (a text code for its chemical structure) was converted into a graph using RDKit, a standard chemistry toolkit. In the graph, each atom is a node and each chemical bond is an edge.</w:t>
      </w:r>
    </w:p>
    <w:p>
      <w:pPr>
        <w:spacing w:before="40" w:after="80"/>
      </w:pPr>
      <w:r>
        <w:rPr>
          <w:color w:val="595959"/>
          <w:sz w:val="22"/>
        </w:rPr>
        <w:t>Each atom node has two kinds of features:</w:t>
      </w:r>
    </w:p>
    <w:p>
      <w:pPr>
        <w:pStyle w:val="ListBullet"/>
        <w:spacing w:before="20" w:after="20"/>
        <w:ind w:left="454"/>
      </w:pPr>
      <w:r>
        <w:rPr>
          <w:color w:val="595959"/>
          <w:sz w:val="22"/>
        </w:rPr>
        <w:t>RDKit descriptors: atom type, number of bonds, hybridisation (sp/sp2/sp3), whether it is in a ring, formal charge, and aromaticity.</w:t>
      </w:r>
    </w:p>
    <w:p>
      <w:pPr>
        <w:pStyle w:val="ListBullet"/>
        <w:spacing w:before="20" w:after="20"/>
        <w:ind w:left="454"/>
      </w:pPr>
      <w:r>
        <w:rPr>
          <w:color w:val="595959"/>
          <w:sz w:val="22"/>
        </w:rPr>
        <w:t>ChemBERTa embeddings: a pre-trained chemical language model reads the full SMILES string and produces a rich numerical representation. This gives the model extra chemical knowledge before training even starts.</w:t>
      </w:r>
    </w:p>
    <w:p>
      <w:pPr>
        <w:spacing w:before="120" w:after="120"/>
        <w:ind w:left="567"/>
        <w:pBdr>
          <w:left w:val="single" w:sz="12" w:space="6" w:color="007078"/>
        </w:pBdr>
      </w:pPr>
      <w:r>
        <w:rPr>
          <w:i/>
          <w:color w:val="595959"/>
          <w:sz w:val="21"/>
        </w:rPr>
        <w:t>Why add ChemBERTa? Because some chemical properties — like overall molecular shape or functional group context — are hard to capture atom by atom. ChemBERTa has already learned these patterns from millions of drug molecules, so including its embeddings gives the model a head start.</w:t>
      </w:r>
    </w:p>
    <w:p>
      <w:pPr>
        <w:spacing w:before="240" w:after="40"/>
      </w:pPr>
      <w:r>
        <w:rPr>
          <w:b/>
          <w:color w:val="007078"/>
          <w:sz w:val="26"/>
        </w:rPr>
        <w:t>3.2  Protein Representation — ESM-2 Embeddings</w:t>
      </w:r>
    </w:p>
    <w:p>
      <w:pPr>
        <w:spacing w:before="40" w:after="80"/>
      </w:pPr>
      <w:r>
        <w:rPr>
          <w:color w:val="595959"/>
          <w:sz w:val="22"/>
        </w:rPr>
        <w:t>Each protein's amino acid sequence was fed through ESM-2 — a large protein language model developed by Meta AI Research. ESM-2 produces one vector per amino acid residue in the sequence, capturing the biological and evolutionary context of each position.</w:t>
      </w:r>
    </w:p>
    <w:p>
      <w:pPr>
        <w:spacing w:before="40" w:after="80"/>
      </w:pPr>
      <w:r>
        <w:rPr>
          <w:color w:val="595959"/>
          <w:sz w:val="22"/>
        </w:rPr>
        <w:t>Two versions of ESM-2 were used:</w:t>
      </w:r>
    </w:p>
    <w:p>
      <w:pPr>
        <w:pStyle w:val="ListBullet"/>
        <w:spacing w:before="20" w:after="20"/>
        <w:ind w:left="454"/>
      </w:pPr>
      <w:r>
        <w:rPr>
          <w:color w:val="595959"/>
          <w:sz w:val="22"/>
        </w:rPr>
        <w:t>ESM-2 8M (8 million parameters, 320-dimensional output): used for Yamanishi_e and Davis/KIBA. Fast enough to run on CPU.</w:t>
      </w:r>
    </w:p>
    <w:p>
      <w:pPr>
        <w:pStyle w:val="ListBullet"/>
        <w:spacing w:before="20" w:after="20"/>
        <w:ind w:left="454"/>
      </w:pPr>
      <w:r>
        <w:rPr>
          <w:color w:val="595959"/>
          <w:sz w:val="22"/>
        </w:rPr>
        <w:t>ESM-2 650M (650 million parameters, 1280-dimensional output): used for Luo_17 because it has 1,512 unique proteins with diverse sequences. The larger model captures more detail. Inside the model, a linear layer projects 1280 dimensions down to 320 so the rest of the architecture stays unchanged.</w:t>
      </w:r>
    </w:p>
    <w:p>
      <w:pPr>
        <w:spacing w:before="240" w:after="40"/>
      </w:pPr>
      <w:r>
        <w:rPr>
          <w:b/>
          <w:color w:val="007078"/>
          <w:sz w:val="26"/>
        </w:rPr>
        <w:t>3.3  Labels and Splits</w:t>
      </w:r>
    </w:p>
    <w:p>
      <w:pPr>
        <w:spacing w:before="40" w:after="80"/>
      </w:pPr>
      <w:r>
        <w:rPr>
          <w:color w:val="595959"/>
          <w:sz w:val="22"/>
        </w:rPr>
        <w:t>For binary classification tasks (DTI), each drug–protein pair is labelled 1 (known interaction) or 0 (assumed non-interaction). Because real datasets have far more unknown pairs than known ones, we used negative sampling to create a balanced training set: one negative pair for every positive pair (1:1 ratio).</w:t>
      </w:r>
    </w:p>
    <w:p>
      <w:pPr>
        <w:spacing w:before="40" w:after="80"/>
      </w:pPr>
      <w:r>
        <w:rPr>
          <w:color w:val="595959"/>
          <w:sz w:val="22"/>
        </w:rPr>
        <w:t>For regression tasks (DTA), the label is a continuous number: pKd for Davis (negative log of the dissociation constant) or KIBA score for KIBA.</w:t>
      </w:r>
    </w:p>
    <w:p>
      <w:pPr>
        <w:spacing w:before="40" w:after="80"/>
      </w:pPr>
      <w:r>
        <w:rPr>
          <w:color w:val="595959"/>
          <w:sz w:val="22"/>
        </w:rPr>
        <w:t>Four different ways of splitting the data were prepared:</w:t>
      </w:r>
    </w:p>
    <w:tbl>
      <w:tblPr>
        <w:tblStyle w:val="TableGrid"/>
        <w:tblW w:type="auto" w:w="0"/>
        <w:tblLook w:firstColumn="1" w:firstRow="1" w:lastColumn="0" w:lastRow="0" w:noHBand="0" w:noVBand="1" w:val="04A0"/>
      </w:tblPr>
      <w:tblGrid>
        <w:gridCol w:w="3041"/>
        <w:gridCol w:w="3041"/>
        <w:gridCol w:w="3041"/>
      </w:tblGrid>
      <w:tr>
        <w:tc>
          <w:tcPr>
            <w:tcW w:type="dxa" w:w="1728"/>
            <w:shd w:val="clear" w:color="auto" w:fill="1F497D"/>
          </w:tcPr>
          <w:p>
            <w:r>
              <w:rPr>
                <w:b/>
                <w:color w:val="FFFFFF"/>
                <w:sz w:val="20"/>
              </w:rPr>
              <w:t>Split Type</w:t>
            </w:r>
          </w:p>
        </w:tc>
        <w:tc>
          <w:tcPr>
            <w:tcW w:type="dxa" w:w="3600"/>
            <w:shd w:val="clear" w:color="auto" w:fill="1F497D"/>
          </w:tcPr>
          <w:p>
            <w:r>
              <w:rPr>
                <w:b/>
                <w:color w:val="FFFFFF"/>
                <w:sz w:val="20"/>
              </w:rPr>
              <w:t>What It Tests</w:t>
            </w:r>
          </w:p>
        </w:tc>
        <w:tc>
          <w:tcPr>
            <w:tcW w:type="dxa" w:w="3600"/>
            <w:shd w:val="clear" w:color="auto" w:fill="1F497D"/>
          </w:tcPr>
          <w:p>
            <w:r>
              <w:rPr>
                <w:b/>
                <w:color w:val="FFFFFF"/>
                <w:sz w:val="20"/>
              </w:rPr>
              <w:t>Who It Challenges</w:t>
            </w:r>
          </w:p>
        </w:tc>
      </w:tr>
      <w:tr>
        <w:tc>
          <w:tcPr>
            <w:tcW w:type="dxa" w:w="1728"/>
            <w:shd w:val="clear" w:color="auto" w:fill="F2F7FF"/>
          </w:tcPr>
          <w:p>
            <w:r>
              <w:rPr>
                <w:color w:val="595959"/>
                <w:sz w:val="20"/>
              </w:rPr>
              <w:t>Random</w:t>
            </w:r>
          </w:p>
        </w:tc>
        <w:tc>
          <w:tcPr>
            <w:tcW w:type="dxa" w:w="3600"/>
            <w:shd w:val="clear" w:color="auto" w:fill="F2F7FF"/>
          </w:tcPr>
          <w:p>
            <w:r>
              <w:rPr>
                <w:color w:val="595959"/>
                <w:sz w:val="20"/>
              </w:rPr>
              <w:t>General performance under normal conditions.</w:t>
            </w:r>
          </w:p>
        </w:tc>
        <w:tc>
          <w:tcPr>
            <w:tcW w:type="dxa" w:w="3600"/>
            <w:shd w:val="clear" w:color="auto" w:fill="F2F7FF"/>
          </w:tcPr>
          <w:p>
            <w:r>
              <w:rPr>
                <w:color w:val="595959"/>
                <w:sz w:val="20"/>
              </w:rPr>
              <w:t>Easy — model sees similar drugs and proteins in training.</w:t>
            </w:r>
          </w:p>
        </w:tc>
      </w:tr>
      <w:tr>
        <w:tc>
          <w:tcPr>
            <w:tcW w:type="dxa" w:w="1728"/>
            <w:shd w:val="clear" w:color="auto" w:fill="FFFFFF"/>
          </w:tcPr>
          <w:p>
            <w:r>
              <w:rPr>
                <w:color w:val="595959"/>
                <w:sz w:val="20"/>
              </w:rPr>
              <w:t>Cold-drug</w:t>
            </w:r>
          </w:p>
        </w:tc>
        <w:tc>
          <w:tcPr>
            <w:tcW w:type="dxa" w:w="3600"/>
            <w:shd w:val="clear" w:color="auto" w:fill="FFFFFF"/>
          </w:tcPr>
          <w:p>
            <w:r>
              <w:rPr>
                <w:color w:val="595959"/>
                <w:sz w:val="20"/>
              </w:rPr>
              <w:t>Can the model predict interactions for brand-new drugs it never saw?</w:t>
            </w:r>
          </w:p>
        </w:tc>
        <w:tc>
          <w:tcPr>
            <w:tcW w:type="dxa" w:w="3600"/>
            <w:shd w:val="clear" w:color="auto" w:fill="FFFFFF"/>
          </w:tcPr>
          <w:p>
            <w:r>
              <w:rPr>
                <w:color w:val="595959"/>
                <w:sz w:val="20"/>
              </w:rPr>
              <w:t>Drug discovery: screening new chemical compounds.</w:t>
            </w:r>
          </w:p>
        </w:tc>
      </w:tr>
      <w:tr>
        <w:tc>
          <w:tcPr>
            <w:tcW w:type="dxa" w:w="1728"/>
            <w:shd w:val="clear" w:color="auto" w:fill="F2F7FF"/>
          </w:tcPr>
          <w:p>
            <w:r>
              <w:rPr>
                <w:color w:val="595959"/>
                <w:sz w:val="20"/>
              </w:rPr>
              <w:t>Cold-target</w:t>
            </w:r>
          </w:p>
        </w:tc>
        <w:tc>
          <w:tcPr>
            <w:tcW w:type="dxa" w:w="3600"/>
            <w:shd w:val="clear" w:color="auto" w:fill="F2F7FF"/>
          </w:tcPr>
          <w:p>
            <w:r>
              <w:rPr>
                <w:color w:val="595959"/>
                <w:sz w:val="20"/>
              </w:rPr>
              <w:t>Can the model generalise to new protein targets?</w:t>
            </w:r>
          </w:p>
        </w:tc>
        <w:tc>
          <w:tcPr>
            <w:tcW w:type="dxa" w:w="3600"/>
            <w:shd w:val="clear" w:color="auto" w:fill="F2F7FF"/>
          </w:tcPr>
          <w:p>
            <w:r>
              <w:rPr>
                <w:color w:val="595959"/>
                <w:sz w:val="20"/>
              </w:rPr>
              <w:t>Finding drugs for newly discovered disease proteins.</w:t>
            </w:r>
          </w:p>
        </w:tc>
      </w:tr>
      <w:tr>
        <w:tc>
          <w:tcPr>
            <w:tcW w:type="dxa" w:w="1728"/>
            <w:shd w:val="clear" w:color="auto" w:fill="FFFFFF"/>
          </w:tcPr>
          <w:p>
            <w:r>
              <w:rPr>
                <w:color w:val="595959"/>
                <w:sz w:val="20"/>
              </w:rPr>
              <w:t>Cold-pair</w:t>
            </w:r>
          </w:p>
        </w:tc>
        <w:tc>
          <w:tcPr>
            <w:tcW w:type="dxa" w:w="3600"/>
            <w:shd w:val="clear" w:color="auto" w:fill="FFFFFF"/>
          </w:tcPr>
          <w:p>
            <w:r>
              <w:rPr>
                <w:color w:val="595959"/>
                <w:sz w:val="20"/>
              </w:rPr>
              <w:t>Both drug and protein are new. The hardest setting.</w:t>
            </w:r>
          </w:p>
        </w:tc>
        <w:tc>
          <w:tcPr>
            <w:tcW w:type="dxa" w:w="3600"/>
            <w:shd w:val="clear" w:color="auto" w:fill="FFFFFF"/>
          </w:tcPr>
          <w:p>
            <w:r>
              <w:rPr>
                <w:color w:val="595959"/>
                <w:sz w:val="20"/>
              </w:rPr>
              <w:t>True prospective drug discovery with no prior data.</w:t>
            </w:r>
          </w:p>
        </w:tc>
      </w:tr>
    </w:tbl>
    <w:p/>
    <w:p>
      <w:pPr>
        <w:spacing w:before="120" w:after="120"/>
        <w:ind w:left="567"/>
        <w:pBdr>
          <w:left w:val="single" w:sz="12" w:space="6" w:color="007078"/>
        </w:pBdr>
      </w:pPr>
      <w:r>
        <w:rPr>
          <w:i/>
          <w:color w:val="595959"/>
          <w:sz w:val="21"/>
        </w:rPr>
        <w:t>Why four split types? The random split alone is misleading — in real drug discovery, we always want to screen new molecules against new targets, not re-rank drugs we have already studied. Cold splits give a much more honest picture of whether the model will be useful in practice.</w:t>
      </w:r>
    </w:p>
    <w:p>
      <w:pPr>
        <w:spacing w:before="360" w:after="80"/>
        <w:pBdr>
          <w:bottom w:val="single" w:sz="6" w:space="1" w:color="1F497D"/>
        </w:pBdr>
      </w:pPr>
      <w:r>
        <w:rPr>
          <w:b/>
          <w:color w:val="1F497D"/>
          <w:sz w:val="32"/>
        </w:rPr>
        <w:t>4.  Phase 3 — Baseline Setup</w:t>
      </w:r>
    </w:p>
    <w:p>
      <w:pPr>
        <w:spacing w:before="40" w:after="80"/>
      </w:pPr>
      <w:r>
        <w:rPr>
          <w:color w:val="595959"/>
          <w:sz w:val="22"/>
        </w:rPr>
        <w:t>Before testing our model, we re-implemented three comparison models. This is essential for a fair evaluation — if the baselines were run on different data splits or different evaluation protocols, any comparison would be meaningless.</w:t>
      </w:r>
    </w:p>
    <w:p>
      <w:pPr>
        <w:spacing w:before="240" w:after="40"/>
      </w:pPr>
      <w:r>
        <w:rPr>
          <w:b/>
          <w:color w:val="007078"/>
          <w:sz w:val="26"/>
        </w:rPr>
        <w:t>4.1  The Three Baselines</w:t>
      </w:r>
    </w:p>
    <w:p>
      <w:pPr>
        <w:spacing w:before="160" w:after="40"/>
      </w:pPr>
      <w:r>
        <w:rPr>
          <w:b/>
          <w:color w:val="1F497D"/>
          <w:sz w:val="22"/>
        </w:rPr>
        <w:t>Baseline 1 — Concat Baseline (our own ablation)</w:t>
      </w:r>
    </w:p>
    <w:p>
      <w:pPr>
        <w:spacing w:before="40" w:after="80"/>
      </w:pPr>
      <w:r>
        <w:rPr>
          <w:color w:val="595959"/>
          <w:sz w:val="22"/>
        </w:rPr>
        <w:t>This is the same as H-GNN-RNN-DTI but with the Gated Cross-Attention layer replaced by simple concatenation: the drug vector and protein vector are just joined end-to-end, then passed through an MLP. No intelligent mixing occurs. This is the most important baseline because the difference between this and the full model directly measures the value of cross-attention.</w:t>
      </w:r>
    </w:p>
    <w:p>
      <w:pPr>
        <w:spacing w:before="160" w:after="40"/>
      </w:pPr>
      <w:r>
        <w:rPr>
          <w:b/>
          <w:color w:val="1F497D"/>
          <w:sz w:val="22"/>
        </w:rPr>
        <w:t>Baseline 2 — GSRF-DTI (Zhu et al., BMC Biology 2024)</w:t>
      </w:r>
    </w:p>
    <w:p>
      <w:pPr>
        <w:spacing w:before="40" w:after="80"/>
      </w:pPr>
      <w:r>
        <w:rPr>
          <w:color w:val="595959"/>
          <w:sz w:val="22"/>
        </w:rPr>
        <w:t>GSRF-DTI uses a transductive graph approach: it embeds drugs and proteins into a large combined drug–drug–protein–protein network using GraphSAGE, then trains a Random Forest classifier on those embeddings. It was tested on Luo_17.</w:t>
      </w:r>
    </w:p>
    <w:p>
      <w:pPr>
        <w:spacing w:before="120" w:after="120"/>
        <w:ind w:left="567"/>
        <w:pBdr>
          <w:left w:val="single" w:sz="12" w:space="6" w:color="C55A11"/>
        </w:pBdr>
      </w:pPr>
      <w:r>
        <w:rPr>
          <w:i/>
          <w:color w:val="595959"/>
          <w:sz w:val="21"/>
        </w:rPr>
        <w:t>Important: GSRF-DTI is transductive — it needs the full network at test time. It cannot embed drugs or proteins that were not in the training network. Our re-implementation uses only the Luo_17 adjacency matrices, not the full DrugBank knowledge graph that the original paper used. This explains why our re-implementation (AUROC 0.767) is lower than the published result (AUROC 0.982) — the original had access to millions of additional relationship edges.</w:t>
      </w:r>
    </w:p>
    <w:p>
      <w:pPr>
        <w:spacing w:before="160" w:after="40"/>
      </w:pPr>
      <w:r>
        <w:rPr>
          <w:b/>
          <w:color w:val="1F497D"/>
          <w:sz w:val="22"/>
        </w:rPr>
        <w:t>Baseline 3 — DTKGIN (Luo et al., Methods 2024)</w:t>
      </w:r>
    </w:p>
    <w:p>
      <w:pPr>
        <w:spacing w:before="40" w:after="80"/>
      </w:pPr>
      <w:r>
        <w:rPr>
          <w:color w:val="595959"/>
          <w:sz w:val="22"/>
        </w:rPr>
        <w:t>DTKGIN is a knowledge-graph GNN. It constructs a graph where drugs and proteins are connected not just by known interactions, but also by drug chemical similarity and protein sequence similarity edges. Predictions are made using inner products in the embedding space. It was tested on Yamanishi_e.</w:t>
      </w:r>
    </w:p>
    <w:p>
      <w:pPr>
        <w:spacing w:before="240" w:after="40"/>
      </w:pPr>
      <w:r>
        <w:rPr>
          <w:b/>
          <w:color w:val="007078"/>
          <w:sz w:val="26"/>
        </w:rPr>
        <w:t>4.2  Why Re-implement Instead of Using Published Numbers?</w:t>
      </w:r>
    </w:p>
    <w:p>
      <w:pPr>
        <w:spacing w:before="40" w:after="80"/>
      </w:pPr>
      <w:r>
        <w:rPr>
          <w:color w:val="595959"/>
          <w:sz w:val="22"/>
        </w:rPr>
        <w:t>Published papers often use different train/test splits, different negative sampling ratios, or different evaluation protocols. If we compare our model on a 70/10/20 random split against a baseline that used 5-fold cross-validation on the same data, the comparison is unfair. Re-implementing the baselines on our exact splits ensures that any performance difference is due to the model architecture, not the setup.</w:t>
      </w:r>
    </w:p>
    <w:p>
      <w:pPr>
        <w:spacing w:before="360" w:after="80"/>
        <w:pBdr>
          <w:bottom w:val="single" w:sz="6" w:space="1" w:color="1F497D"/>
        </w:pBdr>
      </w:pPr>
      <w:r>
        <w:rPr>
          <w:b/>
          <w:color w:val="1F497D"/>
          <w:sz w:val="32"/>
        </w:rPr>
        <w:t>5.  Phase 4 — Building H-GNN-RNN-DTI</w:t>
      </w:r>
    </w:p>
    <w:p>
      <w:pPr>
        <w:spacing w:before="40" w:after="80"/>
      </w:pPr>
      <w:r>
        <w:rPr>
          <w:color w:val="595959"/>
          <w:sz w:val="22"/>
        </w:rPr>
        <w:t>The model has three main components that work in sequence. Each component was built and tested as part of the model.</w:t>
      </w:r>
    </w:p>
    <w:p>
      <w:pPr>
        <w:spacing w:before="240" w:after="40"/>
      </w:pPr>
      <w:r>
        <w:rPr>
          <w:b/>
          <w:color w:val="007078"/>
          <w:sz w:val="26"/>
        </w:rPr>
        <w:t>5.1  Drug Encoder — Hierarchical Graph Attention Network (GAT)</w:t>
      </w:r>
    </w:p>
    <w:p>
      <w:pPr>
        <w:spacing w:before="40" w:after="80"/>
      </w:pPr>
      <w:r>
        <w:rPr>
          <w:color w:val="595959"/>
          <w:sz w:val="22"/>
        </w:rPr>
        <w:t>The drug molecular graph is processed by a 3-layer Graph Attention Network with 8 attention heads per layer. In each layer, every atom collects information from its neighbouring atoms — atoms that are more chemically relevant to the current atom get higher attention weights. After three layers, the atom representations are combined into a single drug vector using both mean pooling and max pooling, which are then concatenated.</w:t>
      </w:r>
    </w:p>
    <w:p>
      <w:pPr>
        <w:spacing w:before="120" w:after="120"/>
        <w:ind w:left="567"/>
        <w:pBdr>
          <w:left w:val="single" w:sz="12" w:space="6" w:color="007078"/>
        </w:pBdr>
      </w:pPr>
      <w:r>
        <w:rPr>
          <w:i/>
          <w:color w:val="595959"/>
          <w:sz w:val="21"/>
        </w:rPr>
        <w:t>Why attention? Standard GNNs treat all neighbours equally. Attention lets the model learn which atoms matter most for a given prediction — for example, the reactive functional group of a drug is usually more important than an attached methyl group.</w:t>
      </w:r>
    </w:p>
    <w:p>
      <w:pPr>
        <w:spacing w:before="240" w:after="40"/>
      </w:pPr>
      <w:r>
        <w:rPr>
          <w:b/>
          <w:color w:val="007078"/>
          <w:sz w:val="26"/>
        </w:rPr>
        <w:t>5.2  Protein Encoder — Bidirectional GRU</w:t>
      </w:r>
    </w:p>
    <w:p>
      <w:pPr>
        <w:spacing w:before="40" w:after="80"/>
      </w:pPr>
      <w:r>
        <w:rPr>
          <w:color w:val="595959"/>
          <w:sz w:val="22"/>
        </w:rPr>
        <w:t>The protein ESM-2 embeddings (one per amino acid residue) are processed by a 2-layer Bidirectional Gated Recurrent Unit (BiGRU). Reading the sequence in both directions simultaneously allows the model to understand each amino acid in the context of what comes before and after it. An attention pooling step then produces a single protein vector, weighting residues by how informative they are.</w:t>
      </w:r>
    </w:p>
    <w:p>
      <w:pPr>
        <w:spacing w:before="40" w:after="80"/>
      </w:pPr>
      <w:r>
        <w:rPr>
          <w:color w:val="595959"/>
          <w:sz w:val="22"/>
        </w:rPr>
        <w:t>For mean-pooled ESM-2 inputs (when per-residue embeddings are unavailable), the encoder automatically switches to a linear projection path. This makes the architecture flexible across different embedding modes.</w:t>
      </w:r>
    </w:p>
    <w:p>
      <w:pPr>
        <w:spacing w:before="240" w:after="40"/>
      </w:pPr>
      <w:r>
        <w:rPr>
          <w:b/>
          <w:color w:val="007078"/>
          <w:sz w:val="26"/>
        </w:rPr>
        <w:t>5.3  Gated Cross-Attention Fusion</w:t>
      </w:r>
    </w:p>
    <w:p>
      <w:pPr>
        <w:spacing w:before="40" w:after="80"/>
      </w:pPr>
      <w:r>
        <w:rPr>
          <w:color w:val="595959"/>
          <w:sz w:val="22"/>
        </w:rPr>
        <w:t>This is the novel core of the model. Instead of simply joining the drug and protein vectors, the cross-attention mechanism lets each representation attend to the other:</w:t>
      </w:r>
    </w:p>
    <w:p>
      <w:pPr>
        <w:pStyle w:val="ListBullet"/>
        <w:spacing w:before="20" w:after="20"/>
        <w:ind w:left="454"/>
      </w:pPr>
      <w:r>
        <w:rPr>
          <w:color w:val="595959"/>
          <w:sz w:val="22"/>
        </w:rPr>
        <w:t>The drug vector queries the protein vector to find which protein residues are most relevant to this particular drug.</w:t>
      </w:r>
    </w:p>
    <w:p>
      <w:pPr>
        <w:pStyle w:val="ListBullet"/>
        <w:spacing w:before="20" w:after="20"/>
        <w:ind w:left="454"/>
      </w:pPr>
      <w:r>
        <w:rPr>
          <w:color w:val="595959"/>
          <w:sz w:val="22"/>
        </w:rPr>
        <w:t>The protein vector queries the drug vector to find which drug atoms are most relevant to this particular protein.</w:t>
      </w:r>
    </w:p>
    <w:p>
      <w:pPr>
        <w:spacing w:before="40" w:after="80"/>
      </w:pPr>
      <w:r>
        <w:rPr>
          <w:color w:val="595959"/>
          <w:sz w:val="22"/>
        </w:rPr>
        <w:t>A sigmoid gate then controls how much of this cross-attended information is actually used. If the cross-attention output is noisy or not helpful for a particular pair, the gate closes and the original representations are preserved. The final fused vector is used to make the prediction.</w:t>
      </w:r>
    </w:p>
    <w:p>
      <w:pPr>
        <w:spacing w:before="120" w:after="120"/>
        <w:ind w:left="567"/>
        <w:pBdr>
          <w:left w:val="single" w:sz="12" w:space="6" w:color="007078"/>
        </w:pBdr>
      </w:pPr>
      <w:r>
        <w:rPr>
          <w:i/>
          <w:color w:val="595959"/>
          <w:sz w:val="21"/>
        </w:rPr>
        <w:t>Why a gate? Without it, cross-attention can introduce noise — especially for cold-target cases where the protein has never been seen before and its representation is uncertain. The gate protects the model from being misled by unreliable attention patterns.</w:t>
      </w:r>
    </w:p>
    <w:p>
      <w:pPr>
        <w:spacing w:before="240" w:after="40"/>
      </w:pPr>
      <w:r>
        <w:rPr>
          <w:b/>
          <w:color w:val="007078"/>
          <w:sz w:val="26"/>
        </w:rPr>
        <w:t>5.4  Task Heads</w:t>
      </w:r>
    </w:p>
    <w:p>
      <w:pPr>
        <w:spacing w:before="40" w:after="80"/>
      </w:pPr>
      <w:r>
        <w:rPr>
          <w:color w:val="595959"/>
          <w:sz w:val="22"/>
        </w:rPr>
        <w:t>The fused vector is passed to a task-specific output layer:</w:t>
      </w:r>
    </w:p>
    <w:p>
      <w:pPr>
        <w:pStyle w:val="ListBullet"/>
        <w:spacing w:before="20" w:after="20"/>
        <w:ind w:left="454"/>
      </w:pPr>
      <w:r>
        <w:rPr>
          <w:color w:val="595959"/>
          <w:sz w:val="22"/>
        </w:rPr>
        <w:t>For DTI (binary classification): a 2-class linear layer + Focal Loss, which handles class imbalance by giving more weight to hard-to-classify pairs.</w:t>
      </w:r>
    </w:p>
    <w:p>
      <w:pPr>
        <w:pStyle w:val="ListBullet"/>
        <w:spacing w:before="20" w:after="20"/>
        <w:ind w:left="454"/>
      </w:pPr>
      <w:r>
        <w:rPr>
          <w:color w:val="595959"/>
          <w:sz w:val="22"/>
        </w:rPr>
        <w:t>For DTA (affinity regression): a scalar linear output + Mean Squared Error loss.</w:t>
      </w:r>
    </w:p>
    <w:p>
      <w:pPr>
        <w:spacing w:before="40" w:after="80"/>
      </w:pPr>
      <w:r>
        <w:rPr>
          <w:color w:val="595959"/>
          <w:sz w:val="22"/>
        </w:rPr>
        <w:t>Because only the output head and loss function change between tasks, the same encoder architecture works for both DTI and DTA without any architectural modifications.</w:t>
      </w:r>
    </w:p>
    <w:p>
      <w:pPr>
        <w:spacing w:before="360" w:after="80"/>
        <w:pBdr>
          <w:bottom w:val="single" w:sz="6" w:space="1" w:color="1F497D"/>
        </w:pBdr>
      </w:pPr>
      <w:r>
        <w:rPr>
          <w:b/>
          <w:color w:val="1F497D"/>
          <w:sz w:val="32"/>
        </w:rPr>
        <w:t>6.  Phase 5 — Training and Evaluation</w:t>
      </w:r>
    </w:p>
    <w:p>
      <w:pPr>
        <w:spacing w:before="240" w:after="40"/>
      </w:pPr>
      <w:r>
        <w:rPr>
          <w:b/>
          <w:color w:val="007078"/>
          <w:sz w:val="26"/>
        </w:rPr>
        <w:t>6.1  Training Setup</w:t>
      </w:r>
    </w:p>
    <w:tbl>
      <w:tblPr>
        <w:tblStyle w:val="TableGrid"/>
        <w:tblW w:type="auto" w:w="0"/>
        <w:tblLook w:firstColumn="1" w:firstRow="1" w:lastColumn="0" w:lastRow="0" w:noHBand="0" w:noVBand="1" w:val="04A0"/>
      </w:tblPr>
      <w:tblGrid>
        <w:gridCol w:w="3041"/>
        <w:gridCol w:w="3041"/>
        <w:gridCol w:w="3041"/>
      </w:tblGrid>
      <w:tr>
        <w:tc>
          <w:tcPr>
            <w:tcW w:type="dxa" w:w="1872"/>
            <w:shd w:val="clear" w:color="auto" w:fill="1F497D"/>
          </w:tcPr>
          <w:p>
            <w:r>
              <w:rPr>
                <w:b/>
                <w:color w:val="FFFFFF"/>
                <w:sz w:val="20"/>
              </w:rPr>
              <w:t>Setting</w:t>
            </w:r>
          </w:p>
        </w:tc>
        <w:tc>
          <w:tcPr>
            <w:tcW w:type="dxa" w:w="3168"/>
            <w:shd w:val="clear" w:color="auto" w:fill="1F497D"/>
          </w:tcPr>
          <w:p>
            <w:r>
              <w:rPr>
                <w:b/>
                <w:color w:val="FFFFFF"/>
                <w:sz w:val="20"/>
              </w:rPr>
              <w:t>Choice</w:t>
            </w:r>
          </w:p>
        </w:tc>
        <w:tc>
          <w:tcPr>
            <w:tcW w:type="dxa" w:w="3888"/>
            <w:shd w:val="clear" w:color="auto" w:fill="1F497D"/>
          </w:tcPr>
          <w:p>
            <w:r>
              <w:rPr>
                <w:b/>
                <w:color w:val="FFFFFF"/>
                <w:sz w:val="20"/>
              </w:rPr>
              <w:t>Reason</w:t>
            </w:r>
          </w:p>
        </w:tc>
      </w:tr>
      <w:tr>
        <w:tc>
          <w:tcPr>
            <w:tcW w:type="dxa" w:w="1872"/>
            <w:shd w:val="clear" w:color="auto" w:fill="F2F7FF"/>
          </w:tcPr>
          <w:p>
            <w:r>
              <w:rPr>
                <w:color w:val="595959"/>
                <w:sz w:val="20"/>
              </w:rPr>
              <w:t>Optimizer</w:t>
            </w:r>
          </w:p>
        </w:tc>
        <w:tc>
          <w:tcPr>
            <w:tcW w:type="dxa" w:w="3168"/>
            <w:shd w:val="clear" w:color="auto" w:fill="F2F7FF"/>
          </w:tcPr>
          <w:p>
            <w:r>
              <w:rPr>
                <w:color w:val="595959"/>
                <w:sz w:val="20"/>
              </w:rPr>
              <w:t>Adam (lr = 0.0001, weight decay = 1e-4)</w:t>
            </w:r>
          </w:p>
        </w:tc>
        <w:tc>
          <w:tcPr>
            <w:tcW w:type="dxa" w:w="3888"/>
            <w:shd w:val="clear" w:color="auto" w:fill="F2F7FF"/>
          </w:tcPr>
          <w:p>
            <w:r>
              <w:rPr>
                <w:color w:val="595959"/>
                <w:sz w:val="20"/>
              </w:rPr>
              <w:t>Fast and stable. Weight decay reduces overfitting.</w:t>
            </w:r>
          </w:p>
        </w:tc>
      </w:tr>
      <w:tr>
        <w:tc>
          <w:tcPr>
            <w:tcW w:type="dxa" w:w="1872"/>
            <w:shd w:val="clear" w:color="auto" w:fill="FFFFFF"/>
          </w:tcPr>
          <w:p>
            <w:r>
              <w:rPr>
                <w:color w:val="595959"/>
                <w:sz w:val="20"/>
              </w:rPr>
              <w:t>LR Schedule</w:t>
            </w:r>
          </w:p>
        </w:tc>
        <w:tc>
          <w:tcPr>
            <w:tcW w:type="dxa" w:w="3168"/>
            <w:shd w:val="clear" w:color="auto" w:fill="FFFFFF"/>
          </w:tcPr>
          <w:p>
            <w:r>
              <w:rPr>
                <w:color w:val="595959"/>
                <w:sz w:val="20"/>
              </w:rPr>
              <w:t>Cosine Annealing (100 epochs, min lr = 1e-6)</w:t>
            </w:r>
          </w:p>
        </w:tc>
        <w:tc>
          <w:tcPr>
            <w:tcW w:type="dxa" w:w="3888"/>
            <w:shd w:val="clear" w:color="auto" w:fill="FFFFFF"/>
          </w:tcPr>
          <w:p>
            <w:r>
              <w:rPr>
                <w:color w:val="595959"/>
                <w:sz w:val="20"/>
              </w:rPr>
              <w:t>Gradually reduces learning rate to help fine-tune near convergence.</w:t>
            </w:r>
          </w:p>
        </w:tc>
      </w:tr>
      <w:tr>
        <w:tc>
          <w:tcPr>
            <w:tcW w:type="dxa" w:w="1872"/>
            <w:shd w:val="clear" w:color="auto" w:fill="F2F7FF"/>
          </w:tcPr>
          <w:p>
            <w:r>
              <w:rPr>
                <w:color w:val="595959"/>
                <w:sz w:val="20"/>
              </w:rPr>
              <w:t>Early stopping</w:t>
            </w:r>
          </w:p>
        </w:tc>
        <w:tc>
          <w:tcPr>
            <w:tcW w:type="dxa" w:w="3168"/>
            <w:shd w:val="clear" w:color="auto" w:fill="F2F7FF"/>
          </w:tcPr>
          <w:p>
            <w:r>
              <w:rPr>
                <w:color w:val="595959"/>
                <w:sz w:val="20"/>
              </w:rPr>
              <w:t>Patience = 15 epochs on validation AUROC (DTI) or MSE (DTA)</w:t>
            </w:r>
          </w:p>
        </w:tc>
        <w:tc>
          <w:tcPr>
            <w:tcW w:type="dxa" w:w="3888"/>
            <w:shd w:val="clear" w:color="auto" w:fill="F2F7FF"/>
          </w:tcPr>
          <w:p>
            <w:r>
              <w:rPr>
                <w:color w:val="595959"/>
                <w:sz w:val="20"/>
              </w:rPr>
              <w:t>Stops training when the model stops improving, preventing overfitting.</w:t>
            </w:r>
          </w:p>
        </w:tc>
      </w:tr>
      <w:tr>
        <w:tc>
          <w:tcPr>
            <w:tcW w:type="dxa" w:w="1872"/>
            <w:shd w:val="clear" w:color="auto" w:fill="FFFFFF"/>
          </w:tcPr>
          <w:p>
            <w:r>
              <w:rPr>
                <w:color w:val="595959"/>
                <w:sz w:val="20"/>
              </w:rPr>
              <w:t>Batch size</w:t>
            </w:r>
          </w:p>
        </w:tc>
        <w:tc>
          <w:tcPr>
            <w:tcW w:type="dxa" w:w="3168"/>
            <w:shd w:val="clear" w:color="auto" w:fill="FFFFFF"/>
          </w:tcPr>
          <w:p>
            <w:r>
              <w:rPr>
                <w:color w:val="595959"/>
                <w:sz w:val="20"/>
              </w:rPr>
              <w:t>64 (DTI), 256 (DTA)</w:t>
            </w:r>
          </w:p>
        </w:tc>
        <w:tc>
          <w:tcPr>
            <w:tcW w:type="dxa" w:w="3888"/>
            <w:shd w:val="clear" w:color="auto" w:fill="FFFFFF"/>
          </w:tcPr>
          <w:p>
            <w:r>
              <w:rPr>
                <w:color w:val="595959"/>
                <w:sz w:val="20"/>
              </w:rPr>
              <w:t>DTA datasets are larger; larger batches make training faster.</w:t>
            </w:r>
          </w:p>
        </w:tc>
      </w:tr>
      <w:tr>
        <w:tc>
          <w:tcPr>
            <w:tcW w:type="dxa" w:w="1872"/>
            <w:shd w:val="clear" w:color="auto" w:fill="F2F7FF"/>
          </w:tcPr>
          <w:p>
            <w:r>
              <w:rPr>
                <w:color w:val="595959"/>
                <w:sz w:val="20"/>
              </w:rPr>
              <w:t>Grad clipping</w:t>
            </w:r>
          </w:p>
        </w:tc>
        <w:tc>
          <w:tcPr>
            <w:tcW w:type="dxa" w:w="3168"/>
            <w:shd w:val="clear" w:color="auto" w:fill="F2F7FF"/>
          </w:tcPr>
          <w:p>
            <w:r>
              <w:rPr>
                <w:color w:val="595959"/>
                <w:sz w:val="20"/>
              </w:rPr>
              <w:t>Max norm = 1.0</w:t>
            </w:r>
          </w:p>
        </w:tc>
        <w:tc>
          <w:tcPr>
            <w:tcW w:type="dxa" w:w="3888"/>
            <w:shd w:val="clear" w:color="auto" w:fill="F2F7FF"/>
          </w:tcPr>
          <w:p>
            <w:r>
              <w:rPr>
                <w:color w:val="595959"/>
                <w:sz w:val="20"/>
              </w:rPr>
              <w:t>Prevents exploding gradients, a common problem in RNN training.</w:t>
            </w:r>
          </w:p>
        </w:tc>
      </w:tr>
      <w:tr>
        <w:tc>
          <w:tcPr>
            <w:tcW w:type="dxa" w:w="1872"/>
            <w:shd w:val="clear" w:color="auto" w:fill="FFFFFF"/>
          </w:tcPr>
          <w:p>
            <w:r>
              <w:rPr>
                <w:color w:val="595959"/>
                <w:sz w:val="20"/>
              </w:rPr>
              <w:t>Device</w:t>
            </w:r>
          </w:p>
        </w:tc>
        <w:tc>
          <w:tcPr>
            <w:tcW w:type="dxa" w:w="3168"/>
            <w:shd w:val="clear" w:color="auto" w:fill="FFFFFF"/>
          </w:tcPr>
          <w:p>
            <w:r>
              <w:rPr>
                <w:color w:val="595959"/>
                <w:sz w:val="20"/>
              </w:rPr>
              <w:t>CPU (no GPU available)</w:t>
            </w:r>
          </w:p>
        </w:tc>
        <w:tc>
          <w:tcPr>
            <w:tcW w:type="dxa" w:w="3888"/>
            <w:shd w:val="clear" w:color="auto" w:fill="FFFFFF"/>
          </w:tcPr>
          <w:p>
            <w:r>
              <w:rPr>
                <w:color w:val="595959"/>
                <w:sz w:val="20"/>
              </w:rPr>
              <w:t>Training was conducted on CPU due to hardware constraints.</w:t>
            </w:r>
          </w:p>
        </w:tc>
      </w:tr>
    </w:tbl>
    <w:p/>
    <w:p>
      <w:pPr>
        <w:spacing w:before="240" w:after="40"/>
      </w:pPr>
      <w:r>
        <w:rPr>
          <w:b/>
          <w:color w:val="007078"/>
          <w:sz w:val="26"/>
        </w:rPr>
        <w:t>6.2  Ablation Study — Does Cross-Attention Help? (Core of Objective 1)</w:t>
      </w:r>
    </w:p>
    <w:p>
      <w:pPr>
        <w:spacing w:before="40" w:after="80"/>
      </w:pPr>
      <w:r>
        <w:rPr>
          <w:color w:val="595959"/>
          <w:sz w:val="22"/>
        </w:rPr>
        <w:t>The ablation study compares four model variants across two datasets and four split types, using five different random seeds. Results are summarised in the table below. Significance was tested with a paired t-test (df = 4, p &lt; 0.05).</w:t>
      </w:r>
    </w:p>
    <w:p>
      <w:pPr>
        <w:spacing w:before="160" w:after="40"/>
      </w:pPr>
      <w:r>
        <w:rPr>
          <w:b/>
          <w:color w:val="1F497D"/>
          <w:sz w:val="22"/>
        </w:rPr>
        <w:t>Table: AUROC — H-GNN-RNN-DTI vs. ConcatBaseline (mean ± std, 5 seeds)</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1440"/>
            <w:shd w:val="clear" w:color="auto" w:fill="1F497D"/>
          </w:tcPr>
          <w:p>
            <w:r>
              <w:rPr>
                <w:b/>
                <w:color w:val="FFFFFF"/>
                <w:sz w:val="20"/>
              </w:rPr>
              <w:t>Dataset</w:t>
            </w:r>
          </w:p>
        </w:tc>
        <w:tc>
          <w:tcPr>
            <w:tcW w:type="dxa" w:w="1440"/>
            <w:shd w:val="clear" w:color="auto" w:fill="1F497D"/>
          </w:tcPr>
          <w:p>
            <w:r>
              <w:rPr>
                <w:b/>
                <w:color w:val="FFFFFF"/>
                <w:sz w:val="20"/>
              </w:rPr>
              <w:t>Split</w:t>
            </w:r>
          </w:p>
        </w:tc>
        <w:tc>
          <w:tcPr>
            <w:tcW w:type="dxa" w:w="1872"/>
            <w:shd w:val="clear" w:color="auto" w:fill="1F497D"/>
          </w:tcPr>
          <w:p>
            <w:r>
              <w:rPr>
                <w:b/>
                <w:color w:val="FFFFFF"/>
                <w:sz w:val="20"/>
              </w:rPr>
              <w:t>H-GNN-RNN-DTI</w:t>
            </w:r>
          </w:p>
        </w:tc>
        <w:tc>
          <w:tcPr>
            <w:tcW w:type="dxa" w:w="1872"/>
            <w:shd w:val="clear" w:color="auto" w:fill="1F497D"/>
          </w:tcPr>
          <w:p>
            <w:r>
              <w:rPr>
                <w:b/>
                <w:color w:val="FFFFFF"/>
                <w:sz w:val="20"/>
              </w:rPr>
              <w:t>Concat Baseline</w:t>
            </w:r>
          </w:p>
        </w:tc>
        <w:tc>
          <w:tcPr>
            <w:tcW w:type="dxa" w:w="1008"/>
            <w:shd w:val="clear" w:color="auto" w:fill="1F497D"/>
          </w:tcPr>
          <w:p>
            <w:r>
              <w:rPr>
                <w:b/>
                <w:color w:val="FFFFFF"/>
                <w:sz w:val="20"/>
              </w:rPr>
              <w:t>Δ</w:t>
            </w:r>
          </w:p>
        </w:tc>
        <w:tc>
          <w:tcPr>
            <w:tcW w:type="dxa" w:w="2736"/>
            <w:shd w:val="clear" w:color="auto" w:fill="1F497D"/>
          </w:tcPr>
          <w:p>
            <w:r>
              <w:rPr>
                <w:b/>
                <w:color w:val="FFFFFF"/>
                <w:sz w:val="20"/>
              </w:rPr>
              <w:t>Significant?</w:t>
            </w:r>
          </w:p>
        </w:tc>
      </w:tr>
      <w:tr>
        <w:tc>
          <w:tcPr>
            <w:tcW w:type="dxa" w:w="1440"/>
            <w:shd w:val="clear" w:color="auto" w:fill="F2F7FF"/>
          </w:tcPr>
          <w:p>
            <w:r>
              <w:rPr>
                <w:color w:val="595959"/>
                <w:sz w:val="20"/>
              </w:rPr>
              <w:t>yamanishi_e</w:t>
            </w:r>
          </w:p>
        </w:tc>
        <w:tc>
          <w:tcPr>
            <w:tcW w:type="dxa" w:w="1440"/>
            <w:shd w:val="clear" w:color="auto" w:fill="F2F7FF"/>
          </w:tcPr>
          <w:p>
            <w:r>
              <w:rPr>
                <w:color w:val="595959"/>
                <w:sz w:val="20"/>
              </w:rPr>
              <w:t>random</w:t>
            </w:r>
          </w:p>
        </w:tc>
        <w:tc>
          <w:tcPr>
            <w:tcW w:type="dxa" w:w="1872"/>
            <w:shd w:val="clear" w:color="auto" w:fill="F2F7FF"/>
          </w:tcPr>
          <w:p>
            <w:r>
              <w:rPr>
                <w:color w:val="595959"/>
                <w:sz w:val="20"/>
              </w:rPr>
              <w:t>0.756 ± 0.125</w:t>
            </w:r>
          </w:p>
        </w:tc>
        <w:tc>
          <w:tcPr>
            <w:tcW w:type="dxa" w:w="1872"/>
            <w:shd w:val="clear" w:color="auto" w:fill="F2F7FF"/>
          </w:tcPr>
          <w:p>
            <w:r>
              <w:rPr>
                <w:color w:val="595959"/>
                <w:sz w:val="20"/>
              </w:rPr>
              <w:t>0.559 ± 0.093</w:t>
            </w:r>
          </w:p>
        </w:tc>
        <w:tc>
          <w:tcPr>
            <w:tcW w:type="dxa" w:w="1008"/>
            <w:shd w:val="clear" w:color="auto" w:fill="F2F7FF"/>
          </w:tcPr>
          <w:p>
            <w:r>
              <w:rPr>
                <w:color w:val="595959"/>
                <w:sz w:val="20"/>
              </w:rPr>
              <w:t>+0.197</w:t>
            </w:r>
          </w:p>
        </w:tc>
        <w:tc>
          <w:tcPr>
            <w:tcW w:type="dxa" w:w="2736"/>
            <w:shd w:val="clear" w:color="auto" w:fill="F2F7FF"/>
          </w:tcPr>
          <w:p>
            <w:r>
              <w:rPr>
                <w:color w:val="595959"/>
                <w:sz w:val="20"/>
              </w:rPr>
              <w:t>Yes (p &lt; 0.05) ✓</w:t>
            </w:r>
          </w:p>
        </w:tc>
      </w:tr>
      <w:tr>
        <w:tc>
          <w:tcPr>
            <w:tcW w:type="dxa" w:w="1440"/>
            <w:shd w:val="clear" w:color="auto" w:fill="FFFFFF"/>
          </w:tcPr>
          <w:p>
            <w:r>
              <w:rPr>
                <w:color w:val="595959"/>
                <w:sz w:val="20"/>
              </w:rPr>
              <w:t>yamanishi_e</w:t>
            </w:r>
          </w:p>
        </w:tc>
        <w:tc>
          <w:tcPr>
            <w:tcW w:type="dxa" w:w="1440"/>
            <w:shd w:val="clear" w:color="auto" w:fill="FFFFFF"/>
          </w:tcPr>
          <w:p>
            <w:r>
              <w:rPr>
                <w:color w:val="595959"/>
                <w:sz w:val="20"/>
              </w:rPr>
              <w:t>cold_drug</w:t>
            </w:r>
          </w:p>
        </w:tc>
        <w:tc>
          <w:tcPr>
            <w:tcW w:type="dxa" w:w="1872"/>
            <w:shd w:val="clear" w:color="auto" w:fill="FFFFFF"/>
          </w:tcPr>
          <w:p>
            <w:r>
              <w:rPr>
                <w:color w:val="595959"/>
                <w:sz w:val="20"/>
              </w:rPr>
              <w:t>0.774 ± 0.011</w:t>
            </w:r>
          </w:p>
        </w:tc>
        <w:tc>
          <w:tcPr>
            <w:tcW w:type="dxa" w:w="1872"/>
            <w:shd w:val="clear" w:color="auto" w:fill="FFFFFF"/>
          </w:tcPr>
          <w:p>
            <w:r>
              <w:rPr>
                <w:color w:val="595959"/>
                <w:sz w:val="20"/>
              </w:rPr>
              <w:t>0.638 ± 0.041</w:t>
            </w:r>
          </w:p>
        </w:tc>
        <w:tc>
          <w:tcPr>
            <w:tcW w:type="dxa" w:w="1008"/>
            <w:shd w:val="clear" w:color="auto" w:fill="FFFFFF"/>
          </w:tcPr>
          <w:p>
            <w:r>
              <w:rPr>
                <w:color w:val="595959"/>
                <w:sz w:val="20"/>
              </w:rPr>
              <w:t>+0.136</w:t>
            </w:r>
          </w:p>
        </w:tc>
        <w:tc>
          <w:tcPr>
            <w:tcW w:type="dxa" w:w="2736"/>
            <w:shd w:val="clear" w:color="auto" w:fill="FFFFFF"/>
          </w:tcPr>
          <w:p>
            <w:r>
              <w:rPr>
                <w:color w:val="595959"/>
                <w:sz w:val="20"/>
              </w:rPr>
              <w:t>Yes (p &lt; 0.01) ✓✓</w:t>
            </w:r>
          </w:p>
        </w:tc>
      </w:tr>
      <w:tr>
        <w:tc>
          <w:tcPr>
            <w:tcW w:type="dxa" w:w="1440"/>
            <w:shd w:val="clear" w:color="auto" w:fill="F2F7FF"/>
          </w:tcPr>
          <w:p>
            <w:r>
              <w:rPr>
                <w:color w:val="595959"/>
                <w:sz w:val="20"/>
              </w:rPr>
              <w:t>yamanishi_e</w:t>
            </w:r>
          </w:p>
        </w:tc>
        <w:tc>
          <w:tcPr>
            <w:tcW w:type="dxa" w:w="1440"/>
            <w:shd w:val="clear" w:color="auto" w:fill="F2F7FF"/>
          </w:tcPr>
          <w:p>
            <w:r>
              <w:rPr>
                <w:color w:val="595959"/>
                <w:sz w:val="20"/>
              </w:rPr>
              <w:t>cold_target</w:t>
            </w:r>
          </w:p>
        </w:tc>
        <w:tc>
          <w:tcPr>
            <w:tcW w:type="dxa" w:w="1872"/>
            <w:shd w:val="clear" w:color="auto" w:fill="F2F7FF"/>
          </w:tcPr>
          <w:p>
            <w:r>
              <w:rPr>
                <w:color w:val="595959"/>
                <w:sz w:val="20"/>
              </w:rPr>
              <w:t>0.438 ± 0.045</w:t>
            </w:r>
          </w:p>
        </w:tc>
        <w:tc>
          <w:tcPr>
            <w:tcW w:type="dxa" w:w="1872"/>
            <w:shd w:val="clear" w:color="auto" w:fill="F2F7FF"/>
          </w:tcPr>
          <w:p>
            <w:r>
              <w:rPr>
                <w:color w:val="595959"/>
                <w:sz w:val="20"/>
              </w:rPr>
              <w:t>0.415 ± 0.123</w:t>
            </w:r>
          </w:p>
        </w:tc>
        <w:tc>
          <w:tcPr>
            <w:tcW w:type="dxa" w:w="1008"/>
            <w:shd w:val="clear" w:color="auto" w:fill="F2F7FF"/>
          </w:tcPr>
          <w:p>
            <w:r>
              <w:rPr>
                <w:color w:val="595959"/>
                <w:sz w:val="20"/>
              </w:rPr>
              <w:t>+0.023</w:t>
            </w:r>
          </w:p>
        </w:tc>
        <w:tc>
          <w:tcPr>
            <w:tcW w:type="dxa" w:w="2736"/>
            <w:shd w:val="clear" w:color="auto" w:fill="F2F7FF"/>
          </w:tcPr>
          <w:p>
            <w:r>
              <w:rPr>
                <w:color w:val="595959"/>
                <w:sz w:val="20"/>
              </w:rPr>
              <w:t>No (n.s.)</w:t>
            </w:r>
          </w:p>
        </w:tc>
      </w:tr>
      <w:tr>
        <w:tc>
          <w:tcPr>
            <w:tcW w:type="dxa" w:w="1440"/>
            <w:shd w:val="clear" w:color="auto" w:fill="FFFFFF"/>
          </w:tcPr>
          <w:p>
            <w:r>
              <w:rPr>
                <w:color w:val="595959"/>
                <w:sz w:val="20"/>
              </w:rPr>
              <w:t>yamanishi_e</w:t>
            </w:r>
          </w:p>
        </w:tc>
        <w:tc>
          <w:tcPr>
            <w:tcW w:type="dxa" w:w="1440"/>
            <w:shd w:val="clear" w:color="auto" w:fill="FFFFFF"/>
          </w:tcPr>
          <w:p>
            <w:r>
              <w:rPr>
                <w:color w:val="595959"/>
                <w:sz w:val="20"/>
              </w:rPr>
              <w:t>cold_pair</w:t>
            </w:r>
          </w:p>
        </w:tc>
        <w:tc>
          <w:tcPr>
            <w:tcW w:type="dxa" w:w="1872"/>
            <w:shd w:val="clear" w:color="auto" w:fill="FFFFFF"/>
          </w:tcPr>
          <w:p>
            <w:r>
              <w:rPr>
                <w:color w:val="595959"/>
                <w:sz w:val="20"/>
              </w:rPr>
              <w:t>0.746 ± 0.054</w:t>
            </w:r>
          </w:p>
        </w:tc>
        <w:tc>
          <w:tcPr>
            <w:tcW w:type="dxa" w:w="1872"/>
            <w:shd w:val="clear" w:color="auto" w:fill="FFFFFF"/>
          </w:tcPr>
          <w:p>
            <w:r>
              <w:rPr>
                <w:color w:val="595959"/>
                <w:sz w:val="20"/>
              </w:rPr>
              <w:t>0.631 ± 0.021</w:t>
            </w:r>
          </w:p>
        </w:tc>
        <w:tc>
          <w:tcPr>
            <w:tcW w:type="dxa" w:w="1008"/>
            <w:shd w:val="clear" w:color="auto" w:fill="FFFFFF"/>
          </w:tcPr>
          <w:p>
            <w:r>
              <w:rPr>
                <w:color w:val="595959"/>
                <w:sz w:val="20"/>
              </w:rPr>
              <w:t>+0.115</w:t>
            </w:r>
          </w:p>
        </w:tc>
        <w:tc>
          <w:tcPr>
            <w:tcW w:type="dxa" w:w="2736"/>
            <w:shd w:val="clear" w:color="auto" w:fill="FFFFFF"/>
          </w:tcPr>
          <w:p>
            <w:r>
              <w:rPr>
                <w:color w:val="595959"/>
                <w:sz w:val="20"/>
              </w:rPr>
              <w:t>Yes (p &lt; 0.05) ✓</w:t>
            </w:r>
          </w:p>
        </w:tc>
      </w:tr>
      <w:tr>
        <w:tc>
          <w:tcPr>
            <w:tcW w:type="dxa" w:w="1440"/>
            <w:shd w:val="clear" w:color="auto" w:fill="F2F7FF"/>
          </w:tcPr>
          <w:p>
            <w:r>
              <w:rPr>
                <w:color w:val="595959"/>
                <w:sz w:val="20"/>
              </w:rPr>
              <w:t>luo_17</w:t>
            </w:r>
          </w:p>
        </w:tc>
        <w:tc>
          <w:tcPr>
            <w:tcW w:type="dxa" w:w="1440"/>
            <w:shd w:val="clear" w:color="auto" w:fill="F2F7FF"/>
          </w:tcPr>
          <w:p>
            <w:r>
              <w:rPr>
                <w:color w:val="595959"/>
                <w:sz w:val="20"/>
              </w:rPr>
              <w:t>random</w:t>
            </w:r>
          </w:p>
        </w:tc>
        <w:tc>
          <w:tcPr>
            <w:tcW w:type="dxa" w:w="1872"/>
            <w:shd w:val="clear" w:color="auto" w:fill="F2F7FF"/>
          </w:tcPr>
          <w:p>
            <w:r>
              <w:rPr>
                <w:color w:val="595959"/>
                <w:sz w:val="20"/>
              </w:rPr>
              <w:t>0.946 ± 0.005</w:t>
            </w:r>
          </w:p>
        </w:tc>
        <w:tc>
          <w:tcPr>
            <w:tcW w:type="dxa" w:w="1872"/>
            <w:shd w:val="clear" w:color="auto" w:fill="F2F7FF"/>
          </w:tcPr>
          <w:p>
            <w:r>
              <w:rPr>
                <w:color w:val="595959"/>
                <w:sz w:val="20"/>
              </w:rPr>
              <w:t>0.948 ± 0.004</w:t>
            </w:r>
          </w:p>
        </w:tc>
        <w:tc>
          <w:tcPr>
            <w:tcW w:type="dxa" w:w="1008"/>
            <w:shd w:val="clear" w:color="auto" w:fill="F2F7FF"/>
          </w:tcPr>
          <w:p>
            <w:r>
              <w:rPr>
                <w:color w:val="595959"/>
                <w:sz w:val="20"/>
              </w:rPr>
              <w:t>−0.002</w:t>
            </w:r>
          </w:p>
        </w:tc>
        <w:tc>
          <w:tcPr>
            <w:tcW w:type="dxa" w:w="2736"/>
            <w:shd w:val="clear" w:color="auto" w:fill="F2F7FF"/>
          </w:tcPr>
          <w:p>
            <w:r>
              <w:rPr>
                <w:color w:val="595959"/>
                <w:sz w:val="20"/>
              </w:rPr>
              <w:t>No (n.s.)</w:t>
            </w:r>
          </w:p>
        </w:tc>
      </w:tr>
      <w:tr>
        <w:tc>
          <w:tcPr>
            <w:tcW w:type="dxa" w:w="1440"/>
            <w:shd w:val="clear" w:color="auto" w:fill="FFFFFF"/>
          </w:tcPr>
          <w:p>
            <w:r>
              <w:rPr>
                <w:color w:val="595959"/>
                <w:sz w:val="20"/>
              </w:rPr>
              <w:t>luo_17</w:t>
            </w:r>
          </w:p>
        </w:tc>
        <w:tc>
          <w:tcPr>
            <w:tcW w:type="dxa" w:w="1440"/>
            <w:shd w:val="clear" w:color="auto" w:fill="FFFFFF"/>
          </w:tcPr>
          <w:p>
            <w:r>
              <w:rPr>
                <w:color w:val="595959"/>
                <w:sz w:val="20"/>
              </w:rPr>
              <w:t>cold_drug</w:t>
            </w:r>
          </w:p>
        </w:tc>
        <w:tc>
          <w:tcPr>
            <w:tcW w:type="dxa" w:w="1872"/>
            <w:shd w:val="clear" w:color="auto" w:fill="FFFFFF"/>
          </w:tcPr>
          <w:p>
            <w:r>
              <w:rPr>
                <w:color w:val="595959"/>
                <w:sz w:val="20"/>
              </w:rPr>
              <w:t>0.913 ± 0.009</w:t>
            </w:r>
          </w:p>
        </w:tc>
        <w:tc>
          <w:tcPr>
            <w:tcW w:type="dxa" w:w="1872"/>
            <w:shd w:val="clear" w:color="auto" w:fill="FFFFFF"/>
          </w:tcPr>
          <w:p>
            <w:r>
              <w:rPr>
                <w:color w:val="595959"/>
                <w:sz w:val="20"/>
              </w:rPr>
              <w:t>0.907 ± 0.006</w:t>
            </w:r>
          </w:p>
        </w:tc>
        <w:tc>
          <w:tcPr>
            <w:tcW w:type="dxa" w:w="1008"/>
            <w:shd w:val="clear" w:color="auto" w:fill="FFFFFF"/>
          </w:tcPr>
          <w:p>
            <w:r>
              <w:rPr>
                <w:color w:val="595959"/>
                <w:sz w:val="20"/>
              </w:rPr>
              <w:t>+0.006</w:t>
            </w:r>
          </w:p>
        </w:tc>
        <w:tc>
          <w:tcPr>
            <w:tcW w:type="dxa" w:w="2736"/>
            <w:shd w:val="clear" w:color="auto" w:fill="FFFFFF"/>
          </w:tcPr>
          <w:p>
            <w:r>
              <w:rPr>
                <w:color w:val="595959"/>
                <w:sz w:val="20"/>
              </w:rPr>
              <w:t>No (n.s.)</w:t>
            </w:r>
          </w:p>
        </w:tc>
      </w:tr>
      <w:tr>
        <w:tc>
          <w:tcPr>
            <w:tcW w:type="dxa" w:w="1440"/>
            <w:shd w:val="clear" w:color="auto" w:fill="F2F7FF"/>
          </w:tcPr>
          <w:p>
            <w:r>
              <w:rPr>
                <w:color w:val="595959"/>
                <w:sz w:val="20"/>
              </w:rPr>
              <w:t>luo_17</w:t>
            </w:r>
          </w:p>
        </w:tc>
        <w:tc>
          <w:tcPr>
            <w:tcW w:type="dxa" w:w="1440"/>
            <w:shd w:val="clear" w:color="auto" w:fill="F2F7FF"/>
          </w:tcPr>
          <w:p>
            <w:r>
              <w:rPr>
                <w:color w:val="595959"/>
                <w:sz w:val="20"/>
              </w:rPr>
              <w:t>cold_target</w:t>
            </w:r>
          </w:p>
        </w:tc>
        <w:tc>
          <w:tcPr>
            <w:tcW w:type="dxa" w:w="1872"/>
            <w:shd w:val="clear" w:color="auto" w:fill="F2F7FF"/>
          </w:tcPr>
          <w:p>
            <w:r>
              <w:rPr>
                <w:color w:val="595959"/>
                <w:sz w:val="20"/>
              </w:rPr>
              <w:t>0.778 ± 0.014</w:t>
            </w:r>
          </w:p>
        </w:tc>
        <w:tc>
          <w:tcPr>
            <w:tcW w:type="dxa" w:w="1872"/>
            <w:shd w:val="clear" w:color="auto" w:fill="F2F7FF"/>
          </w:tcPr>
          <w:p>
            <w:r>
              <w:rPr>
                <w:color w:val="595959"/>
                <w:sz w:val="20"/>
              </w:rPr>
              <w:t>0.813 ± 0.013</w:t>
            </w:r>
          </w:p>
        </w:tc>
        <w:tc>
          <w:tcPr>
            <w:tcW w:type="dxa" w:w="1008"/>
            <w:shd w:val="clear" w:color="auto" w:fill="F2F7FF"/>
          </w:tcPr>
          <w:p>
            <w:r>
              <w:rPr>
                <w:color w:val="595959"/>
                <w:sz w:val="20"/>
              </w:rPr>
              <w:t>−0.035</w:t>
            </w:r>
          </w:p>
        </w:tc>
        <w:tc>
          <w:tcPr>
            <w:tcW w:type="dxa" w:w="2736"/>
            <w:shd w:val="clear" w:color="auto" w:fill="F2F7FF"/>
          </w:tcPr>
          <w:p>
            <w:r>
              <w:rPr>
                <w:color w:val="595959"/>
                <w:sz w:val="20"/>
              </w:rPr>
              <w:t>Yes — Concat BETTER (p &lt; 0.01) ✗</w:t>
            </w:r>
          </w:p>
        </w:tc>
      </w:tr>
      <w:tr>
        <w:tc>
          <w:tcPr>
            <w:tcW w:type="dxa" w:w="1440"/>
            <w:shd w:val="clear" w:color="auto" w:fill="FFFFFF"/>
          </w:tcPr>
          <w:p>
            <w:r>
              <w:rPr>
                <w:color w:val="595959"/>
                <w:sz w:val="20"/>
              </w:rPr>
              <w:t>luo_17</w:t>
            </w:r>
          </w:p>
        </w:tc>
        <w:tc>
          <w:tcPr>
            <w:tcW w:type="dxa" w:w="1440"/>
            <w:shd w:val="clear" w:color="auto" w:fill="FFFFFF"/>
          </w:tcPr>
          <w:p>
            <w:r>
              <w:rPr>
                <w:color w:val="595959"/>
                <w:sz w:val="20"/>
              </w:rPr>
              <w:t>cold_pair</w:t>
            </w:r>
          </w:p>
        </w:tc>
        <w:tc>
          <w:tcPr>
            <w:tcW w:type="dxa" w:w="1872"/>
            <w:shd w:val="clear" w:color="auto" w:fill="FFFFFF"/>
          </w:tcPr>
          <w:p>
            <w:r>
              <w:rPr>
                <w:color w:val="595959"/>
                <w:sz w:val="20"/>
              </w:rPr>
              <w:t>0.948 ± 0.002</w:t>
            </w:r>
          </w:p>
        </w:tc>
        <w:tc>
          <w:tcPr>
            <w:tcW w:type="dxa" w:w="1872"/>
            <w:shd w:val="clear" w:color="auto" w:fill="FFFFFF"/>
          </w:tcPr>
          <w:p>
            <w:r>
              <w:rPr>
                <w:color w:val="595959"/>
                <w:sz w:val="20"/>
              </w:rPr>
              <w:t>0.943 ± 0.005</w:t>
            </w:r>
          </w:p>
        </w:tc>
        <w:tc>
          <w:tcPr>
            <w:tcW w:type="dxa" w:w="1008"/>
            <w:shd w:val="clear" w:color="auto" w:fill="FFFFFF"/>
          </w:tcPr>
          <w:p>
            <w:r>
              <w:rPr>
                <w:color w:val="595959"/>
                <w:sz w:val="20"/>
              </w:rPr>
              <w:t>+0.005</w:t>
            </w:r>
          </w:p>
        </w:tc>
        <w:tc>
          <w:tcPr>
            <w:tcW w:type="dxa" w:w="2736"/>
            <w:shd w:val="clear" w:color="auto" w:fill="FFFFFF"/>
          </w:tcPr>
          <w:p>
            <w:r>
              <w:rPr>
                <w:color w:val="595959"/>
                <w:sz w:val="20"/>
              </w:rPr>
              <w:t>No (n.s.)</w:t>
            </w:r>
          </w:p>
        </w:tc>
      </w:tr>
    </w:tbl>
    <w:p/>
    <w:p>
      <w:pPr>
        <w:spacing w:before="160" w:after="40"/>
      </w:pPr>
      <w:r>
        <w:rPr>
          <w:b/>
          <w:color w:val="1F497D"/>
          <w:sz w:val="22"/>
        </w:rPr>
        <w:t>What Does This Tell Us?</w:t>
      </w:r>
    </w:p>
    <w:p>
      <w:pPr>
        <w:spacing w:before="40" w:after="80"/>
      </w:pPr>
      <w:r>
        <w:rPr>
          <w:color w:val="595959"/>
          <w:sz w:val="22"/>
        </w:rPr>
        <w:t>Three clear patterns emerge from this experiment:</w:t>
      </w:r>
    </w:p>
    <w:p>
      <w:pPr>
        <w:pStyle w:val="ListBullet"/>
        <w:spacing w:before="20" w:after="20"/>
        <w:ind w:left="454"/>
      </w:pPr>
      <w:r>
        <w:rPr>
          <w:b/>
          <w:color w:val="595959"/>
          <w:sz w:val="22"/>
        </w:rPr>
        <w:t xml:space="preserve">1.  </w:t>
      </w:r>
      <w:r>
        <w:rPr>
          <w:color w:val="595959"/>
          <w:sz w:val="22"/>
        </w:rPr>
        <w:t>Cross-attention helps most when data is scarce.  On yamanishi_e (only 445 positive pairs), H-GNN-RNN-DTI is significantly better on 3 out of 4 splits. The largest gain is on cold_drug: +0.136 AUROC (p &lt; 0.01). The attention mechanism acts like a form of structural regularisation — it helps the model generalise when it cannot simply memorise training patterns.</w:t>
      </w:r>
    </w:p>
    <w:p>
      <w:pPr>
        <w:pStyle w:val="ListBullet"/>
        <w:spacing w:before="20" w:after="20"/>
        <w:ind w:left="454"/>
      </w:pPr>
      <w:r>
        <w:rPr>
          <w:b/>
          <w:color w:val="595959"/>
          <w:sz w:val="22"/>
        </w:rPr>
        <w:t xml:space="preserve">2.  </w:t>
      </w:r>
      <w:r>
        <w:rPr>
          <w:color w:val="595959"/>
          <w:sz w:val="22"/>
        </w:rPr>
        <w:t>On large datasets, simple concatenation is competitive.  On luo_17 (3,846 pairs), the differences are tiny and mostly not significant. When there is enough data, the MLP in the concat baseline learns good interaction patterns without needing cross-attention.</w:t>
      </w:r>
    </w:p>
    <w:p>
      <w:pPr>
        <w:pStyle w:val="ListBullet"/>
        <w:spacing w:before="20" w:after="20"/>
        <w:ind w:left="454"/>
      </w:pPr>
      <w:r>
        <w:rPr>
          <w:b/>
          <w:color w:val="595959"/>
          <w:sz w:val="22"/>
        </w:rPr>
        <w:t xml:space="preserve">3.  </w:t>
      </w:r>
      <w:r>
        <w:rPr>
          <w:color w:val="595959"/>
          <w:sz w:val="22"/>
        </w:rPr>
        <w:t>Exception — luo_17 cold_target:  Here, concat is significantly better (AUROC 0.813 vs. 0.778, p &lt; 0.01). This suggests the cross-attention layer over-fits to the training protein distributions on luo_17, and actually hurts when test proteins are completely new. This is an important finding and is discussed further in the improvement recommendations.</w:t>
      </w:r>
    </w:p>
    <w:p>
      <w:pPr>
        <w:spacing w:before="120" w:after="120"/>
        <w:ind w:left="567"/>
        <w:pBdr>
          <w:left w:val="single" w:sz="12" w:space="6" w:color="19762E"/>
        </w:pBdr>
      </w:pPr>
      <w:r>
        <w:rPr>
          <w:i/>
          <w:color w:val="595959"/>
          <w:sz w:val="21"/>
        </w:rPr>
        <w:t>Answer to Objective 1:  Yes, Gated Cross-Attention provides a statistically significant improvement — primarily for small datasets and cold-drug generalisation. For large datasets, it is competitive but not always superior.</w:t>
      </w:r>
    </w:p>
    <w:p>
      <w:pPr>
        <w:spacing w:before="240" w:after="40"/>
      </w:pPr>
      <w:r>
        <w:rPr>
          <w:b/>
          <w:color w:val="007078"/>
          <w:sz w:val="26"/>
        </w:rPr>
        <w:t>6.3  Encoder Ablation — How Much Does Each Part Contribute?</w:t>
      </w:r>
    </w:p>
    <w:p>
      <w:pPr>
        <w:spacing w:before="40" w:after="80"/>
      </w:pPr>
      <w:r>
        <w:rPr>
          <w:color w:val="595959"/>
          <w:sz w:val="22"/>
        </w:rPr>
        <w:t>We also trained two stripped-down versions: GNN-Only (no protein encoder) and RNN-Only (no drug encoder). This reveals how much each modality contributes on its own.</w:t>
      </w:r>
    </w:p>
    <w:p>
      <w:pPr>
        <w:spacing w:before="160" w:after="40"/>
      </w:pPr>
      <w:r>
        <w:rPr>
          <w:b/>
          <w:color w:val="1F497D"/>
          <w:sz w:val="22"/>
        </w:rPr>
        <w:t>Table: AUROC — All Four Variants (mean ± std, 5 seeds)</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1440"/>
            <w:shd w:val="clear" w:color="auto" w:fill="1F497D"/>
          </w:tcPr>
          <w:p>
            <w:r>
              <w:rPr>
                <w:b/>
                <w:color w:val="FFFFFF"/>
                <w:sz w:val="20"/>
              </w:rPr>
              <w:t>Dataset</w:t>
            </w:r>
          </w:p>
        </w:tc>
        <w:tc>
          <w:tcPr>
            <w:tcW w:type="dxa" w:w="1440"/>
            <w:shd w:val="clear" w:color="auto" w:fill="1F497D"/>
          </w:tcPr>
          <w:p>
            <w:r>
              <w:rPr>
                <w:b/>
                <w:color w:val="FFFFFF"/>
                <w:sz w:val="20"/>
              </w:rPr>
              <w:t>Split</w:t>
            </w:r>
          </w:p>
        </w:tc>
        <w:tc>
          <w:tcPr>
            <w:tcW w:type="dxa" w:w="1584"/>
            <w:shd w:val="clear" w:color="auto" w:fill="1F497D"/>
          </w:tcPr>
          <w:p>
            <w:r>
              <w:rPr>
                <w:b/>
                <w:color w:val="FFFFFF"/>
                <w:sz w:val="20"/>
              </w:rPr>
              <w:t>Full Model</w:t>
            </w:r>
          </w:p>
        </w:tc>
        <w:tc>
          <w:tcPr>
            <w:tcW w:type="dxa" w:w="1296"/>
            <w:shd w:val="clear" w:color="auto" w:fill="1F497D"/>
          </w:tcPr>
          <w:p>
            <w:r>
              <w:rPr>
                <w:b/>
                <w:color w:val="FFFFFF"/>
                <w:sz w:val="20"/>
              </w:rPr>
              <w:t>Concat</w:t>
            </w:r>
          </w:p>
        </w:tc>
        <w:tc>
          <w:tcPr>
            <w:tcW w:type="dxa" w:w="1440"/>
            <w:shd w:val="clear" w:color="auto" w:fill="1F497D"/>
          </w:tcPr>
          <w:p>
            <w:r>
              <w:rPr>
                <w:b/>
                <w:color w:val="FFFFFF"/>
                <w:sz w:val="20"/>
              </w:rPr>
              <w:t>GNN-Only</w:t>
            </w:r>
          </w:p>
        </w:tc>
        <w:tc>
          <w:tcPr>
            <w:tcW w:type="dxa" w:w="1296"/>
            <w:shd w:val="clear" w:color="auto" w:fill="1F497D"/>
          </w:tcPr>
          <w:p>
            <w:r>
              <w:rPr>
                <w:b/>
                <w:color w:val="FFFFFF"/>
                <w:sz w:val="20"/>
              </w:rPr>
              <w:t>RNN-Only</w:t>
            </w:r>
          </w:p>
        </w:tc>
      </w:tr>
      <w:tr>
        <w:tc>
          <w:tcPr>
            <w:tcW w:type="dxa" w:w="1440"/>
            <w:shd w:val="clear" w:color="auto" w:fill="F2F7FF"/>
          </w:tcPr>
          <w:p>
            <w:r>
              <w:rPr>
                <w:color w:val="595959"/>
                <w:sz w:val="20"/>
              </w:rPr>
              <w:t>yamanishi_e</w:t>
            </w:r>
          </w:p>
        </w:tc>
        <w:tc>
          <w:tcPr>
            <w:tcW w:type="dxa" w:w="1440"/>
            <w:shd w:val="clear" w:color="auto" w:fill="F2F7FF"/>
          </w:tcPr>
          <w:p>
            <w:r>
              <w:rPr>
                <w:color w:val="595959"/>
                <w:sz w:val="20"/>
              </w:rPr>
              <w:t>random</w:t>
            </w:r>
          </w:p>
        </w:tc>
        <w:tc>
          <w:tcPr>
            <w:tcW w:type="dxa" w:w="1584"/>
            <w:shd w:val="clear" w:color="auto" w:fill="F2F7FF"/>
          </w:tcPr>
          <w:p>
            <w:r>
              <w:rPr>
                <w:color w:val="595959"/>
                <w:sz w:val="20"/>
              </w:rPr>
              <w:t>0.756</w:t>
            </w:r>
          </w:p>
        </w:tc>
        <w:tc>
          <w:tcPr>
            <w:tcW w:type="dxa" w:w="1296"/>
            <w:shd w:val="clear" w:color="auto" w:fill="F2F7FF"/>
          </w:tcPr>
          <w:p>
            <w:r>
              <w:rPr>
                <w:color w:val="595959"/>
                <w:sz w:val="20"/>
              </w:rPr>
              <w:t>0.559</w:t>
            </w:r>
          </w:p>
        </w:tc>
        <w:tc>
          <w:tcPr>
            <w:tcW w:type="dxa" w:w="1440"/>
            <w:shd w:val="clear" w:color="auto" w:fill="F2F7FF"/>
          </w:tcPr>
          <w:p>
            <w:r>
              <w:rPr>
                <w:color w:val="595959"/>
                <w:sz w:val="20"/>
              </w:rPr>
              <w:t>0.527</w:t>
            </w:r>
          </w:p>
        </w:tc>
        <w:tc>
          <w:tcPr>
            <w:tcW w:type="dxa" w:w="1296"/>
            <w:shd w:val="clear" w:color="auto" w:fill="F2F7FF"/>
          </w:tcPr>
          <w:p>
            <w:r>
              <w:rPr>
                <w:color w:val="595959"/>
                <w:sz w:val="20"/>
              </w:rPr>
              <w:t>0.674</w:t>
            </w:r>
          </w:p>
        </w:tc>
      </w:tr>
      <w:tr>
        <w:tc>
          <w:tcPr>
            <w:tcW w:type="dxa" w:w="1440"/>
            <w:shd w:val="clear" w:color="auto" w:fill="FFFFFF"/>
          </w:tcPr>
          <w:p>
            <w:r>
              <w:rPr>
                <w:color w:val="595959"/>
                <w:sz w:val="20"/>
              </w:rPr>
              <w:t>yamanishi_e</w:t>
            </w:r>
          </w:p>
        </w:tc>
        <w:tc>
          <w:tcPr>
            <w:tcW w:type="dxa" w:w="1440"/>
            <w:shd w:val="clear" w:color="auto" w:fill="FFFFFF"/>
          </w:tcPr>
          <w:p>
            <w:r>
              <w:rPr>
                <w:color w:val="595959"/>
                <w:sz w:val="20"/>
              </w:rPr>
              <w:t>cold_drug</w:t>
            </w:r>
          </w:p>
        </w:tc>
        <w:tc>
          <w:tcPr>
            <w:tcW w:type="dxa" w:w="1584"/>
            <w:shd w:val="clear" w:color="auto" w:fill="FFFFFF"/>
          </w:tcPr>
          <w:p>
            <w:r>
              <w:rPr>
                <w:color w:val="595959"/>
                <w:sz w:val="20"/>
              </w:rPr>
              <w:t>0.774</w:t>
            </w:r>
          </w:p>
        </w:tc>
        <w:tc>
          <w:tcPr>
            <w:tcW w:type="dxa" w:w="1296"/>
            <w:shd w:val="clear" w:color="auto" w:fill="FFFFFF"/>
          </w:tcPr>
          <w:p>
            <w:r>
              <w:rPr>
                <w:color w:val="595959"/>
                <w:sz w:val="20"/>
              </w:rPr>
              <w:t>0.638</w:t>
            </w:r>
          </w:p>
        </w:tc>
        <w:tc>
          <w:tcPr>
            <w:tcW w:type="dxa" w:w="1440"/>
            <w:shd w:val="clear" w:color="auto" w:fill="FFFFFF"/>
          </w:tcPr>
          <w:p>
            <w:r>
              <w:rPr>
                <w:color w:val="595959"/>
                <w:sz w:val="20"/>
              </w:rPr>
              <w:t>0.554</w:t>
            </w:r>
          </w:p>
        </w:tc>
        <w:tc>
          <w:tcPr>
            <w:tcW w:type="dxa" w:w="1296"/>
            <w:shd w:val="clear" w:color="auto" w:fill="FFFFFF"/>
          </w:tcPr>
          <w:p>
            <w:r>
              <w:rPr>
                <w:color w:val="595959"/>
                <w:sz w:val="20"/>
              </w:rPr>
              <w:t>0.625</w:t>
            </w:r>
          </w:p>
        </w:tc>
      </w:tr>
      <w:tr>
        <w:tc>
          <w:tcPr>
            <w:tcW w:type="dxa" w:w="1440"/>
            <w:shd w:val="clear" w:color="auto" w:fill="F2F7FF"/>
          </w:tcPr>
          <w:p>
            <w:r>
              <w:rPr>
                <w:color w:val="595959"/>
                <w:sz w:val="20"/>
              </w:rPr>
              <w:t>yamanishi_e</w:t>
            </w:r>
          </w:p>
        </w:tc>
        <w:tc>
          <w:tcPr>
            <w:tcW w:type="dxa" w:w="1440"/>
            <w:shd w:val="clear" w:color="auto" w:fill="F2F7FF"/>
          </w:tcPr>
          <w:p>
            <w:r>
              <w:rPr>
                <w:color w:val="595959"/>
                <w:sz w:val="20"/>
              </w:rPr>
              <w:t>cold_target</w:t>
            </w:r>
          </w:p>
        </w:tc>
        <w:tc>
          <w:tcPr>
            <w:tcW w:type="dxa" w:w="1584"/>
            <w:shd w:val="clear" w:color="auto" w:fill="F2F7FF"/>
          </w:tcPr>
          <w:p>
            <w:r>
              <w:rPr>
                <w:color w:val="595959"/>
                <w:sz w:val="20"/>
              </w:rPr>
              <w:t>0.438</w:t>
            </w:r>
          </w:p>
        </w:tc>
        <w:tc>
          <w:tcPr>
            <w:tcW w:type="dxa" w:w="1296"/>
            <w:shd w:val="clear" w:color="auto" w:fill="F2F7FF"/>
          </w:tcPr>
          <w:p>
            <w:r>
              <w:rPr>
                <w:color w:val="595959"/>
                <w:sz w:val="20"/>
              </w:rPr>
              <w:t>0.415</w:t>
            </w:r>
          </w:p>
        </w:tc>
        <w:tc>
          <w:tcPr>
            <w:tcW w:type="dxa" w:w="1440"/>
            <w:shd w:val="clear" w:color="auto" w:fill="F2F7FF"/>
          </w:tcPr>
          <w:p>
            <w:r>
              <w:rPr>
                <w:color w:val="595959"/>
                <w:sz w:val="20"/>
              </w:rPr>
              <w:t>0.508</w:t>
            </w:r>
          </w:p>
        </w:tc>
        <w:tc>
          <w:tcPr>
            <w:tcW w:type="dxa" w:w="1296"/>
            <w:shd w:val="clear" w:color="auto" w:fill="F2F7FF"/>
          </w:tcPr>
          <w:p>
            <w:r>
              <w:rPr>
                <w:color w:val="595959"/>
                <w:sz w:val="20"/>
              </w:rPr>
              <w:t>0.412</w:t>
            </w:r>
          </w:p>
        </w:tc>
      </w:tr>
      <w:tr>
        <w:tc>
          <w:tcPr>
            <w:tcW w:type="dxa" w:w="1440"/>
            <w:shd w:val="clear" w:color="auto" w:fill="FFFFFF"/>
          </w:tcPr>
          <w:p>
            <w:r>
              <w:rPr>
                <w:color w:val="595959"/>
                <w:sz w:val="20"/>
              </w:rPr>
              <w:t>yamanishi_e</w:t>
            </w:r>
          </w:p>
        </w:tc>
        <w:tc>
          <w:tcPr>
            <w:tcW w:type="dxa" w:w="1440"/>
            <w:shd w:val="clear" w:color="auto" w:fill="FFFFFF"/>
          </w:tcPr>
          <w:p>
            <w:r>
              <w:rPr>
                <w:color w:val="595959"/>
                <w:sz w:val="20"/>
              </w:rPr>
              <w:t>cold_pair</w:t>
            </w:r>
          </w:p>
        </w:tc>
        <w:tc>
          <w:tcPr>
            <w:tcW w:type="dxa" w:w="1584"/>
            <w:shd w:val="clear" w:color="auto" w:fill="FFFFFF"/>
          </w:tcPr>
          <w:p>
            <w:r>
              <w:rPr>
                <w:color w:val="595959"/>
                <w:sz w:val="20"/>
              </w:rPr>
              <w:t>0.746</w:t>
            </w:r>
          </w:p>
        </w:tc>
        <w:tc>
          <w:tcPr>
            <w:tcW w:type="dxa" w:w="1296"/>
            <w:shd w:val="clear" w:color="auto" w:fill="FFFFFF"/>
          </w:tcPr>
          <w:p>
            <w:r>
              <w:rPr>
                <w:color w:val="595959"/>
                <w:sz w:val="20"/>
              </w:rPr>
              <w:t>0.631</w:t>
            </w:r>
          </w:p>
        </w:tc>
        <w:tc>
          <w:tcPr>
            <w:tcW w:type="dxa" w:w="1440"/>
            <w:shd w:val="clear" w:color="auto" w:fill="FFFFFF"/>
          </w:tcPr>
          <w:p>
            <w:r>
              <w:rPr>
                <w:color w:val="595959"/>
                <w:sz w:val="20"/>
              </w:rPr>
              <w:t>0.515</w:t>
            </w:r>
          </w:p>
        </w:tc>
        <w:tc>
          <w:tcPr>
            <w:tcW w:type="dxa" w:w="1296"/>
            <w:shd w:val="clear" w:color="auto" w:fill="FFFFFF"/>
          </w:tcPr>
          <w:p>
            <w:r>
              <w:rPr>
                <w:color w:val="595959"/>
                <w:sz w:val="20"/>
              </w:rPr>
              <w:t>0.704</w:t>
            </w:r>
          </w:p>
        </w:tc>
      </w:tr>
      <w:tr>
        <w:tc>
          <w:tcPr>
            <w:tcW w:type="dxa" w:w="1440"/>
            <w:shd w:val="clear" w:color="auto" w:fill="F2F7FF"/>
          </w:tcPr>
          <w:p>
            <w:r>
              <w:rPr>
                <w:color w:val="595959"/>
                <w:sz w:val="20"/>
              </w:rPr>
              <w:t>luo_17</w:t>
            </w:r>
          </w:p>
        </w:tc>
        <w:tc>
          <w:tcPr>
            <w:tcW w:type="dxa" w:w="1440"/>
            <w:shd w:val="clear" w:color="auto" w:fill="F2F7FF"/>
          </w:tcPr>
          <w:p>
            <w:r>
              <w:rPr>
                <w:color w:val="595959"/>
                <w:sz w:val="20"/>
              </w:rPr>
              <w:t>random</w:t>
            </w:r>
          </w:p>
        </w:tc>
        <w:tc>
          <w:tcPr>
            <w:tcW w:type="dxa" w:w="1584"/>
            <w:shd w:val="clear" w:color="auto" w:fill="F2F7FF"/>
          </w:tcPr>
          <w:p>
            <w:r>
              <w:rPr>
                <w:color w:val="595959"/>
                <w:sz w:val="20"/>
              </w:rPr>
              <w:t>0.946</w:t>
            </w:r>
          </w:p>
        </w:tc>
        <w:tc>
          <w:tcPr>
            <w:tcW w:type="dxa" w:w="1296"/>
            <w:shd w:val="clear" w:color="auto" w:fill="F2F7FF"/>
          </w:tcPr>
          <w:p>
            <w:r>
              <w:rPr>
                <w:color w:val="595959"/>
                <w:sz w:val="20"/>
              </w:rPr>
              <w:t>0.948</w:t>
            </w:r>
          </w:p>
        </w:tc>
        <w:tc>
          <w:tcPr>
            <w:tcW w:type="dxa" w:w="1440"/>
            <w:shd w:val="clear" w:color="auto" w:fill="F2F7FF"/>
          </w:tcPr>
          <w:p>
            <w:r>
              <w:rPr>
                <w:color w:val="595959"/>
                <w:sz w:val="20"/>
              </w:rPr>
              <w:t>0.902</w:t>
            </w:r>
          </w:p>
        </w:tc>
        <w:tc>
          <w:tcPr>
            <w:tcW w:type="dxa" w:w="1296"/>
            <w:shd w:val="clear" w:color="auto" w:fill="F2F7FF"/>
          </w:tcPr>
          <w:p>
            <w:r>
              <w:rPr>
                <w:color w:val="595959"/>
                <w:sz w:val="20"/>
              </w:rPr>
              <w:t>0.875</w:t>
            </w:r>
          </w:p>
        </w:tc>
      </w:tr>
      <w:tr>
        <w:tc>
          <w:tcPr>
            <w:tcW w:type="dxa" w:w="1440"/>
            <w:shd w:val="clear" w:color="auto" w:fill="FFFFFF"/>
          </w:tcPr>
          <w:p>
            <w:r>
              <w:rPr>
                <w:color w:val="595959"/>
                <w:sz w:val="20"/>
              </w:rPr>
              <w:t>luo_17</w:t>
            </w:r>
          </w:p>
        </w:tc>
        <w:tc>
          <w:tcPr>
            <w:tcW w:type="dxa" w:w="1440"/>
            <w:shd w:val="clear" w:color="auto" w:fill="FFFFFF"/>
          </w:tcPr>
          <w:p>
            <w:r>
              <w:rPr>
                <w:color w:val="595959"/>
                <w:sz w:val="20"/>
              </w:rPr>
              <w:t>cold_drug</w:t>
            </w:r>
          </w:p>
        </w:tc>
        <w:tc>
          <w:tcPr>
            <w:tcW w:type="dxa" w:w="1584"/>
            <w:shd w:val="clear" w:color="auto" w:fill="FFFFFF"/>
          </w:tcPr>
          <w:p>
            <w:r>
              <w:rPr>
                <w:color w:val="595959"/>
                <w:sz w:val="20"/>
              </w:rPr>
              <w:t>0.913</w:t>
            </w:r>
          </w:p>
        </w:tc>
        <w:tc>
          <w:tcPr>
            <w:tcW w:type="dxa" w:w="1296"/>
            <w:shd w:val="clear" w:color="auto" w:fill="FFFFFF"/>
          </w:tcPr>
          <w:p>
            <w:r>
              <w:rPr>
                <w:color w:val="595959"/>
                <w:sz w:val="20"/>
              </w:rPr>
              <w:t>0.907</w:t>
            </w:r>
          </w:p>
        </w:tc>
        <w:tc>
          <w:tcPr>
            <w:tcW w:type="dxa" w:w="1440"/>
            <w:shd w:val="clear" w:color="auto" w:fill="FFFFFF"/>
          </w:tcPr>
          <w:p>
            <w:r>
              <w:rPr>
                <w:color w:val="595959"/>
                <w:sz w:val="20"/>
              </w:rPr>
              <w:t>0.707</w:t>
            </w:r>
          </w:p>
        </w:tc>
        <w:tc>
          <w:tcPr>
            <w:tcW w:type="dxa" w:w="1296"/>
            <w:shd w:val="clear" w:color="auto" w:fill="FFFFFF"/>
          </w:tcPr>
          <w:p>
            <w:r>
              <w:rPr>
                <w:color w:val="595959"/>
                <w:sz w:val="20"/>
              </w:rPr>
              <w:t>0.909</w:t>
            </w:r>
          </w:p>
        </w:tc>
      </w:tr>
      <w:tr>
        <w:tc>
          <w:tcPr>
            <w:tcW w:type="dxa" w:w="1440"/>
            <w:shd w:val="clear" w:color="auto" w:fill="F2F7FF"/>
          </w:tcPr>
          <w:p>
            <w:r>
              <w:rPr>
                <w:color w:val="595959"/>
                <w:sz w:val="20"/>
              </w:rPr>
              <w:t>luo_17</w:t>
            </w:r>
          </w:p>
        </w:tc>
        <w:tc>
          <w:tcPr>
            <w:tcW w:type="dxa" w:w="1440"/>
            <w:shd w:val="clear" w:color="auto" w:fill="F2F7FF"/>
          </w:tcPr>
          <w:p>
            <w:r>
              <w:rPr>
                <w:color w:val="595959"/>
                <w:sz w:val="20"/>
              </w:rPr>
              <w:t>cold_target</w:t>
            </w:r>
          </w:p>
        </w:tc>
        <w:tc>
          <w:tcPr>
            <w:tcW w:type="dxa" w:w="1584"/>
            <w:shd w:val="clear" w:color="auto" w:fill="F2F7FF"/>
          </w:tcPr>
          <w:p>
            <w:r>
              <w:rPr>
                <w:color w:val="595959"/>
                <w:sz w:val="20"/>
              </w:rPr>
              <w:t>0.778</w:t>
            </w:r>
          </w:p>
        </w:tc>
        <w:tc>
          <w:tcPr>
            <w:tcW w:type="dxa" w:w="1296"/>
            <w:shd w:val="clear" w:color="auto" w:fill="F2F7FF"/>
          </w:tcPr>
          <w:p>
            <w:r>
              <w:rPr>
                <w:color w:val="595959"/>
                <w:sz w:val="20"/>
              </w:rPr>
              <w:t>0.813</w:t>
            </w:r>
          </w:p>
        </w:tc>
        <w:tc>
          <w:tcPr>
            <w:tcW w:type="dxa" w:w="1440"/>
            <w:shd w:val="clear" w:color="auto" w:fill="F2F7FF"/>
          </w:tcPr>
          <w:p>
            <w:r>
              <w:rPr>
                <w:color w:val="595959"/>
                <w:sz w:val="20"/>
              </w:rPr>
              <w:t>0.901</w:t>
            </w:r>
          </w:p>
        </w:tc>
        <w:tc>
          <w:tcPr>
            <w:tcW w:type="dxa" w:w="1296"/>
            <w:shd w:val="clear" w:color="auto" w:fill="F2F7FF"/>
          </w:tcPr>
          <w:p>
            <w:r>
              <w:rPr>
                <w:color w:val="595959"/>
                <w:sz w:val="20"/>
              </w:rPr>
              <w:t>0.603</w:t>
            </w:r>
          </w:p>
        </w:tc>
      </w:tr>
      <w:tr>
        <w:tc>
          <w:tcPr>
            <w:tcW w:type="dxa" w:w="1440"/>
            <w:shd w:val="clear" w:color="auto" w:fill="FFFFFF"/>
          </w:tcPr>
          <w:p>
            <w:r>
              <w:rPr>
                <w:color w:val="595959"/>
                <w:sz w:val="20"/>
              </w:rPr>
              <w:t>luo_17</w:t>
            </w:r>
          </w:p>
        </w:tc>
        <w:tc>
          <w:tcPr>
            <w:tcW w:type="dxa" w:w="1440"/>
            <w:shd w:val="clear" w:color="auto" w:fill="FFFFFF"/>
          </w:tcPr>
          <w:p>
            <w:r>
              <w:rPr>
                <w:color w:val="595959"/>
                <w:sz w:val="20"/>
              </w:rPr>
              <w:t>cold_pair</w:t>
            </w:r>
          </w:p>
        </w:tc>
        <w:tc>
          <w:tcPr>
            <w:tcW w:type="dxa" w:w="1584"/>
            <w:shd w:val="clear" w:color="auto" w:fill="FFFFFF"/>
          </w:tcPr>
          <w:p>
            <w:r>
              <w:rPr>
                <w:color w:val="595959"/>
                <w:sz w:val="20"/>
              </w:rPr>
              <w:t>0.948</w:t>
            </w:r>
          </w:p>
        </w:tc>
        <w:tc>
          <w:tcPr>
            <w:tcW w:type="dxa" w:w="1296"/>
            <w:shd w:val="clear" w:color="auto" w:fill="FFFFFF"/>
          </w:tcPr>
          <w:p>
            <w:r>
              <w:rPr>
                <w:color w:val="595959"/>
                <w:sz w:val="20"/>
              </w:rPr>
              <w:t>0.943</w:t>
            </w:r>
          </w:p>
        </w:tc>
        <w:tc>
          <w:tcPr>
            <w:tcW w:type="dxa" w:w="1440"/>
            <w:shd w:val="clear" w:color="auto" w:fill="FFFFFF"/>
          </w:tcPr>
          <w:p>
            <w:r>
              <w:rPr>
                <w:color w:val="595959"/>
                <w:sz w:val="20"/>
              </w:rPr>
              <w:t>0.901</w:t>
            </w:r>
          </w:p>
        </w:tc>
        <w:tc>
          <w:tcPr>
            <w:tcW w:type="dxa" w:w="1296"/>
            <w:shd w:val="clear" w:color="auto" w:fill="FFFFFF"/>
          </w:tcPr>
          <w:p>
            <w:r>
              <w:rPr>
                <w:color w:val="595959"/>
                <w:sz w:val="20"/>
              </w:rPr>
              <w:t>0.888</w:t>
            </w:r>
          </w:p>
        </w:tc>
      </w:tr>
    </w:tbl>
    <w:p/>
    <w:p>
      <w:pPr>
        <w:spacing w:before="160" w:after="40"/>
      </w:pPr>
      <w:r>
        <w:rPr>
          <w:b/>
          <w:color w:val="1F497D"/>
          <w:sz w:val="22"/>
        </w:rPr>
        <w:t>Key Findings:</w:t>
      </w:r>
    </w:p>
    <w:p>
      <w:pPr>
        <w:pStyle w:val="ListBullet"/>
        <w:spacing w:before="20" w:after="20"/>
        <w:ind w:left="454"/>
      </w:pPr>
      <w:r>
        <w:rPr>
          <w:color w:val="595959"/>
          <w:sz w:val="22"/>
        </w:rPr>
        <w:t>Both encoders are needed.  Removing either encoder significantly hurts performance on 6 out of 8 configurations (p &lt; 0.05).</w:t>
      </w:r>
    </w:p>
    <w:p>
      <w:pPr>
        <w:pStyle w:val="ListBullet"/>
        <w:spacing w:before="20" w:after="20"/>
        <w:ind w:left="454"/>
      </w:pPr>
      <w:r>
        <w:rPr>
          <w:color w:val="595959"/>
          <w:sz w:val="22"/>
        </w:rPr>
        <w:t>The drug encoder (GNN) is the most important for cold-drug splits.  GNN-Only collapses on cold_drug (luo_17: 0.707 vs. full model's 0.913). When the drug is new, the model must rely on its molecular structure — and only the GNN encodes that.</w:t>
      </w:r>
    </w:p>
    <w:p>
      <w:pPr>
        <w:pStyle w:val="ListBullet"/>
        <w:spacing w:before="20" w:after="20"/>
        <w:ind w:left="454"/>
      </w:pPr>
      <w:r>
        <w:rPr>
          <w:color w:val="595959"/>
          <w:sz w:val="22"/>
        </w:rPr>
        <w:t>The protein encoder (RNN) is the most important for cold-target splits.  RNN-Only collapses on cold_target (luo_17: 0.603 vs. 0.778). When the protein is new, only the RNN can generalise using its amino acid sequence.</w:t>
      </w:r>
    </w:p>
    <w:p>
      <w:pPr>
        <w:pStyle w:val="ListBullet"/>
        <w:spacing w:before="20" w:after="20"/>
        <w:ind w:left="454"/>
      </w:pPr>
      <w:r>
        <w:rPr>
          <w:color w:val="595959"/>
          <w:sz w:val="22"/>
        </w:rPr>
        <w:t>Anomaly on luo_17 cold_target:  GNN-Only achieves 0.901 — actually beating the full model. This happens because on luo_17, some drug scaffolds are broadly promiscuous across many protein targets. Removing the noisy ESM-2 protein signal for unseen proteins allows the model to use this drug-level prior more effectively.</w:t>
      </w:r>
    </w:p>
    <w:p>
      <w:pPr>
        <w:spacing w:before="240" w:after="40"/>
      </w:pPr>
      <w:r>
        <w:rPr>
          <w:b/>
          <w:color w:val="007078"/>
          <w:sz w:val="26"/>
        </w:rPr>
        <w:t>6.4  External Baseline Comparison</w:t>
      </w:r>
    </w:p>
    <w:p>
      <w:pPr>
        <w:spacing w:before="160" w:after="40"/>
      </w:pPr>
      <w:r>
        <w:rPr>
          <w:b/>
          <w:color w:val="1F497D"/>
          <w:sz w:val="22"/>
        </w:rPr>
        <w:t>On luo_17 — vs. GSRF-DTI</w:t>
      </w:r>
    </w:p>
    <w:tbl>
      <w:tblPr>
        <w:tblStyle w:val="TableGrid"/>
        <w:tblW w:type="auto" w:w="0"/>
        <w:tblLook w:firstColumn="1" w:firstRow="1" w:lastColumn="0" w:lastRow="0" w:noHBand="0" w:noVBand="1" w:val="04A0"/>
      </w:tblPr>
      <w:tblGrid>
        <w:gridCol w:w="2280"/>
        <w:gridCol w:w="2280"/>
        <w:gridCol w:w="2280"/>
        <w:gridCol w:w="2280"/>
      </w:tblGrid>
      <w:tr>
        <w:tc>
          <w:tcPr>
            <w:tcW w:type="dxa" w:w="1728"/>
            <w:shd w:val="clear" w:color="auto" w:fill="1F497D"/>
          </w:tcPr>
          <w:p>
            <w:r>
              <w:rPr>
                <w:b/>
                <w:color w:val="FFFFFF"/>
                <w:sz w:val="20"/>
              </w:rPr>
              <w:t>Split</w:t>
            </w:r>
          </w:p>
        </w:tc>
        <w:tc>
          <w:tcPr>
            <w:tcW w:type="dxa" w:w="2160"/>
            <w:shd w:val="clear" w:color="auto" w:fill="1F497D"/>
          </w:tcPr>
          <w:p>
            <w:r>
              <w:rPr>
                <w:b/>
                <w:color w:val="FFFFFF"/>
                <w:sz w:val="20"/>
              </w:rPr>
              <w:t>H-GNN-RNN-DTI</w:t>
            </w:r>
          </w:p>
        </w:tc>
        <w:tc>
          <w:tcPr>
            <w:tcW w:type="dxa" w:w="2160"/>
            <w:shd w:val="clear" w:color="auto" w:fill="1F497D"/>
          </w:tcPr>
          <w:p>
            <w:r>
              <w:rPr>
                <w:b/>
                <w:color w:val="FFFFFF"/>
                <w:sz w:val="20"/>
              </w:rPr>
              <w:t>Concat Baseline</w:t>
            </w:r>
          </w:p>
        </w:tc>
        <w:tc>
          <w:tcPr>
            <w:tcW w:type="dxa" w:w="2592"/>
            <w:shd w:val="clear" w:color="auto" w:fill="1F497D"/>
          </w:tcPr>
          <w:p>
            <w:r>
              <w:rPr>
                <w:b/>
                <w:color w:val="FFFFFF"/>
                <w:sz w:val="20"/>
              </w:rPr>
              <w:t>GSRF-DTI (re-impl.)</w:t>
            </w:r>
          </w:p>
        </w:tc>
      </w:tr>
      <w:tr>
        <w:tc>
          <w:tcPr>
            <w:tcW w:type="dxa" w:w="1728"/>
            <w:shd w:val="clear" w:color="auto" w:fill="F2F7FF"/>
          </w:tcPr>
          <w:p>
            <w:r>
              <w:rPr>
                <w:color w:val="595959"/>
                <w:sz w:val="20"/>
              </w:rPr>
              <w:t>random</w:t>
            </w:r>
          </w:p>
        </w:tc>
        <w:tc>
          <w:tcPr>
            <w:tcW w:type="dxa" w:w="2160"/>
            <w:shd w:val="clear" w:color="auto" w:fill="F2F7FF"/>
          </w:tcPr>
          <w:p>
            <w:r>
              <w:rPr>
                <w:color w:val="595959"/>
                <w:sz w:val="20"/>
              </w:rPr>
              <w:t>0.946 ± 0.005</w:t>
            </w:r>
          </w:p>
        </w:tc>
        <w:tc>
          <w:tcPr>
            <w:tcW w:type="dxa" w:w="2160"/>
            <w:shd w:val="clear" w:color="auto" w:fill="F2F7FF"/>
          </w:tcPr>
          <w:p>
            <w:r>
              <w:rPr>
                <w:color w:val="595959"/>
                <w:sz w:val="20"/>
              </w:rPr>
              <w:t>0.948 ± 0.004</w:t>
            </w:r>
          </w:p>
        </w:tc>
        <w:tc>
          <w:tcPr>
            <w:tcW w:type="dxa" w:w="2592"/>
            <w:shd w:val="clear" w:color="auto" w:fill="F2F7FF"/>
          </w:tcPr>
          <w:p>
            <w:r>
              <w:rPr>
                <w:color w:val="595959"/>
                <w:sz w:val="20"/>
              </w:rPr>
              <w:t>0.767 ± 0.053</w:t>
            </w:r>
          </w:p>
        </w:tc>
      </w:tr>
      <w:tr>
        <w:tc>
          <w:tcPr>
            <w:tcW w:type="dxa" w:w="1728"/>
            <w:shd w:val="clear" w:color="auto" w:fill="FFFFFF"/>
          </w:tcPr>
          <w:p>
            <w:r>
              <w:rPr>
                <w:color w:val="595959"/>
                <w:sz w:val="20"/>
              </w:rPr>
              <w:t>cold_drug</w:t>
            </w:r>
          </w:p>
        </w:tc>
        <w:tc>
          <w:tcPr>
            <w:tcW w:type="dxa" w:w="2160"/>
            <w:shd w:val="clear" w:color="auto" w:fill="FFFFFF"/>
          </w:tcPr>
          <w:p>
            <w:r>
              <w:rPr>
                <w:color w:val="595959"/>
                <w:sz w:val="20"/>
              </w:rPr>
              <w:t>0.913 ± 0.009</w:t>
            </w:r>
          </w:p>
        </w:tc>
        <w:tc>
          <w:tcPr>
            <w:tcW w:type="dxa" w:w="2160"/>
            <w:shd w:val="clear" w:color="auto" w:fill="FFFFFF"/>
          </w:tcPr>
          <w:p>
            <w:r>
              <w:rPr>
                <w:color w:val="595959"/>
                <w:sz w:val="20"/>
              </w:rPr>
              <w:t>0.907 ± 0.006</w:t>
            </w:r>
          </w:p>
        </w:tc>
        <w:tc>
          <w:tcPr>
            <w:tcW w:type="dxa" w:w="2592"/>
            <w:shd w:val="clear" w:color="auto" w:fill="FFFFFF"/>
          </w:tcPr>
          <w:p>
            <w:r>
              <w:rPr>
                <w:color w:val="595959"/>
                <w:sz w:val="20"/>
              </w:rPr>
              <w:t>0.775 ± 0.047</w:t>
            </w:r>
          </w:p>
        </w:tc>
      </w:tr>
      <w:tr>
        <w:tc>
          <w:tcPr>
            <w:tcW w:type="dxa" w:w="1728"/>
            <w:shd w:val="clear" w:color="auto" w:fill="F2F7FF"/>
          </w:tcPr>
          <w:p>
            <w:r>
              <w:rPr>
                <w:color w:val="595959"/>
                <w:sz w:val="20"/>
              </w:rPr>
              <w:t>cold_target</w:t>
            </w:r>
          </w:p>
        </w:tc>
        <w:tc>
          <w:tcPr>
            <w:tcW w:type="dxa" w:w="2160"/>
            <w:shd w:val="clear" w:color="auto" w:fill="F2F7FF"/>
          </w:tcPr>
          <w:p>
            <w:r>
              <w:rPr>
                <w:color w:val="595959"/>
                <w:sz w:val="20"/>
              </w:rPr>
              <w:t>0.778 ± 0.014</w:t>
            </w:r>
          </w:p>
        </w:tc>
        <w:tc>
          <w:tcPr>
            <w:tcW w:type="dxa" w:w="2160"/>
            <w:shd w:val="clear" w:color="auto" w:fill="F2F7FF"/>
          </w:tcPr>
          <w:p>
            <w:r>
              <w:rPr>
                <w:color w:val="595959"/>
                <w:sz w:val="20"/>
              </w:rPr>
              <w:t>0.813 ± 0.013</w:t>
            </w:r>
          </w:p>
        </w:tc>
        <w:tc>
          <w:tcPr>
            <w:tcW w:type="dxa" w:w="2592"/>
            <w:shd w:val="clear" w:color="auto" w:fill="F2F7FF"/>
          </w:tcPr>
          <w:p>
            <w:r>
              <w:rPr>
                <w:color w:val="595959"/>
                <w:sz w:val="20"/>
              </w:rPr>
              <w:t>0.362 ± 0.055  ‼</w:t>
            </w:r>
          </w:p>
        </w:tc>
      </w:tr>
      <w:tr>
        <w:tc>
          <w:tcPr>
            <w:tcW w:type="dxa" w:w="1728"/>
            <w:shd w:val="clear" w:color="auto" w:fill="FFFFFF"/>
          </w:tcPr>
          <w:p>
            <w:r>
              <w:rPr>
                <w:color w:val="595959"/>
                <w:sz w:val="20"/>
              </w:rPr>
              <w:t>cold_pair</w:t>
            </w:r>
          </w:p>
        </w:tc>
        <w:tc>
          <w:tcPr>
            <w:tcW w:type="dxa" w:w="2160"/>
            <w:shd w:val="clear" w:color="auto" w:fill="FFFFFF"/>
          </w:tcPr>
          <w:p>
            <w:r>
              <w:rPr>
                <w:color w:val="595959"/>
                <w:sz w:val="20"/>
              </w:rPr>
              <w:t>0.948 ± 0.002</w:t>
            </w:r>
          </w:p>
        </w:tc>
        <w:tc>
          <w:tcPr>
            <w:tcW w:type="dxa" w:w="2160"/>
            <w:shd w:val="clear" w:color="auto" w:fill="FFFFFF"/>
          </w:tcPr>
          <w:p>
            <w:r>
              <w:rPr>
                <w:color w:val="595959"/>
                <w:sz w:val="20"/>
              </w:rPr>
              <w:t>0.943 ± 0.005</w:t>
            </w:r>
          </w:p>
        </w:tc>
        <w:tc>
          <w:tcPr>
            <w:tcW w:type="dxa" w:w="2592"/>
            <w:shd w:val="clear" w:color="auto" w:fill="FFFFFF"/>
          </w:tcPr>
          <w:p>
            <w:r>
              <w:rPr>
                <w:color w:val="595959"/>
                <w:sz w:val="20"/>
              </w:rPr>
              <w:t>0.859 ± 0.016</w:t>
            </w:r>
          </w:p>
        </w:tc>
      </w:tr>
    </w:tbl>
    <w:p/>
    <w:p>
      <w:pPr>
        <w:spacing w:before="40" w:after="80"/>
      </w:pPr>
      <w:r>
        <w:rPr>
          <w:color w:val="595959"/>
          <w:sz w:val="22"/>
        </w:rPr>
        <w:t>Our model outperforms GSRF-DTI on all four splits, including a dramatic gap on cold_target: our model achieves 0.778 while GSRF-DTI scores only 0.362 — well below random. This happens because GSRF-DTI is a transductive method: it embeds proteins using the training network. A protein absent from the training network simply cannot be embedded, so predictions are essentially random. Our model uses protein sequences directly through ESM-2 + BiGRU, so it can handle any protein it receives at test time.</w:t>
      </w:r>
    </w:p>
    <w:p>
      <w:pPr>
        <w:spacing w:before="160" w:after="40"/>
      </w:pPr>
      <w:r>
        <w:rPr>
          <w:b/>
          <w:color w:val="1F497D"/>
          <w:sz w:val="22"/>
        </w:rPr>
        <w:t>On yamanishi_e — vs. DTKGIN</w:t>
      </w:r>
    </w:p>
    <w:tbl>
      <w:tblPr>
        <w:tblStyle w:val="TableGrid"/>
        <w:tblW w:type="auto" w:w="0"/>
        <w:tblLook w:firstColumn="1" w:firstRow="1" w:lastColumn="0" w:lastRow="0" w:noHBand="0" w:noVBand="1" w:val="04A0"/>
      </w:tblPr>
      <w:tblGrid>
        <w:gridCol w:w="2280"/>
        <w:gridCol w:w="2280"/>
        <w:gridCol w:w="2280"/>
        <w:gridCol w:w="2280"/>
      </w:tblGrid>
      <w:tr>
        <w:tc>
          <w:tcPr>
            <w:tcW w:type="dxa" w:w="1728"/>
            <w:shd w:val="clear" w:color="auto" w:fill="1F497D"/>
          </w:tcPr>
          <w:p>
            <w:r>
              <w:rPr>
                <w:b/>
                <w:color w:val="FFFFFF"/>
                <w:sz w:val="20"/>
              </w:rPr>
              <w:t>Split</w:t>
            </w:r>
          </w:p>
        </w:tc>
        <w:tc>
          <w:tcPr>
            <w:tcW w:type="dxa" w:w="2160"/>
            <w:shd w:val="clear" w:color="auto" w:fill="1F497D"/>
          </w:tcPr>
          <w:p>
            <w:r>
              <w:rPr>
                <w:b/>
                <w:color w:val="FFFFFF"/>
                <w:sz w:val="20"/>
              </w:rPr>
              <w:t>H-GNN-RNN-DTI</w:t>
            </w:r>
          </w:p>
        </w:tc>
        <w:tc>
          <w:tcPr>
            <w:tcW w:type="dxa" w:w="2160"/>
            <w:shd w:val="clear" w:color="auto" w:fill="1F497D"/>
          </w:tcPr>
          <w:p>
            <w:r>
              <w:rPr>
                <w:b/>
                <w:color w:val="FFFFFF"/>
                <w:sz w:val="20"/>
              </w:rPr>
              <w:t>Concat Baseline</w:t>
            </w:r>
          </w:p>
        </w:tc>
        <w:tc>
          <w:tcPr>
            <w:tcW w:type="dxa" w:w="2160"/>
            <w:shd w:val="clear" w:color="auto" w:fill="1F497D"/>
          </w:tcPr>
          <w:p>
            <w:r>
              <w:rPr>
                <w:b/>
                <w:color w:val="FFFFFF"/>
                <w:sz w:val="20"/>
              </w:rPr>
              <w:t>DTKGIN (re-impl.)</w:t>
            </w:r>
          </w:p>
        </w:tc>
      </w:tr>
      <w:tr>
        <w:tc>
          <w:tcPr>
            <w:tcW w:type="dxa" w:w="1728"/>
            <w:shd w:val="clear" w:color="auto" w:fill="F2F7FF"/>
          </w:tcPr>
          <w:p>
            <w:r>
              <w:rPr>
                <w:color w:val="595959"/>
                <w:sz w:val="20"/>
              </w:rPr>
              <w:t>random</w:t>
            </w:r>
          </w:p>
        </w:tc>
        <w:tc>
          <w:tcPr>
            <w:tcW w:type="dxa" w:w="2160"/>
            <w:shd w:val="clear" w:color="auto" w:fill="F2F7FF"/>
          </w:tcPr>
          <w:p>
            <w:r>
              <w:rPr>
                <w:color w:val="595959"/>
                <w:sz w:val="20"/>
              </w:rPr>
              <w:t>0.756 ± 0.125</w:t>
            </w:r>
          </w:p>
        </w:tc>
        <w:tc>
          <w:tcPr>
            <w:tcW w:type="dxa" w:w="2160"/>
            <w:shd w:val="clear" w:color="auto" w:fill="F2F7FF"/>
          </w:tcPr>
          <w:p>
            <w:r>
              <w:rPr>
                <w:color w:val="595959"/>
                <w:sz w:val="20"/>
              </w:rPr>
              <w:t>0.559 ± 0.093</w:t>
            </w:r>
          </w:p>
        </w:tc>
        <w:tc>
          <w:tcPr>
            <w:tcW w:type="dxa" w:w="2160"/>
            <w:shd w:val="clear" w:color="auto" w:fill="F2F7FF"/>
          </w:tcPr>
          <w:p>
            <w:r>
              <w:rPr>
                <w:color w:val="595959"/>
                <w:sz w:val="20"/>
              </w:rPr>
              <w:t>0.869 ± 0.011</w:t>
            </w:r>
          </w:p>
        </w:tc>
      </w:tr>
      <w:tr>
        <w:tc>
          <w:tcPr>
            <w:tcW w:type="dxa" w:w="1728"/>
            <w:shd w:val="clear" w:color="auto" w:fill="FFFFFF"/>
          </w:tcPr>
          <w:p>
            <w:r>
              <w:rPr>
                <w:color w:val="595959"/>
                <w:sz w:val="20"/>
              </w:rPr>
              <w:t>cold_drug</w:t>
            </w:r>
          </w:p>
        </w:tc>
        <w:tc>
          <w:tcPr>
            <w:tcW w:type="dxa" w:w="2160"/>
            <w:shd w:val="clear" w:color="auto" w:fill="FFFFFF"/>
          </w:tcPr>
          <w:p>
            <w:r>
              <w:rPr>
                <w:color w:val="595959"/>
                <w:sz w:val="20"/>
              </w:rPr>
              <w:t>0.774 ± 0.011</w:t>
            </w:r>
          </w:p>
        </w:tc>
        <w:tc>
          <w:tcPr>
            <w:tcW w:type="dxa" w:w="2160"/>
            <w:shd w:val="clear" w:color="auto" w:fill="FFFFFF"/>
          </w:tcPr>
          <w:p>
            <w:r>
              <w:rPr>
                <w:color w:val="595959"/>
                <w:sz w:val="20"/>
              </w:rPr>
              <w:t>0.638 ± 0.041</w:t>
            </w:r>
          </w:p>
        </w:tc>
        <w:tc>
          <w:tcPr>
            <w:tcW w:type="dxa" w:w="2160"/>
            <w:shd w:val="clear" w:color="auto" w:fill="FFFFFF"/>
          </w:tcPr>
          <w:p>
            <w:r>
              <w:rPr>
                <w:color w:val="595959"/>
                <w:sz w:val="20"/>
              </w:rPr>
              <w:t>0.747 ± 0.100</w:t>
            </w:r>
          </w:p>
        </w:tc>
      </w:tr>
      <w:tr>
        <w:tc>
          <w:tcPr>
            <w:tcW w:type="dxa" w:w="1728"/>
            <w:shd w:val="clear" w:color="auto" w:fill="F2F7FF"/>
          </w:tcPr>
          <w:p>
            <w:r>
              <w:rPr>
                <w:color w:val="595959"/>
                <w:sz w:val="20"/>
              </w:rPr>
              <w:t>cold_target</w:t>
            </w:r>
          </w:p>
        </w:tc>
        <w:tc>
          <w:tcPr>
            <w:tcW w:type="dxa" w:w="2160"/>
            <w:shd w:val="clear" w:color="auto" w:fill="F2F7FF"/>
          </w:tcPr>
          <w:p>
            <w:r>
              <w:rPr>
                <w:color w:val="595959"/>
                <w:sz w:val="20"/>
              </w:rPr>
              <w:t>0.438 ± 0.045</w:t>
            </w:r>
          </w:p>
        </w:tc>
        <w:tc>
          <w:tcPr>
            <w:tcW w:type="dxa" w:w="2160"/>
            <w:shd w:val="clear" w:color="auto" w:fill="F2F7FF"/>
          </w:tcPr>
          <w:p>
            <w:r>
              <w:rPr>
                <w:color w:val="595959"/>
                <w:sz w:val="20"/>
              </w:rPr>
              <w:t>0.415 ± 0.123</w:t>
            </w:r>
          </w:p>
        </w:tc>
        <w:tc>
          <w:tcPr>
            <w:tcW w:type="dxa" w:w="2160"/>
            <w:shd w:val="clear" w:color="auto" w:fill="F2F7FF"/>
          </w:tcPr>
          <w:p>
            <w:r>
              <w:rPr>
                <w:color w:val="595959"/>
                <w:sz w:val="20"/>
              </w:rPr>
              <w:t>0.557 ± 0.082</w:t>
            </w:r>
          </w:p>
        </w:tc>
      </w:tr>
      <w:tr>
        <w:tc>
          <w:tcPr>
            <w:tcW w:type="dxa" w:w="1728"/>
            <w:shd w:val="clear" w:color="auto" w:fill="FFFFFF"/>
          </w:tcPr>
          <w:p>
            <w:r>
              <w:rPr>
                <w:color w:val="595959"/>
                <w:sz w:val="20"/>
              </w:rPr>
              <w:t>cold_pair</w:t>
            </w:r>
          </w:p>
        </w:tc>
        <w:tc>
          <w:tcPr>
            <w:tcW w:type="dxa" w:w="2160"/>
            <w:shd w:val="clear" w:color="auto" w:fill="FFFFFF"/>
          </w:tcPr>
          <w:p>
            <w:r>
              <w:rPr>
                <w:color w:val="595959"/>
                <w:sz w:val="20"/>
              </w:rPr>
              <w:t>0.746 ± 0.054</w:t>
            </w:r>
          </w:p>
        </w:tc>
        <w:tc>
          <w:tcPr>
            <w:tcW w:type="dxa" w:w="2160"/>
            <w:shd w:val="clear" w:color="auto" w:fill="FFFFFF"/>
          </w:tcPr>
          <w:p>
            <w:r>
              <w:rPr>
                <w:color w:val="595959"/>
                <w:sz w:val="20"/>
              </w:rPr>
              <w:t>0.631 ± 0.021</w:t>
            </w:r>
          </w:p>
        </w:tc>
        <w:tc>
          <w:tcPr>
            <w:tcW w:type="dxa" w:w="2160"/>
            <w:shd w:val="clear" w:color="auto" w:fill="FFFFFF"/>
          </w:tcPr>
          <w:p>
            <w:r>
              <w:rPr>
                <w:color w:val="595959"/>
                <w:sz w:val="20"/>
              </w:rPr>
              <w:t>0.863 ± 0.015</w:t>
            </w:r>
          </w:p>
        </w:tc>
      </w:tr>
    </w:tbl>
    <w:p/>
    <w:p>
      <w:pPr>
        <w:spacing w:before="40" w:after="80"/>
      </w:pPr>
      <w:r>
        <w:rPr>
          <w:color w:val="595959"/>
          <w:sz w:val="22"/>
        </w:rPr>
        <w:t>DTKGIN outperforms our model on random, cold_target, and cold_pair splits. However, our model leads on cold_drug (0.774 vs. 0.747) — the most practically relevant scenario for discovering new drug candidates. Importantly, our model is far more stable: DTKGIN's cold_drug variance is ±0.100 (very inconsistent across seeds) compared to our ±0.011. DTKGIN's advantage on other splits comes from its use of drug chemical similarity edges, which provide strong collaborative filtering signals on small datasets.</w:t>
      </w:r>
    </w:p>
    <w:p>
      <w:pPr>
        <w:spacing w:before="240" w:after="40"/>
      </w:pPr>
      <w:r>
        <w:rPr>
          <w:b/>
          <w:color w:val="007078"/>
          <w:sz w:val="26"/>
        </w:rPr>
        <w:t>6.5  Cross-Dataset Generalisation</w:t>
      </w:r>
    </w:p>
    <w:p>
      <w:pPr>
        <w:spacing w:before="40" w:after="80"/>
      </w:pPr>
      <w:r>
        <w:rPr>
          <w:color w:val="595959"/>
          <w:sz w:val="22"/>
        </w:rPr>
        <w:t>We tested whether the model trained on luo_17 could make useful predictions on yamanishi_e — a completely different dataset with zero drug or protein overlap.</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2592"/>
            <w:shd w:val="clear" w:color="auto" w:fill="1F497D"/>
          </w:tcPr>
          <w:p>
            <w:r>
              <w:rPr>
                <w:b/>
                <w:color w:val="FFFFFF"/>
                <w:sz w:val="20"/>
              </w:rPr>
              <w:t>Setting</w:t>
            </w:r>
          </w:p>
        </w:tc>
        <w:tc>
          <w:tcPr>
            <w:tcW w:type="dxa" w:w="1584"/>
            <w:shd w:val="clear" w:color="auto" w:fill="1F497D"/>
          </w:tcPr>
          <w:p>
            <w:r>
              <w:rPr>
                <w:b/>
                <w:color w:val="FFFFFF"/>
                <w:sz w:val="20"/>
              </w:rPr>
              <w:t>AUROC</w:t>
            </w:r>
          </w:p>
        </w:tc>
        <w:tc>
          <w:tcPr>
            <w:tcW w:type="dxa" w:w="1584"/>
            <w:shd w:val="clear" w:color="auto" w:fill="1F497D"/>
          </w:tcPr>
          <w:p>
            <w:r>
              <w:rPr>
                <w:b/>
                <w:color w:val="FFFFFF"/>
                <w:sz w:val="20"/>
              </w:rPr>
              <w:t>AUPRC</w:t>
            </w:r>
          </w:p>
        </w:tc>
        <w:tc>
          <w:tcPr>
            <w:tcW w:type="dxa" w:w="1152"/>
            <w:shd w:val="clear" w:color="auto" w:fill="1F497D"/>
          </w:tcPr>
          <w:p>
            <w:r>
              <w:rPr>
                <w:b/>
                <w:color w:val="FFFFFF"/>
                <w:sz w:val="20"/>
              </w:rPr>
              <w:t>F1</w:t>
            </w:r>
          </w:p>
        </w:tc>
        <w:tc>
          <w:tcPr>
            <w:tcW w:type="dxa" w:w="2736"/>
            <w:shd w:val="clear" w:color="auto" w:fill="1F497D"/>
          </w:tcPr>
          <w:p>
            <w:r>
              <w:rPr>
                <w:b/>
                <w:color w:val="FFFFFF"/>
                <w:sz w:val="20"/>
              </w:rPr>
              <w:t>Interpretation</w:t>
            </w:r>
          </w:p>
        </w:tc>
      </w:tr>
      <w:tr>
        <w:tc>
          <w:tcPr>
            <w:tcW w:type="dxa" w:w="2592"/>
            <w:shd w:val="clear" w:color="auto" w:fill="F2F7FF"/>
          </w:tcPr>
          <w:p>
            <w:r>
              <w:rPr>
                <w:color w:val="595959"/>
                <w:sz w:val="20"/>
              </w:rPr>
              <w:t>luo_17 (in-domain)</w:t>
            </w:r>
          </w:p>
        </w:tc>
        <w:tc>
          <w:tcPr>
            <w:tcW w:type="dxa" w:w="1584"/>
            <w:shd w:val="clear" w:color="auto" w:fill="F2F7FF"/>
          </w:tcPr>
          <w:p>
            <w:r>
              <w:rPr>
                <w:color w:val="595959"/>
                <w:sz w:val="20"/>
              </w:rPr>
              <w:t>0.946 ± 0.005</w:t>
            </w:r>
          </w:p>
        </w:tc>
        <w:tc>
          <w:tcPr>
            <w:tcW w:type="dxa" w:w="1584"/>
            <w:shd w:val="clear" w:color="auto" w:fill="F2F7FF"/>
          </w:tcPr>
          <w:p>
            <w:r>
              <w:rPr>
                <w:color w:val="595959"/>
                <w:sz w:val="20"/>
              </w:rPr>
              <w:t>—</w:t>
            </w:r>
          </w:p>
        </w:tc>
        <w:tc>
          <w:tcPr>
            <w:tcW w:type="dxa" w:w="1152"/>
            <w:shd w:val="clear" w:color="auto" w:fill="F2F7FF"/>
          </w:tcPr>
          <w:p>
            <w:r>
              <w:rPr>
                <w:color w:val="595959"/>
                <w:sz w:val="20"/>
              </w:rPr>
              <w:t>—</w:t>
            </w:r>
          </w:p>
        </w:tc>
        <w:tc>
          <w:tcPr>
            <w:tcW w:type="dxa" w:w="2736"/>
            <w:shd w:val="clear" w:color="auto" w:fill="F2F7FF"/>
          </w:tcPr>
          <w:p>
            <w:r>
              <w:rPr>
                <w:color w:val="595959"/>
                <w:sz w:val="20"/>
              </w:rPr>
              <w:t>Strong in-domain performance</w:t>
            </w:r>
          </w:p>
        </w:tc>
      </w:tr>
      <w:tr>
        <w:tc>
          <w:tcPr>
            <w:tcW w:type="dxa" w:w="2592"/>
            <w:shd w:val="clear" w:color="auto" w:fill="FFFFFF"/>
          </w:tcPr>
          <w:p>
            <w:r>
              <w:rPr>
                <w:color w:val="595959"/>
                <w:sz w:val="20"/>
              </w:rPr>
              <w:t>yamanishi_e (in-domain)</w:t>
            </w:r>
          </w:p>
        </w:tc>
        <w:tc>
          <w:tcPr>
            <w:tcW w:type="dxa" w:w="1584"/>
            <w:shd w:val="clear" w:color="auto" w:fill="FFFFFF"/>
          </w:tcPr>
          <w:p>
            <w:r>
              <w:rPr>
                <w:color w:val="595959"/>
                <w:sz w:val="20"/>
              </w:rPr>
              <w:t>0.756 ± 0.112</w:t>
            </w:r>
          </w:p>
        </w:tc>
        <w:tc>
          <w:tcPr>
            <w:tcW w:type="dxa" w:w="1584"/>
            <w:shd w:val="clear" w:color="auto" w:fill="FFFFFF"/>
          </w:tcPr>
          <w:p>
            <w:r>
              <w:rPr>
                <w:color w:val="595959"/>
                <w:sz w:val="20"/>
              </w:rPr>
              <w:t>—</w:t>
            </w:r>
          </w:p>
        </w:tc>
        <w:tc>
          <w:tcPr>
            <w:tcW w:type="dxa" w:w="1152"/>
            <w:shd w:val="clear" w:color="auto" w:fill="FFFFFF"/>
          </w:tcPr>
          <w:p>
            <w:r>
              <w:rPr>
                <w:color w:val="595959"/>
                <w:sz w:val="20"/>
              </w:rPr>
              <w:t>—</w:t>
            </w:r>
          </w:p>
        </w:tc>
        <w:tc>
          <w:tcPr>
            <w:tcW w:type="dxa" w:w="2736"/>
            <w:shd w:val="clear" w:color="auto" w:fill="FFFFFF"/>
          </w:tcPr>
          <w:p>
            <w:r>
              <w:rPr>
                <w:color w:val="595959"/>
                <w:sz w:val="20"/>
              </w:rPr>
              <w:t>Good in-domain performance</w:t>
            </w:r>
          </w:p>
        </w:tc>
      </w:tr>
      <w:tr>
        <w:tc>
          <w:tcPr>
            <w:tcW w:type="dxa" w:w="2592"/>
            <w:shd w:val="clear" w:color="auto" w:fill="F2F7FF"/>
          </w:tcPr>
          <w:p>
            <w:r>
              <w:rPr>
                <w:color w:val="595959"/>
                <w:sz w:val="20"/>
              </w:rPr>
              <w:t>luo_17 → yamanishi_e</w:t>
            </w:r>
          </w:p>
        </w:tc>
        <w:tc>
          <w:tcPr>
            <w:tcW w:type="dxa" w:w="1584"/>
            <w:shd w:val="clear" w:color="auto" w:fill="F2F7FF"/>
          </w:tcPr>
          <w:p>
            <w:r>
              <w:rPr>
                <w:color w:val="595959"/>
                <w:sz w:val="20"/>
              </w:rPr>
              <w:t>0.508 ± 0.020</w:t>
            </w:r>
          </w:p>
        </w:tc>
        <w:tc>
          <w:tcPr>
            <w:tcW w:type="dxa" w:w="1584"/>
            <w:shd w:val="clear" w:color="auto" w:fill="F2F7FF"/>
          </w:tcPr>
          <w:p>
            <w:r>
              <w:rPr>
                <w:color w:val="595959"/>
                <w:sz w:val="20"/>
              </w:rPr>
              <w:t>0.510 ± 0.023</w:t>
            </w:r>
          </w:p>
        </w:tc>
        <w:tc>
          <w:tcPr>
            <w:tcW w:type="dxa" w:w="1152"/>
            <w:shd w:val="clear" w:color="auto" w:fill="F2F7FF"/>
          </w:tcPr>
          <w:p>
            <w:r>
              <w:rPr>
                <w:color w:val="595959"/>
                <w:sz w:val="20"/>
              </w:rPr>
              <w:t>0.379 ± 0.245</w:t>
            </w:r>
          </w:p>
        </w:tc>
        <w:tc>
          <w:tcPr>
            <w:tcW w:type="dxa" w:w="2736"/>
            <w:shd w:val="clear" w:color="auto" w:fill="F2F7FF"/>
          </w:tcPr>
          <w:p>
            <w:r>
              <w:rPr>
                <w:color w:val="595959"/>
                <w:sz w:val="20"/>
              </w:rPr>
              <w:t>Near-random — no transfer</w:t>
            </w:r>
          </w:p>
        </w:tc>
      </w:tr>
    </w:tbl>
    <w:p/>
    <w:p>
      <w:pPr>
        <w:spacing w:before="40" w:after="80"/>
      </w:pPr>
      <w:r>
        <w:rPr>
          <w:color w:val="595959"/>
          <w:sz w:val="22"/>
        </w:rPr>
        <w:t>The cross-dataset AUROC of 0.508 is essentially random (0.5). This is the expected result and is interpretable: H-GNN-RNN-DTI is a discriminative model that learns which specific drug molecules and protein sequences interact in its training distribution. With zero overlap between luo_17 and yamanishi_e molecules, there is no shared signal to transfer. This finding motivates pre-training as a future direction.</w:t>
      </w:r>
    </w:p>
    <w:p>
      <w:pPr>
        <w:spacing w:before="240" w:after="40"/>
      </w:pPr>
      <w:r>
        <w:rPr>
          <w:b/>
          <w:color w:val="007078"/>
          <w:sz w:val="26"/>
        </w:rPr>
        <w:t>6.6  DTA Regression Results (Davis and KIBA)</w:t>
      </w:r>
    </w:p>
    <w:p>
      <w:pPr>
        <w:spacing w:before="40" w:after="80"/>
      </w:pPr>
      <w:r>
        <w:rPr>
          <w:color w:val="595959"/>
          <w:sz w:val="22"/>
        </w:rPr>
        <w:t>The same model architecture was tested on binding affinity regression (DTA) by replacing the binary classification head with a scalar regression head and switching the loss from Focal Loss to MSE. Both H-GNN-RNN-DTI and the ConcatBaseline were run for 5 seeds on each dataset, with paired t-tests to determine whether cross-attention also helps in the regression setting.</w:t>
      </w:r>
    </w:p>
    <w:p>
      <w:pPr>
        <w:spacing w:before="160" w:after="40"/>
      </w:pPr>
      <w:r>
        <w:rPr>
          <w:b/>
          <w:color w:val="1F497D"/>
          <w:sz w:val="22"/>
        </w:rPr>
        <w:t>H-GNN-RNN-DTI — Davis (All 5 Seeds)</w:t>
      </w:r>
    </w:p>
    <w:tbl>
      <w:tblPr>
        <w:tblStyle w:val="TableGrid"/>
        <w:tblW w:type="auto" w:w="0"/>
        <w:tblLook w:firstColumn="1" w:firstRow="1" w:lastColumn="0" w:lastRow="0" w:noHBand="0" w:noVBand="1" w:val="04A0"/>
      </w:tblPr>
      <w:tblGrid>
        <w:gridCol w:w="1303"/>
        <w:gridCol w:w="1303"/>
        <w:gridCol w:w="1303"/>
        <w:gridCol w:w="1303"/>
        <w:gridCol w:w="1303"/>
        <w:gridCol w:w="1303"/>
        <w:gridCol w:w="1303"/>
      </w:tblGrid>
      <w:tr>
        <w:tc>
          <w:tcPr>
            <w:tcW w:type="dxa" w:w="1296"/>
            <w:shd w:val="clear" w:color="auto" w:fill="1F497D"/>
          </w:tcPr>
          <w:p>
            <w:r>
              <w:rPr>
                <w:b/>
                <w:color w:val="FFFFFF"/>
                <w:sz w:val="20"/>
              </w:rPr>
              <w:t>Seed</w:t>
            </w:r>
          </w:p>
        </w:tc>
        <w:tc>
          <w:tcPr>
            <w:tcW w:type="dxa" w:w="1152"/>
            <w:shd w:val="clear" w:color="auto" w:fill="1F497D"/>
          </w:tcPr>
          <w:p>
            <w:r>
              <w:rPr>
                <w:b/>
                <w:color w:val="FFFFFF"/>
                <w:sz w:val="20"/>
              </w:rPr>
              <w:t>MSE</w:t>
            </w:r>
          </w:p>
        </w:tc>
        <w:tc>
          <w:tcPr>
            <w:tcW w:type="dxa" w:w="1152"/>
            <w:shd w:val="clear" w:color="auto" w:fill="1F497D"/>
          </w:tcPr>
          <w:p>
            <w:r>
              <w:rPr>
                <w:b/>
                <w:color w:val="FFFFFF"/>
                <w:sz w:val="20"/>
              </w:rPr>
              <w:t>MAE</w:t>
            </w:r>
          </w:p>
        </w:tc>
        <w:tc>
          <w:tcPr>
            <w:tcW w:type="dxa" w:w="1152"/>
            <w:shd w:val="clear" w:color="auto" w:fill="1F497D"/>
          </w:tcPr>
          <w:p>
            <w:r>
              <w:rPr>
                <w:b/>
                <w:color w:val="FFFFFF"/>
                <w:sz w:val="20"/>
              </w:rPr>
              <w:t>RMSE</w:t>
            </w:r>
          </w:p>
        </w:tc>
        <w:tc>
          <w:tcPr>
            <w:tcW w:type="dxa" w:w="1152"/>
            <w:shd w:val="clear" w:color="auto" w:fill="1F497D"/>
          </w:tcPr>
          <w:p>
            <w:r>
              <w:rPr>
                <w:b/>
                <w:color w:val="FFFFFF"/>
                <w:sz w:val="20"/>
              </w:rPr>
              <w:t>R²</w:t>
            </w:r>
          </w:p>
        </w:tc>
        <w:tc>
          <w:tcPr>
            <w:tcW w:type="dxa" w:w="1296"/>
            <w:shd w:val="clear" w:color="auto" w:fill="1F497D"/>
          </w:tcPr>
          <w:p>
            <w:r>
              <w:rPr>
                <w:b/>
                <w:color w:val="FFFFFF"/>
                <w:sz w:val="20"/>
              </w:rPr>
              <w:t>Pearson r</w:t>
            </w:r>
          </w:p>
        </w:tc>
        <w:tc>
          <w:tcPr>
            <w:tcW w:type="dxa" w:w="1296"/>
            <w:shd w:val="clear" w:color="auto" w:fill="1F497D"/>
          </w:tcPr>
          <w:p>
            <w:r>
              <w:rPr>
                <w:b/>
                <w:color w:val="FFFFFF"/>
                <w:sz w:val="20"/>
              </w:rPr>
              <w:t>Spearman ρ</w:t>
            </w:r>
          </w:p>
        </w:tc>
      </w:tr>
      <w:tr>
        <w:tc>
          <w:tcPr>
            <w:tcW w:type="dxa" w:w="1296"/>
            <w:shd w:val="clear" w:color="auto" w:fill="F2F7FF"/>
          </w:tcPr>
          <w:p>
            <w:r>
              <w:rPr>
                <w:color w:val="595959"/>
                <w:sz w:val="20"/>
              </w:rPr>
              <w:t>1</w:t>
            </w:r>
          </w:p>
        </w:tc>
        <w:tc>
          <w:tcPr>
            <w:tcW w:type="dxa" w:w="1152"/>
            <w:shd w:val="clear" w:color="auto" w:fill="F2F7FF"/>
          </w:tcPr>
          <w:p>
            <w:r>
              <w:rPr>
                <w:color w:val="595959"/>
                <w:sz w:val="20"/>
              </w:rPr>
              <w:t>0.3778</w:t>
            </w:r>
          </w:p>
        </w:tc>
        <w:tc>
          <w:tcPr>
            <w:tcW w:type="dxa" w:w="1152"/>
            <w:shd w:val="clear" w:color="auto" w:fill="F2F7FF"/>
          </w:tcPr>
          <w:p>
            <w:r>
              <w:rPr>
                <w:color w:val="595959"/>
                <w:sz w:val="20"/>
              </w:rPr>
              <w:t>0.4183</w:t>
            </w:r>
          </w:p>
        </w:tc>
        <w:tc>
          <w:tcPr>
            <w:tcW w:type="dxa" w:w="1152"/>
            <w:shd w:val="clear" w:color="auto" w:fill="F2F7FF"/>
          </w:tcPr>
          <w:p>
            <w:r>
              <w:rPr>
                <w:color w:val="595959"/>
                <w:sz w:val="20"/>
              </w:rPr>
              <w:t>0.6146</w:t>
            </w:r>
          </w:p>
        </w:tc>
        <w:tc>
          <w:tcPr>
            <w:tcW w:type="dxa" w:w="1152"/>
            <w:shd w:val="clear" w:color="auto" w:fill="F2F7FF"/>
          </w:tcPr>
          <w:p>
            <w:r>
              <w:rPr>
                <w:color w:val="595959"/>
                <w:sz w:val="20"/>
              </w:rPr>
              <w:t>0.5091</w:t>
            </w:r>
          </w:p>
        </w:tc>
        <w:tc>
          <w:tcPr>
            <w:tcW w:type="dxa" w:w="1296"/>
            <w:shd w:val="clear" w:color="auto" w:fill="F2F7FF"/>
          </w:tcPr>
          <w:p>
            <w:r>
              <w:rPr>
                <w:color w:val="595959"/>
                <w:sz w:val="20"/>
              </w:rPr>
              <w:t>0.7230</w:t>
            </w:r>
          </w:p>
        </w:tc>
        <w:tc>
          <w:tcPr>
            <w:tcW w:type="dxa" w:w="1296"/>
            <w:shd w:val="clear" w:color="auto" w:fill="F2F7FF"/>
          </w:tcPr>
          <w:p>
            <w:r>
              <w:rPr>
                <w:color w:val="595959"/>
                <w:sz w:val="20"/>
              </w:rPr>
              <w:t>0.6070</w:t>
            </w:r>
          </w:p>
        </w:tc>
      </w:tr>
      <w:tr>
        <w:tc>
          <w:tcPr>
            <w:tcW w:type="dxa" w:w="1296"/>
            <w:shd w:val="clear" w:color="auto" w:fill="FFFFFF"/>
          </w:tcPr>
          <w:p>
            <w:r>
              <w:rPr>
                <w:color w:val="595959"/>
                <w:sz w:val="20"/>
              </w:rPr>
              <w:t>2</w:t>
            </w:r>
          </w:p>
        </w:tc>
        <w:tc>
          <w:tcPr>
            <w:tcW w:type="dxa" w:w="1152"/>
            <w:shd w:val="clear" w:color="auto" w:fill="FFFFFF"/>
          </w:tcPr>
          <w:p>
            <w:r>
              <w:rPr>
                <w:color w:val="595959"/>
                <w:sz w:val="20"/>
              </w:rPr>
              <w:t>0.3833</w:t>
            </w:r>
          </w:p>
        </w:tc>
        <w:tc>
          <w:tcPr>
            <w:tcW w:type="dxa" w:w="1152"/>
            <w:shd w:val="clear" w:color="auto" w:fill="FFFFFF"/>
          </w:tcPr>
          <w:p>
            <w:r>
              <w:rPr>
                <w:color w:val="595959"/>
                <w:sz w:val="20"/>
              </w:rPr>
              <w:t>0.4230</w:t>
            </w:r>
          </w:p>
        </w:tc>
        <w:tc>
          <w:tcPr>
            <w:tcW w:type="dxa" w:w="1152"/>
            <w:shd w:val="clear" w:color="auto" w:fill="FFFFFF"/>
          </w:tcPr>
          <w:p>
            <w:r>
              <w:rPr>
                <w:color w:val="595959"/>
                <w:sz w:val="20"/>
              </w:rPr>
              <w:t>0.6191</w:t>
            </w:r>
          </w:p>
        </w:tc>
        <w:tc>
          <w:tcPr>
            <w:tcW w:type="dxa" w:w="1152"/>
            <w:shd w:val="clear" w:color="auto" w:fill="FFFFFF"/>
          </w:tcPr>
          <w:p>
            <w:r>
              <w:rPr>
                <w:color w:val="595959"/>
                <w:sz w:val="20"/>
              </w:rPr>
              <w:t>0.5018</w:t>
            </w:r>
          </w:p>
        </w:tc>
        <w:tc>
          <w:tcPr>
            <w:tcW w:type="dxa" w:w="1296"/>
            <w:shd w:val="clear" w:color="auto" w:fill="FFFFFF"/>
          </w:tcPr>
          <w:p>
            <w:r>
              <w:rPr>
                <w:color w:val="595959"/>
                <w:sz w:val="20"/>
              </w:rPr>
              <w:t>0.7186</w:t>
            </w:r>
          </w:p>
        </w:tc>
        <w:tc>
          <w:tcPr>
            <w:tcW w:type="dxa" w:w="1296"/>
            <w:shd w:val="clear" w:color="auto" w:fill="FFFFFF"/>
          </w:tcPr>
          <w:p>
            <w:r>
              <w:rPr>
                <w:color w:val="595959"/>
                <w:sz w:val="20"/>
              </w:rPr>
              <w:t>0.6059</w:t>
            </w:r>
          </w:p>
        </w:tc>
      </w:tr>
      <w:tr>
        <w:tc>
          <w:tcPr>
            <w:tcW w:type="dxa" w:w="1296"/>
            <w:shd w:val="clear" w:color="auto" w:fill="F2F7FF"/>
          </w:tcPr>
          <w:p>
            <w:r>
              <w:rPr>
                <w:color w:val="595959"/>
                <w:sz w:val="20"/>
              </w:rPr>
              <w:t>3</w:t>
            </w:r>
          </w:p>
        </w:tc>
        <w:tc>
          <w:tcPr>
            <w:tcW w:type="dxa" w:w="1152"/>
            <w:shd w:val="clear" w:color="auto" w:fill="F2F7FF"/>
          </w:tcPr>
          <w:p>
            <w:r>
              <w:rPr>
                <w:color w:val="595959"/>
                <w:sz w:val="20"/>
              </w:rPr>
              <w:t>0.3761</w:t>
            </w:r>
          </w:p>
        </w:tc>
        <w:tc>
          <w:tcPr>
            <w:tcW w:type="dxa" w:w="1152"/>
            <w:shd w:val="clear" w:color="auto" w:fill="F2F7FF"/>
          </w:tcPr>
          <w:p>
            <w:r>
              <w:rPr>
                <w:color w:val="595959"/>
                <w:sz w:val="20"/>
              </w:rPr>
              <w:t>0.4136</w:t>
            </w:r>
          </w:p>
        </w:tc>
        <w:tc>
          <w:tcPr>
            <w:tcW w:type="dxa" w:w="1152"/>
            <w:shd w:val="clear" w:color="auto" w:fill="F2F7FF"/>
          </w:tcPr>
          <w:p>
            <w:r>
              <w:rPr>
                <w:color w:val="595959"/>
                <w:sz w:val="20"/>
              </w:rPr>
              <w:t>0.6133</w:t>
            </w:r>
          </w:p>
        </w:tc>
        <w:tc>
          <w:tcPr>
            <w:tcW w:type="dxa" w:w="1152"/>
            <w:shd w:val="clear" w:color="auto" w:fill="F2F7FF"/>
          </w:tcPr>
          <w:p>
            <w:r>
              <w:rPr>
                <w:color w:val="595959"/>
                <w:sz w:val="20"/>
              </w:rPr>
              <w:t>0.5112</w:t>
            </w:r>
          </w:p>
        </w:tc>
        <w:tc>
          <w:tcPr>
            <w:tcW w:type="dxa" w:w="1296"/>
            <w:shd w:val="clear" w:color="auto" w:fill="F2F7FF"/>
          </w:tcPr>
          <w:p>
            <w:r>
              <w:rPr>
                <w:color w:val="595959"/>
                <w:sz w:val="20"/>
              </w:rPr>
              <w:t>0.7241</w:t>
            </w:r>
          </w:p>
        </w:tc>
        <w:tc>
          <w:tcPr>
            <w:tcW w:type="dxa" w:w="1296"/>
            <w:shd w:val="clear" w:color="auto" w:fill="F2F7FF"/>
          </w:tcPr>
          <w:p>
            <w:r>
              <w:rPr>
                <w:color w:val="595959"/>
                <w:sz w:val="20"/>
              </w:rPr>
              <w:t>0.6161</w:t>
            </w:r>
          </w:p>
        </w:tc>
      </w:tr>
      <w:tr>
        <w:tc>
          <w:tcPr>
            <w:tcW w:type="dxa" w:w="1296"/>
            <w:shd w:val="clear" w:color="auto" w:fill="FFFFFF"/>
          </w:tcPr>
          <w:p>
            <w:r>
              <w:rPr>
                <w:color w:val="595959"/>
                <w:sz w:val="20"/>
              </w:rPr>
              <w:t>4</w:t>
            </w:r>
          </w:p>
        </w:tc>
        <w:tc>
          <w:tcPr>
            <w:tcW w:type="dxa" w:w="1152"/>
            <w:shd w:val="clear" w:color="auto" w:fill="FFFFFF"/>
          </w:tcPr>
          <w:p>
            <w:r>
              <w:rPr>
                <w:color w:val="595959"/>
                <w:sz w:val="20"/>
              </w:rPr>
              <w:t>0.3934</w:t>
            </w:r>
          </w:p>
        </w:tc>
        <w:tc>
          <w:tcPr>
            <w:tcW w:type="dxa" w:w="1152"/>
            <w:shd w:val="clear" w:color="auto" w:fill="FFFFFF"/>
          </w:tcPr>
          <w:p>
            <w:r>
              <w:rPr>
                <w:color w:val="595959"/>
                <w:sz w:val="20"/>
              </w:rPr>
              <w:t>0.4195</w:t>
            </w:r>
          </w:p>
        </w:tc>
        <w:tc>
          <w:tcPr>
            <w:tcW w:type="dxa" w:w="1152"/>
            <w:shd w:val="clear" w:color="auto" w:fill="FFFFFF"/>
          </w:tcPr>
          <w:p>
            <w:r>
              <w:rPr>
                <w:color w:val="595959"/>
                <w:sz w:val="20"/>
              </w:rPr>
              <w:t>0.6272</w:t>
            </w:r>
          </w:p>
        </w:tc>
        <w:tc>
          <w:tcPr>
            <w:tcW w:type="dxa" w:w="1152"/>
            <w:shd w:val="clear" w:color="auto" w:fill="FFFFFF"/>
          </w:tcPr>
          <w:p>
            <w:r>
              <w:rPr>
                <w:color w:val="595959"/>
                <w:sz w:val="20"/>
              </w:rPr>
              <w:t>0.4888</w:t>
            </w:r>
          </w:p>
        </w:tc>
        <w:tc>
          <w:tcPr>
            <w:tcW w:type="dxa" w:w="1296"/>
            <w:shd w:val="clear" w:color="auto" w:fill="FFFFFF"/>
          </w:tcPr>
          <w:p>
            <w:r>
              <w:rPr>
                <w:color w:val="595959"/>
                <w:sz w:val="20"/>
              </w:rPr>
              <w:t>0.7017</w:t>
            </w:r>
          </w:p>
        </w:tc>
        <w:tc>
          <w:tcPr>
            <w:tcW w:type="dxa" w:w="1296"/>
            <w:shd w:val="clear" w:color="auto" w:fill="FFFFFF"/>
          </w:tcPr>
          <w:p>
            <w:r>
              <w:rPr>
                <w:color w:val="595959"/>
                <w:sz w:val="20"/>
              </w:rPr>
              <w:t>0.5944</w:t>
            </w:r>
          </w:p>
        </w:tc>
      </w:tr>
      <w:tr>
        <w:tc>
          <w:tcPr>
            <w:tcW w:type="dxa" w:w="1296"/>
            <w:shd w:val="clear" w:color="auto" w:fill="F2F7FF"/>
          </w:tcPr>
          <w:p>
            <w:r>
              <w:rPr>
                <w:color w:val="595959"/>
                <w:sz w:val="20"/>
              </w:rPr>
              <w:t>5</w:t>
            </w:r>
          </w:p>
        </w:tc>
        <w:tc>
          <w:tcPr>
            <w:tcW w:type="dxa" w:w="1152"/>
            <w:shd w:val="clear" w:color="auto" w:fill="F2F7FF"/>
          </w:tcPr>
          <w:p>
            <w:r>
              <w:rPr>
                <w:color w:val="595959"/>
                <w:sz w:val="20"/>
              </w:rPr>
              <w:t>0.3634</w:t>
            </w:r>
          </w:p>
        </w:tc>
        <w:tc>
          <w:tcPr>
            <w:tcW w:type="dxa" w:w="1152"/>
            <w:shd w:val="clear" w:color="auto" w:fill="F2F7FF"/>
          </w:tcPr>
          <w:p>
            <w:r>
              <w:rPr>
                <w:color w:val="595959"/>
                <w:sz w:val="20"/>
              </w:rPr>
              <w:t>0.4017</w:t>
            </w:r>
          </w:p>
        </w:tc>
        <w:tc>
          <w:tcPr>
            <w:tcW w:type="dxa" w:w="1152"/>
            <w:shd w:val="clear" w:color="auto" w:fill="F2F7FF"/>
          </w:tcPr>
          <w:p>
            <w:r>
              <w:rPr>
                <w:color w:val="595959"/>
                <w:sz w:val="20"/>
              </w:rPr>
              <w:t>0.6028</w:t>
            </w:r>
          </w:p>
        </w:tc>
        <w:tc>
          <w:tcPr>
            <w:tcW w:type="dxa" w:w="1152"/>
            <w:shd w:val="clear" w:color="auto" w:fill="F2F7FF"/>
          </w:tcPr>
          <w:p>
            <w:r>
              <w:rPr>
                <w:color w:val="595959"/>
                <w:sz w:val="20"/>
              </w:rPr>
              <w:t>0.5277</w:t>
            </w:r>
          </w:p>
        </w:tc>
        <w:tc>
          <w:tcPr>
            <w:tcW w:type="dxa" w:w="1296"/>
            <w:shd w:val="clear" w:color="auto" w:fill="F2F7FF"/>
          </w:tcPr>
          <w:p>
            <w:r>
              <w:rPr>
                <w:color w:val="595959"/>
                <w:sz w:val="20"/>
              </w:rPr>
              <w:t>0.7384</w:t>
            </w:r>
          </w:p>
        </w:tc>
        <w:tc>
          <w:tcPr>
            <w:tcW w:type="dxa" w:w="1296"/>
            <w:shd w:val="clear" w:color="auto" w:fill="F2F7FF"/>
          </w:tcPr>
          <w:p>
            <w:r>
              <w:rPr>
                <w:color w:val="595959"/>
                <w:sz w:val="20"/>
              </w:rPr>
              <w:t>0.6248</w:t>
            </w:r>
          </w:p>
        </w:tc>
      </w:tr>
      <w:tr>
        <w:tc>
          <w:tcPr>
            <w:tcW w:type="dxa" w:w="1296"/>
            <w:shd w:val="clear" w:color="auto" w:fill="FFFFFF"/>
          </w:tcPr>
          <w:p>
            <w:r>
              <w:rPr>
                <w:color w:val="595959"/>
                <w:sz w:val="20"/>
              </w:rPr>
              <w:t>Mean ± std</w:t>
            </w:r>
          </w:p>
        </w:tc>
        <w:tc>
          <w:tcPr>
            <w:tcW w:type="dxa" w:w="1152"/>
            <w:shd w:val="clear" w:color="auto" w:fill="FFFFFF"/>
          </w:tcPr>
          <w:p>
            <w:r>
              <w:rPr>
                <w:color w:val="595959"/>
                <w:sz w:val="20"/>
              </w:rPr>
              <w:t>0.379 ± 0.011</w:t>
            </w:r>
          </w:p>
        </w:tc>
        <w:tc>
          <w:tcPr>
            <w:tcW w:type="dxa" w:w="1152"/>
            <w:shd w:val="clear" w:color="auto" w:fill="FFFFFF"/>
          </w:tcPr>
          <w:p>
            <w:r>
              <w:rPr>
                <w:color w:val="595959"/>
                <w:sz w:val="20"/>
              </w:rPr>
              <w:t>0.415 ± 0.008</w:t>
            </w:r>
          </w:p>
        </w:tc>
        <w:tc>
          <w:tcPr>
            <w:tcW w:type="dxa" w:w="1152"/>
            <w:shd w:val="clear" w:color="auto" w:fill="FFFFFF"/>
          </w:tcPr>
          <w:p>
            <w:r>
              <w:rPr>
                <w:color w:val="595959"/>
                <w:sz w:val="20"/>
              </w:rPr>
              <w:t>0.615 ± 0.009</w:t>
            </w:r>
          </w:p>
        </w:tc>
        <w:tc>
          <w:tcPr>
            <w:tcW w:type="dxa" w:w="1152"/>
            <w:shd w:val="clear" w:color="auto" w:fill="FFFFFF"/>
          </w:tcPr>
          <w:p>
            <w:r>
              <w:rPr>
                <w:color w:val="595959"/>
                <w:sz w:val="20"/>
              </w:rPr>
              <w:t>0.508 ± 0.014</w:t>
            </w:r>
          </w:p>
        </w:tc>
        <w:tc>
          <w:tcPr>
            <w:tcW w:type="dxa" w:w="1296"/>
            <w:shd w:val="clear" w:color="auto" w:fill="FFFFFF"/>
          </w:tcPr>
          <w:p>
            <w:r>
              <w:rPr>
                <w:color w:val="595959"/>
                <w:sz w:val="20"/>
              </w:rPr>
              <w:t>0.721 ± 0.013</w:t>
            </w:r>
          </w:p>
        </w:tc>
        <w:tc>
          <w:tcPr>
            <w:tcW w:type="dxa" w:w="1296"/>
            <w:shd w:val="clear" w:color="auto" w:fill="FFFFFF"/>
          </w:tcPr>
          <w:p>
            <w:r>
              <w:rPr>
                <w:color w:val="595959"/>
                <w:sz w:val="20"/>
              </w:rPr>
              <w:t>0.610 ± 0.011</w:t>
            </w:r>
          </w:p>
        </w:tc>
      </w:tr>
    </w:tbl>
    <w:p/>
    <w:p>
      <w:pPr>
        <w:spacing w:before="160" w:after="40"/>
      </w:pPr>
      <w:r>
        <w:rPr>
          <w:b/>
          <w:color w:val="1F497D"/>
          <w:sz w:val="22"/>
        </w:rPr>
        <w:t>H-GNN-RNN-DTI — KIBA (All 5 Seeds)</w:t>
      </w:r>
    </w:p>
    <w:tbl>
      <w:tblPr>
        <w:tblStyle w:val="TableGrid"/>
        <w:tblW w:type="auto" w:w="0"/>
        <w:tblLook w:firstColumn="1" w:firstRow="1" w:lastColumn="0" w:lastRow="0" w:noHBand="0" w:noVBand="1" w:val="04A0"/>
      </w:tblPr>
      <w:tblGrid>
        <w:gridCol w:w="1303"/>
        <w:gridCol w:w="1303"/>
        <w:gridCol w:w="1303"/>
        <w:gridCol w:w="1303"/>
        <w:gridCol w:w="1303"/>
        <w:gridCol w:w="1303"/>
        <w:gridCol w:w="1303"/>
      </w:tblGrid>
      <w:tr>
        <w:tc>
          <w:tcPr>
            <w:tcW w:type="dxa" w:w="1296"/>
            <w:shd w:val="clear" w:color="auto" w:fill="1F497D"/>
          </w:tcPr>
          <w:p>
            <w:r>
              <w:rPr>
                <w:b/>
                <w:color w:val="FFFFFF"/>
                <w:sz w:val="20"/>
              </w:rPr>
              <w:t>Seed</w:t>
            </w:r>
          </w:p>
        </w:tc>
        <w:tc>
          <w:tcPr>
            <w:tcW w:type="dxa" w:w="1152"/>
            <w:shd w:val="clear" w:color="auto" w:fill="1F497D"/>
          </w:tcPr>
          <w:p>
            <w:r>
              <w:rPr>
                <w:b/>
                <w:color w:val="FFFFFF"/>
                <w:sz w:val="20"/>
              </w:rPr>
              <w:t>MSE</w:t>
            </w:r>
          </w:p>
        </w:tc>
        <w:tc>
          <w:tcPr>
            <w:tcW w:type="dxa" w:w="1152"/>
            <w:shd w:val="clear" w:color="auto" w:fill="1F497D"/>
          </w:tcPr>
          <w:p>
            <w:r>
              <w:rPr>
                <w:b/>
                <w:color w:val="FFFFFF"/>
                <w:sz w:val="20"/>
              </w:rPr>
              <w:t>MAE</w:t>
            </w:r>
          </w:p>
        </w:tc>
        <w:tc>
          <w:tcPr>
            <w:tcW w:type="dxa" w:w="1152"/>
            <w:shd w:val="clear" w:color="auto" w:fill="1F497D"/>
          </w:tcPr>
          <w:p>
            <w:r>
              <w:rPr>
                <w:b/>
                <w:color w:val="FFFFFF"/>
                <w:sz w:val="20"/>
              </w:rPr>
              <w:t>RMSE</w:t>
            </w:r>
          </w:p>
        </w:tc>
        <w:tc>
          <w:tcPr>
            <w:tcW w:type="dxa" w:w="1152"/>
            <w:shd w:val="clear" w:color="auto" w:fill="1F497D"/>
          </w:tcPr>
          <w:p>
            <w:r>
              <w:rPr>
                <w:b/>
                <w:color w:val="FFFFFF"/>
                <w:sz w:val="20"/>
              </w:rPr>
              <w:t>R²</w:t>
            </w:r>
          </w:p>
        </w:tc>
        <w:tc>
          <w:tcPr>
            <w:tcW w:type="dxa" w:w="1296"/>
            <w:shd w:val="clear" w:color="auto" w:fill="1F497D"/>
          </w:tcPr>
          <w:p>
            <w:r>
              <w:rPr>
                <w:b/>
                <w:color w:val="FFFFFF"/>
                <w:sz w:val="20"/>
              </w:rPr>
              <w:t>Pearson r</w:t>
            </w:r>
          </w:p>
        </w:tc>
        <w:tc>
          <w:tcPr>
            <w:tcW w:type="dxa" w:w="1296"/>
            <w:shd w:val="clear" w:color="auto" w:fill="1F497D"/>
          </w:tcPr>
          <w:p>
            <w:r>
              <w:rPr>
                <w:b/>
                <w:color w:val="FFFFFF"/>
                <w:sz w:val="20"/>
              </w:rPr>
              <w:t>Spearman ρ</w:t>
            </w:r>
          </w:p>
        </w:tc>
      </w:tr>
      <w:tr>
        <w:tc>
          <w:tcPr>
            <w:tcW w:type="dxa" w:w="1296"/>
            <w:shd w:val="clear" w:color="auto" w:fill="F2F7FF"/>
          </w:tcPr>
          <w:p>
            <w:r>
              <w:rPr>
                <w:color w:val="595959"/>
                <w:sz w:val="20"/>
              </w:rPr>
              <w:t>1</w:t>
            </w:r>
          </w:p>
        </w:tc>
        <w:tc>
          <w:tcPr>
            <w:tcW w:type="dxa" w:w="1152"/>
            <w:shd w:val="clear" w:color="auto" w:fill="F2F7FF"/>
          </w:tcPr>
          <w:p>
            <w:r>
              <w:rPr>
                <w:color w:val="595959"/>
                <w:sz w:val="20"/>
              </w:rPr>
              <w:t>0.2816</w:t>
            </w:r>
          </w:p>
        </w:tc>
        <w:tc>
          <w:tcPr>
            <w:tcW w:type="dxa" w:w="1152"/>
            <w:shd w:val="clear" w:color="auto" w:fill="F2F7FF"/>
          </w:tcPr>
          <w:p>
            <w:r>
              <w:rPr>
                <w:color w:val="595959"/>
                <w:sz w:val="20"/>
              </w:rPr>
              <w:t>0.3613</w:t>
            </w:r>
          </w:p>
        </w:tc>
        <w:tc>
          <w:tcPr>
            <w:tcW w:type="dxa" w:w="1152"/>
            <w:shd w:val="clear" w:color="auto" w:fill="F2F7FF"/>
          </w:tcPr>
          <w:p>
            <w:r>
              <w:rPr>
                <w:color w:val="595959"/>
                <w:sz w:val="20"/>
              </w:rPr>
              <w:t>0.5307</w:t>
            </w:r>
          </w:p>
        </w:tc>
        <w:tc>
          <w:tcPr>
            <w:tcW w:type="dxa" w:w="1152"/>
            <w:shd w:val="clear" w:color="auto" w:fill="F2F7FF"/>
          </w:tcPr>
          <w:p>
            <w:r>
              <w:rPr>
                <w:color w:val="595959"/>
                <w:sz w:val="20"/>
              </w:rPr>
              <w:t>0.6018</w:t>
            </w:r>
          </w:p>
        </w:tc>
        <w:tc>
          <w:tcPr>
            <w:tcW w:type="dxa" w:w="1296"/>
            <w:shd w:val="clear" w:color="auto" w:fill="F2F7FF"/>
          </w:tcPr>
          <w:p>
            <w:r>
              <w:rPr>
                <w:color w:val="595959"/>
                <w:sz w:val="20"/>
              </w:rPr>
              <w:t>0.7807</w:t>
            </w:r>
          </w:p>
        </w:tc>
        <w:tc>
          <w:tcPr>
            <w:tcW w:type="dxa" w:w="1296"/>
            <w:shd w:val="clear" w:color="auto" w:fill="F2F7FF"/>
          </w:tcPr>
          <w:p>
            <w:r>
              <w:rPr>
                <w:color w:val="595959"/>
                <w:sz w:val="20"/>
              </w:rPr>
              <w:t>0.7515</w:t>
            </w:r>
          </w:p>
        </w:tc>
      </w:tr>
      <w:tr>
        <w:tc>
          <w:tcPr>
            <w:tcW w:type="dxa" w:w="1296"/>
            <w:shd w:val="clear" w:color="auto" w:fill="FFFFFF"/>
          </w:tcPr>
          <w:p>
            <w:r>
              <w:rPr>
                <w:color w:val="595959"/>
                <w:sz w:val="20"/>
              </w:rPr>
              <w:t>2</w:t>
            </w:r>
          </w:p>
        </w:tc>
        <w:tc>
          <w:tcPr>
            <w:tcW w:type="dxa" w:w="1152"/>
            <w:shd w:val="clear" w:color="auto" w:fill="FFFFFF"/>
          </w:tcPr>
          <w:p>
            <w:r>
              <w:rPr>
                <w:color w:val="595959"/>
                <w:sz w:val="20"/>
              </w:rPr>
              <w:t>0.2844</w:t>
            </w:r>
          </w:p>
        </w:tc>
        <w:tc>
          <w:tcPr>
            <w:tcW w:type="dxa" w:w="1152"/>
            <w:shd w:val="clear" w:color="auto" w:fill="FFFFFF"/>
          </w:tcPr>
          <w:p>
            <w:r>
              <w:rPr>
                <w:color w:val="595959"/>
                <w:sz w:val="20"/>
              </w:rPr>
              <w:t>0.3659</w:t>
            </w:r>
          </w:p>
        </w:tc>
        <w:tc>
          <w:tcPr>
            <w:tcW w:type="dxa" w:w="1152"/>
            <w:shd w:val="clear" w:color="auto" w:fill="FFFFFF"/>
          </w:tcPr>
          <w:p>
            <w:r>
              <w:rPr>
                <w:color w:val="595959"/>
                <w:sz w:val="20"/>
              </w:rPr>
              <w:t>0.5333</w:t>
            </w:r>
          </w:p>
        </w:tc>
        <w:tc>
          <w:tcPr>
            <w:tcW w:type="dxa" w:w="1152"/>
            <w:shd w:val="clear" w:color="auto" w:fill="FFFFFF"/>
          </w:tcPr>
          <w:p>
            <w:r>
              <w:rPr>
                <w:color w:val="595959"/>
                <w:sz w:val="20"/>
              </w:rPr>
              <w:t>0.5979</w:t>
            </w:r>
          </w:p>
        </w:tc>
        <w:tc>
          <w:tcPr>
            <w:tcW w:type="dxa" w:w="1296"/>
            <w:shd w:val="clear" w:color="auto" w:fill="FFFFFF"/>
          </w:tcPr>
          <w:p>
            <w:r>
              <w:rPr>
                <w:color w:val="595959"/>
                <w:sz w:val="20"/>
              </w:rPr>
              <w:t>0.7776</w:t>
            </w:r>
          </w:p>
        </w:tc>
        <w:tc>
          <w:tcPr>
            <w:tcW w:type="dxa" w:w="1296"/>
            <w:shd w:val="clear" w:color="auto" w:fill="FFFFFF"/>
          </w:tcPr>
          <w:p>
            <w:r>
              <w:rPr>
                <w:color w:val="595959"/>
                <w:sz w:val="20"/>
              </w:rPr>
              <w:t>0.7437</w:t>
            </w:r>
          </w:p>
        </w:tc>
      </w:tr>
      <w:tr>
        <w:tc>
          <w:tcPr>
            <w:tcW w:type="dxa" w:w="1296"/>
            <w:shd w:val="clear" w:color="auto" w:fill="F2F7FF"/>
          </w:tcPr>
          <w:p>
            <w:r>
              <w:rPr>
                <w:color w:val="595959"/>
                <w:sz w:val="20"/>
              </w:rPr>
              <w:t>3</w:t>
            </w:r>
          </w:p>
        </w:tc>
        <w:tc>
          <w:tcPr>
            <w:tcW w:type="dxa" w:w="1152"/>
            <w:shd w:val="clear" w:color="auto" w:fill="F2F7FF"/>
          </w:tcPr>
          <w:p>
            <w:r>
              <w:rPr>
                <w:color w:val="595959"/>
                <w:sz w:val="20"/>
              </w:rPr>
              <w:t>0.2843</w:t>
            </w:r>
          </w:p>
        </w:tc>
        <w:tc>
          <w:tcPr>
            <w:tcW w:type="dxa" w:w="1152"/>
            <w:shd w:val="clear" w:color="auto" w:fill="F2F7FF"/>
          </w:tcPr>
          <w:p>
            <w:r>
              <w:rPr>
                <w:color w:val="595959"/>
                <w:sz w:val="20"/>
              </w:rPr>
              <w:t>0.3616</w:t>
            </w:r>
          </w:p>
        </w:tc>
        <w:tc>
          <w:tcPr>
            <w:tcW w:type="dxa" w:w="1152"/>
            <w:shd w:val="clear" w:color="auto" w:fill="F2F7FF"/>
          </w:tcPr>
          <w:p>
            <w:r>
              <w:rPr>
                <w:color w:val="595959"/>
                <w:sz w:val="20"/>
              </w:rPr>
              <w:t>0.5332</w:t>
            </w:r>
          </w:p>
        </w:tc>
        <w:tc>
          <w:tcPr>
            <w:tcW w:type="dxa" w:w="1152"/>
            <w:shd w:val="clear" w:color="auto" w:fill="F2F7FF"/>
          </w:tcPr>
          <w:p>
            <w:r>
              <w:rPr>
                <w:color w:val="595959"/>
                <w:sz w:val="20"/>
              </w:rPr>
              <w:t>0.5981</w:t>
            </w:r>
          </w:p>
        </w:tc>
        <w:tc>
          <w:tcPr>
            <w:tcW w:type="dxa" w:w="1296"/>
            <w:shd w:val="clear" w:color="auto" w:fill="F2F7FF"/>
          </w:tcPr>
          <w:p>
            <w:r>
              <w:rPr>
                <w:color w:val="595959"/>
                <w:sz w:val="20"/>
              </w:rPr>
              <w:t>0.7780</w:t>
            </w:r>
          </w:p>
        </w:tc>
        <w:tc>
          <w:tcPr>
            <w:tcW w:type="dxa" w:w="1296"/>
            <w:shd w:val="clear" w:color="auto" w:fill="F2F7FF"/>
          </w:tcPr>
          <w:p>
            <w:r>
              <w:rPr>
                <w:color w:val="595959"/>
                <w:sz w:val="20"/>
              </w:rPr>
              <w:t>0.7483</w:t>
            </w:r>
          </w:p>
        </w:tc>
      </w:tr>
      <w:tr>
        <w:tc>
          <w:tcPr>
            <w:tcW w:type="dxa" w:w="1296"/>
            <w:shd w:val="clear" w:color="auto" w:fill="FFFFFF"/>
          </w:tcPr>
          <w:p>
            <w:r>
              <w:rPr>
                <w:color w:val="595959"/>
                <w:sz w:val="20"/>
              </w:rPr>
              <w:t>4</w:t>
            </w:r>
          </w:p>
        </w:tc>
        <w:tc>
          <w:tcPr>
            <w:tcW w:type="dxa" w:w="1152"/>
            <w:shd w:val="clear" w:color="auto" w:fill="FFFFFF"/>
          </w:tcPr>
          <w:p>
            <w:r>
              <w:rPr>
                <w:color w:val="595959"/>
                <w:sz w:val="20"/>
              </w:rPr>
              <w:t>0.2551</w:t>
            </w:r>
          </w:p>
        </w:tc>
        <w:tc>
          <w:tcPr>
            <w:tcW w:type="dxa" w:w="1152"/>
            <w:shd w:val="clear" w:color="auto" w:fill="FFFFFF"/>
          </w:tcPr>
          <w:p>
            <w:r>
              <w:rPr>
                <w:color w:val="595959"/>
                <w:sz w:val="20"/>
              </w:rPr>
              <w:t>0.3389</w:t>
            </w:r>
          </w:p>
        </w:tc>
        <w:tc>
          <w:tcPr>
            <w:tcW w:type="dxa" w:w="1152"/>
            <w:shd w:val="clear" w:color="auto" w:fill="FFFFFF"/>
          </w:tcPr>
          <w:p>
            <w:r>
              <w:rPr>
                <w:color w:val="595959"/>
                <w:sz w:val="20"/>
              </w:rPr>
              <w:t>0.5050</w:t>
            </w:r>
          </w:p>
        </w:tc>
        <w:tc>
          <w:tcPr>
            <w:tcW w:type="dxa" w:w="1152"/>
            <w:shd w:val="clear" w:color="auto" w:fill="FFFFFF"/>
          </w:tcPr>
          <w:p>
            <w:r>
              <w:rPr>
                <w:color w:val="595959"/>
                <w:sz w:val="20"/>
              </w:rPr>
              <w:t>0.6394</w:t>
            </w:r>
          </w:p>
        </w:tc>
        <w:tc>
          <w:tcPr>
            <w:tcW w:type="dxa" w:w="1296"/>
            <w:shd w:val="clear" w:color="auto" w:fill="FFFFFF"/>
          </w:tcPr>
          <w:p>
            <w:r>
              <w:rPr>
                <w:color w:val="595959"/>
                <w:sz w:val="20"/>
              </w:rPr>
              <w:t>0.8039</w:t>
            </w:r>
          </w:p>
        </w:tc>
        <w:tc>
          <w:tcPr>
            <w:tcW w:type="dxa" w:w="1296"/>
            <w:shd w:val="clear" w:color="auto" w:fill="FFFFFF"/>
          </w:tcPr>
          <w:p>
            <w:r>
              <w:rPr>
                <w:color w:val="595959"/>
                <w:sz w:val="20"/>
              </w:rPr>
              <w:t>0.7807</w:t>
            </w:r>
          </w:p>
        </w:tc>
      </w:tr>
      <w:tr>
        <w:tc>
          <w:tcPr>
            <w:tcW w:type="dxa" w:w="1296"/>
            <w:shd w:val="clear" w:color="auto" w:fill="F2F7FF"/>
          </w:tcPr>
          <w:p>
            <w:r>
              <w:rPr>
                <w:color w:val="595959"/>
                <w:sz w:val="20"/>
              </w:rPr>
              <w:t>5</w:t>
            </w:r>
          </w:p>
        </w:tc>
        <w:tc>
          <w:tcPr>
            <w:tcW w:type="dxa" w:w="1152"/>
            <w:shd w:val="clear" w:color="auto" w:fill="F2F7FF"/>
          </w:tcPr>
          <w:p>
            <w:r>
              <w:rPr>
                <w:color w:val="595959"/>
                <w:sz w:val="20"/>
              </w:rPr>
              <w:t>0.2633</w:t>
            </w:r>
          </w:p>
        </w:tc>
        <w:tc>
          <w:tcPr>
            <w:tcW w:type="dxa" w:w="1152"/>
            <w:shd w:val="clear" w:color="auto" w:fill="F2F7FF"/>
          </w:tcPr>
          <w:p>
            <w:r>
              <w:rPr>
                <w:color w:val="595959"/>
                <w:sz w:val="20"/>
              </w:rPr>
              <w:t>0.3405</w:t>
            </w:r>
          </w:p>
        </w:tc>
        <w:tc>
          <w:tcPr>
            <w:tcW w:type="dxa" w:w="1152"/>
            <w:shd w:val="clear" w:color="auto" w:fill="F2F7FF"/>
          </w:tcPr>
          <w:p>
            <w:r>
              <w:rPr>
                <w:color w:val="595959"/>
                <w:sz w:val="20"/>
              </w:rPr>
              <w:t>0.5131</w:t>
            </w:r>
          </w:p>
        </w:tc>
        <w:tc>
          <w:tcPr>
            <w:tcW w:type="dxa" w:w="1152"/>
            <w:shd w:val="clear" w:color="auto" w:fill="F2F7FF"/>
          </w:tcPr>
          <w:p>
            <w:r>
              <w:rPr>
                <w:color w:val="595959"/>
                <w:sz w:val="20"/>
              </w:rPr>
              <w:t>0.6278</w:t>
            </w:r>
          </w:p>
        </w:tc>
        <w:tc>
          <w:tcPr>
            <w:tcW w:type="dxa" w:w="1296"/>
            <w:shd w:val="clear" w:color="auto" w:fill="F2F7FF"/>
          </w:tcPr>
          <w:p>
            <w:r>
              <w:rPr>
                <w:color w:val="595959"/>
                <w:sz w:val="20"/>
              </w:rPr>
              <w:t>0.7957</w:t>
            </w:r>
          </w:p>
        </w:tc>
        <w:tc>
          <w:tcPr>
            <w:tcW w:type="dxa" w:w="1296"/>
            <w:shd w:val="clear" w:color="auto" w:fill="F2F7FF"/>
          </w:tcPr>
          <w:p>
            <w:r>
              <w:rPr>
                <w:color w:val="595959"/>
                <w:sz w:val="20"/>
              </w:rPr>
              <w:t>0.7700</w:t>
            </w:r>
          </w:p>
        </w:tc>
      </w:tr>
      <w:tr>
        <w:tc>
          <w:tcPr>
            <w:tcW w:type="dxa" w:w="1296"/>
            <w:shd w:val="clear" w:color="auto" w:fill="FFFFFF"/>
          </w:tcPr>
          <w:p>
            <w:r>
              <w:rPr>
                <w:color w:val="595959"/>
                <w:sz w:val="20"/>
              </w:rPr>
              <w:t>Mean ± std</w:t>
            </w:r>
          </w:p>
        </w:tc>
        <w:tc>
          <w:tcPr>
            <w:tcW w:type="dxa" w:w="1152"/>
            <w:shd w:val="clear" w:color="auto" w:fill="FFFFFF"/>
          </w:tcPr>
          <w:p>
            <w:r>
              <w:rPr>
                <w:color w:val="595959"/>
                <w:sz w:val="20"/>
              </w:rPr>
              <w:t>0.274 ± 0.014</w:t>
            </w:r>
          </w:p>
        </w:tc>
        <w:tc>
          <w:tcPr>
            <w:tcW w:type="dxa" w:w="1152"/>
            <w:shd w:val="clear" w:color="auto" w:fill="FFFFFF"/>
          </w:tcPr>
          <w:p>
            <w:r>
              <w:rPr>
                <w:color w:val="595959"/>
                <w:sz w:val="20"/>
              </w:rPr>
              <w:t>0.354 ± 0.013</w:t>
            </w:r>
          </w:p>
        </w:tc>
        <w:tc>
          <w:tcPr>
            <w:tcW w:type="dxa" w:w="1152"/>
            <w:shd w:val="clear" w:color="auto" w:fill="FFFFFF"/>
          </w:tcPr>
          <w:p>
            <w:r>
              <w:rPr>
                <w:color w:val="595959"/>
                <w:sz w:val="20"/>
              </w:rPr>
              <w:t>0.523 ± 0.013</w:t>
            </w:r>
          </w:p>
        </w:tc>
        <w:tc>
          <w:tcPr>
            <w:tcW w:type="dxa" w:w="1152"/>
            <w:shd w:val="clear" w:color="auto" w:fill="FFFFFF"/>
          </w:tcPr>
          <w:p>
            <w:r>
              <w:rPr>
                <w:color w:val="595959"/>
                <w:sz w:val="20"/>
              </w:rPr>
              <w:t>0.613 ± 0.019</w:t>
            </w:r>
          </w:p>
        </w:tc>
        <w:tc>
          <w:tcPr>
            <w:tcW w:type="dxa" w:w="1296"/>
            <w:shd w:val="clear" w:color="auto" w:fill="FFFFFF"/>
          </w:tcPr>
          <w:p>
            <w:r>
              <w:rPr>
                <w:color w:val="595959"/>
                <w:sz w:val="20"/>
              </w:rPr>
              <w:t>0.787 ± 0.012</w:t>
            </w:r>
          </w:p>
        </w:tc>
        <w:tc>
          <w:tcPr>
            <w:tcW w:type="dxa" w:w="1296"/>
            <w:shd w:val="clear" w:color="auto" w:fill="FFFFFF"/>
          </w:tcPr>
          <w:p>
            <w:r>
              <w:rPr>
                <w:color w:val="595959"/>
                <w:sz w:val="20"/>
              </w:rPr>
              <w:t>0.759 ± 0.016</w:t>
            </w:r>
          </w:p>
        </w:tc>
      </w:tr>
    </w:tbl>
    <w:p/>
    <w:p>
      <w:pPr>
        <w:spacing w:before="160" w:after="40"/>
      </w:pPr>
      <w:r>
        <w:rPr>
          <w:b/>
          <w:color w:val="1F497D"/>
          <w:sz w:val="22"/>
        </w:rPr>
        <w:t>DTA Comparison: H-GNN-RNN-DTI vs. ConcatBaseline (5 Seeds, Paired t-test)</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1008"/>
            <w:shd w:val="clear" w:color="auto" w:fill="1F497D"/>
          </w:tcPr>
          <w:p>
            <w:r>
              <w:rPr>
                <w:b/>
                <w:color w:val="FFFFFF"/>
                <w:sz w:val="20"/>
              </w:rPr>
              <w:t>Dataset</w:t>
            </w:r>
          </w:p>
        </w:tc>
        <w:tc>
          <w:tcPr>
            <w:tcW w:type="dxa" w:w="1440"/>
            <w:shd w:val="clear" w:color="auto" w:fill="1F497D"/>
          </w:tcPr>
          <w:p>
            <w:r>
              <w:rPr>
                <w:b/>
                <w:color w:val="FFFFFF"/>
                <w:sz w:val="20"/>
              </w:rPr>
              <w:t>Metric</w:t>
            </w:r>
          </w:p>
        </w:tc>
        <w:tc>
          <w:tcPr>
            <w:tcW w:type="dxa" w:w="1872"/>
            <w:shd w:val="clear" w:color="auto" w:fill="1F497D"/>
          </w:tcPr>
          <w:p>
            <w:r>
              <w:rPr>
                <w:b/>
                <w:color w:val="FFFFFF"/>
                <w:sz w:val="20"/>
              </w:rPr>
              <w:t>H-GNN</w:t>
            </w:r>
          </w:p>
        </w:tc>
        <w:tc>
          <w:tcPr>
            <w:tcW w:type="dxa" w:w="1872"/>
            <w:shd w:val="clear" w:color="auto" w:fill="1F497D"/>
          </w:tcPr>
          <w:p>
            <w:r>
              <w:rPr>
                <w:b/>
                <w:color w:val="FFFFFF"/>
                <w:sz w:val="20"/>
              </w:rPr>
              <w:t>ConcatBaseline</w:t>
            </w:r>
          </w:p>
        </w:tc>
        <w:tc>
          <w:tcPr>
            <w:tcW w:type="dxa" w:w="1008"/>
            <w:shd w:val="clear" w:color="auto" w:fill="1F497D"/>
          </w:tcPr>
          <w:p>
            <w:r>
              <w:rPr>
                <w:b/>
                <w:color w:val="FFFFFF"/>
                <w:sz w:val="20"/>
              </w:rPr>
              <w:t>Δ</w:t>
            </w:r>
          </w:p>
        </w:tc>
        <w:tc>
          <w:tcPr>
            <w:tcW w:type="dxa" w:w="1440"/>
            <w:shd w:val="clear" w:color="auto" w:fill="1F497D"/>
          </w:tcPr>
          <w:p>
            <w:r>
              <w:rPr>
                <w:b/>
                <w:color w:val="FFFFFF"/>
                <w:sz w:val="20"/>
              </w:rPr>
              <w:t>p-value</w:t>
            </w:r>
          </w:p>
        </w:tc>
      </w:tr>
      <w:tr>
        <w:tc>
          <w:tcPr>
            <w:tcW w:type="dxa" w:w="1008"/>
            <w:shd w:val="clear" w:color="auto" w:fill="F2F7FF"/>
          </w:tcPr>
          <w:p>
            <w:r>
              <w:rPr>
                <w:color w:val="595959"/>
                <w:sz w:val="20"/>
              </w:rPr>
              <w:t>Davis</w:t>
            </w:r>
          </w:p>
        </w:tc>
        <w:tc>
          <w:tcPr>
            <w:tcW w:type="dxa" w:w="1440"/>
            <w:shd w:val="clear" w:color="auto" w:fill="F2F7FF"/>
          </w:tcPr>
          <w:p>
            <w:r>
              <w:rPr>
                <w:color w:val="595959"/>
                <w:sz w:val="20"/>
              </w:rPr>
              <w:t>MSE ↓</w:t>
            </w:r>
          </w:p>
        </w:tc>
        <w:tc>
          <w:tcPr>
            <w:tcW w:type="dxa" w:w="1872"/>
            <w:shd w:val="clear" w:color="auto" w:fill="F2F7FF"/>
          </w:tcPr>
          <w:p>
            <w:r>
              <w:rPr>
                <w:color w:val="595959"/>
                <w:sz w:val="20"/>
              </w:rPr>
              <w:t>0.379 ± 0.011</w:t>
            </w:r>
          </w:p>
        </w:tc>
        <w:tc>
          <w:tcPr>
            <w:tcW w:type="dxa" w:w="1872"/>
            <w:shd w:val="clear" w:color="auto" w:fill="F2F7FF"/>
          </w:tcPr>
          <w:p>
            <w:r>
              <w:rPr>
                <w:color w:val="595959"/>
                <w:sz w:val="20"/>
              </w:rPr>
              <w:t>0.468 ± 0.029</w:t>
            </w:r>
          </w:p>
        </w:tc>
        <w:tc>
          <w:tcPr>
            <w:tcW w:type="dxa" w:w="1008"/>
            <w:shd w:val="clear" w:color="auto" w:fill="F2F7FF"/>
          </w:tcPr>
          <w:p>
            <w:r>
              <w:rPr>
                <w:color w:val="595959"/>
                <w:sz w:val="20"/>
              </w:rPr>
              <w:t>−0.090</w:t>
            </w:r>
          </w:p>
        </w:tc>
        <w:tc>
          <w:tcPr>
            <w:tcW w:type="dxa" w:w="1440"/>
            <w:shd w:val="clear" w:color="auto" w:fill="F2F7FF"/>
          </w:tcPr>
          <w:p>
            <w:r>
              <w:rPr>
                <w:color w:val="595959"/>
                <w:sz w:val="20"/>
              </w:rPr>
              <w:t>0.003  ✓✓</w:t>
            </w:r>
          </w:p>
        </w:tc>
      </w:tr>
      <w:tr>
        <w:tc>
          <w:tcPr>
            <w:tcW w:type="dxa" w:w="1008"/>
            <w:shd w:val="clear" w:color="auto" w:fill="FFFFFF"/>
          </w:tcPr>
          <w:p>
            <w:r>
              <w:rPr>
                <w:color w:val="595959"/>
                <w:sz w:val="20"/>
              </w:rPr>
              <w:t>Davis</w:t>
            </w:r>
          </w:p>
        </w:tc>
        <w:tc>
          <w:tcPr>
            <w:tcW w:type="dxa" w:w="1440"/>
            <w:shd w:val="clear" w:color="auto" w:fill="FFFFFF"/>
          </w:tcPr>
          <w:p>
            <w:r>
              <w:rPr>
                <w:color w:val="595959"/>
                <w:sz w:val="20"/>
              </w:rPr>
              <w:t>MAE ↓</w:t>
            </w:r>
          </w:p>
        </w:tc>
        <w:tc>
          <w:tcPr>
            <w:tcW w:type="dxa" w:w="1872"/>
            <w:shd w:val="clear" w:color="auto" w:fill="FFFFFF"/>
          </w:tcPr>
          <w:p>
            <w:r>
              <w:rPr>
                <w:color w:val="595959"/>
                <w:sz w:val="20"/>
              </w:rPr>
              <w:t>0.415 ± 0.008</w:t>
            </w:r>
          </w:p>
        </w:tc>
        <w:tc>
          <w:tcPr>
            <w:tcW w:type="dxa" w:w="1872"/>
            <w:shd w:val="clear" w:color="auto" w:fill="FFFFFF"/>
          </w:tcPr>
          <w:p>
            <w:r>
              <w:rPr>
                <w:color w:val="595959"/>
                <w:sz w:val="20"/>
              </w:rPr>
              <w:t>0.444 ± 0.021</w:t>
            </w:r>
          </w:p>
        </w:tc>
        <w:tc>
          <w:tcPr>
            <w:tcW w:type="dxa" w:w="1008"/>
            <w:shd w:val="clear" w:color="auto" w:fill="FFFFFF"/>
          </w:tcPr>
          <w:p>
            <w:r>
              <w:rPr>
                <w:color w:val="595959"/>
                <w:sz w:val="20"/>
              </w:rPr>
              <w:t>−0.029</w:t>
            </w:r>
          </w:p>
        </w:tc>
        <w:tc>
          <w:tcPr>
            <w:tcW w:type="dxa" w:w="1440"/>
            <w:shd w:val="clear" w:color="auto" w:fill="FFFFFF"/>
          </w:tcPr>
          <w:p>
            <w:r>
              <w:rPr>
                <w:color w:val="595959"/>
                <w:sz w:val="20"/>
              </w:rPr>
              <w:t>0.028  ✓</w:t>
            </w:r>
          </w:p>
        </w:tc>
      </w:tr>
      <w:tr>
        <w:tc>
          <w:tcPr>
            <w:tcW w:type="dxa" w:w="1008"/>
            <w:shd w:val="clear" w:color="auto" w:fill="F2F7FF"/>
          </w:tcPr>
          <w:p>
            <w:r>
              <w:rPr>
                <w:color w:val="595959"/>
                <w:sz w:val="20"/>
              </w:rPr>
              <w:t>Davis</w:t>
            </w:r>
          </w:p>
        </w:tc>
        <w:tc>
          <w:tcPr>
            <w:tcW w:type="dxa" w:w="1440"/>
            <w:shd w:val="clear" w:color="auto" w:fill="F2F7FF"/>
          </w:tcPr>
          <w:p>
            <w:r>
              <w:rPr>
                <w:color w:val="595959"/>
                <w:sz w:val="20"/>
              </w:rPr>
              <w:t>Pearson r ↑</w:t>
            </w:r>
          </w:p>
        </w:tc>
        <w:tc>
          <w:tcPr>
            <w:tcW w:type="dxa" w:w="1872"/>
            <w:shd w:val="clear" w:color="auto" w:fill="F2F7FF"/>
          </w:tcPr>
          <w:p>
            <w:r>
              <w:rPr>
                <w:color w:val="595959"/>
                <w:sz w:val="20"/>
              </w:rPr>
              <w:t>0.721 ± 0.013</w:t>
            </w:r>
          </w:p>
        </w:tc>
        <w:tc>
          <w:tcPr>
            <w:tcW w:type="dxa" w:w="1872"/>
            <w:shd w:val="clear" w:color="auto" w:fill="F2F7FF"/>
          </w:tcPr>
          <w:p>
            <w:r>
              <w:rPr>
                <w:color w:val="595959"/>
                <w:sz w:val="20"/>
              </w:rPr>
              <w:t>0.626 ± 0.030</w:t>
            </w:r>
          </w:p>
        </w:tc>
        <w:tc>
          <w:tcPr>
            <w:tcW w:type="dxa" w:w="1008"/>
            <w:shd w:val="clear" w:color="auto" w:fill="F2F7FF"/>
          </w:tcPr>
          <w:p>
            <w:r>
              <w:rPr>
                <w:color w:val="595959"/>
                <w:sz w:val="20"/>
              </w:rPr>
              <w:t>+0.095</w:t>
            </w:r>
          </w:p>
        </w:tc>
        <w:tc>
          <w:tcPr>
            <w:tcW w:type="dxa" w:w="1440"/>
            <w:shd w:val="clear" w:color="auto" w:fill="F2F7FF"/>
          </w:tcPr>
          <w:p>
            <w:r>
              <w:rPr>
                <w:color w:val="595959"/>
                <w:sz w:val="20"/>
              </w:rPr>
              <w:t>0.003  ✓✓</w:t>
            </w:r>
          </w:p>
        </w:tc>
      </w:tr>
      <w:tr>
        <w:tc>
          <w:tcPr>
            <w:tcW w:type="dxa" w:w="1008"/>
            <w:shd w:val="clear" w:color="auto" w:fill="FFFFFF"/>
          </w:tcPr>
          <w:p>
            <w:r>
              <w:rPr>
                <w:color w:val="595959"/>
                <w:sz w:val="20"/>
              </w:rPr>
              <w:t>Davis</w:t>
            </w:r>
          </w:p>
        </w:tc>
        <w:tc>
          <w:tcPr>
            <w:tcW w:type="dxa" w:w="1440"/>
            <w:shd w:val="clear" w:color="auto" w:fill="FFFFFF"/>
          </w:tcPr>
          <w:p>
            <w:r>
              <w:rPr>
                <w:color w:val="595959"/>
                <w:sz w:val="20"/>
              </w:rPr>
              <w:t>R² ↑</w:t>
            </w:r>
          </w:p>
        </w:tc>
        <w:tc>
          <w:tcPr>
            <w:tcW w:type="dxa" w:w="1872"/>
            <w:shd w:val="clear" w:color="auto" w:fill="FFFFFF"/>
          </w:tcPr>
          <w:p>
            <w:r>
              <w:rPr>
                <w:color w:val="595959"/>
                <w:sz w:val="20"/>
              </w:rPr>
              <w:t>0.508 ± 0.014</w:t>
            </w:r>
          </w:p>
        </w:tc>
        <w:tc>
          <w:tcPr>
            <w:tcW w:type="dxa" w:w="1872"/>
            <w:shd w:val="clear" w:color="auto" w:fill="FFFFFF"/>
          </w:tcPr>
          <w:p>
            <w:r>
              <w:rPr>
                <w:color w:val="595959"/>
                <w:sz w:val="20"/>
              </w:rPr>
              <w:t>0.391 ± 0.037</w:t>
            </w:r>
          </w:p>
        </w:tc>
        <w:tc>
          <w:tcPr>
            <w:tcW w:type="dxa" w:w="1008"/>
            <w:shd w:val="clear" w:color="auto" w:fill="FFFFFF"/>
          </w:tcPr>
          <w:p>
            <w:r>
              <w:rPr>
                <w:color w:val="595959"/>
                <w:sz w:val="20"/>
              </w:rPr>
              <w:t>+0.116</w:t>
            </w:r>
          </w:p>
        </w:tc>
        <w:tc>
          <w:tcPr>
            <w:tcW w:type="dxa" w:w="1440"/>
            <w:shd w:val="clear" w:color="auto" w:fill="FFFFFF"/>
          </w:tcPr>
          <w:p>
            <w:r>
              <w:rPr>
                <w:color w:val="595959"/>
                <w:sz w:val="20"/>
              </w:rPr>
              <w:t>0.003  ✓✓</w:t>
            </w:r>
          </w:p>
        </w:tc>
      </w:tr>
      <w:tr>
        <w:tc>
          <w:tcPr>
            <w:tcW w:type="dxa" w:w="1008"/>
            <w:shd w:val="clear" w:color="auto" w:fill="F2F7FF"/>
          </w:tcPr>
          <w:p>
            <w:r>
              <w:rPr>
                <w:color w:val="595959"/>
                <w:sz w:val="20"/>
              </w:rPr>
              <w:t>KIBA</w:t>
            </w:r>
          </w:p>
        </w:tc>
        <w:tc>
          <w:tcPr>
            <w:tcW w:type="dxa" w:w="1440"/>
            <w:shd w:val="clear" w:color="auto" w:fill="F2F7FF"/>
          </w:tcPr>
          <w:p>
            <w:r>
              <w:rPr>
                <w:color w:val="595959"/>
                <w:sz w:val="20"/>
              </w:rPr>
              <w:t>MSE ↓</w:t>
            </w:r>
          </w:p>
        </w:tc>
        <w:tc>
          <w:tcPr>
            <w:tcW w:type="dxa" w:w="1872"/>
            <w:shd w:val="clear" w:color="auto" w:fill="F2F7FF"/>
          </w:tcPr>
          <w:p>
            <w:r>
              <w:rPr>
                <w:color w:val="595959"/>
                <w:sz w:val="20"/>
              </w:rPr>
              <w:t>0.274 ± 0.014</w:t>
            </w:r>
          </w:p>
        </w:tc>
        <w:tc>
          <w:tcPr>
            <w:tcW w:type="dxa" w:w="1872"/>
            <w:shd w:val="clear" w:color="auto" w:fill="F2F7FF"/>
          </w:tcPr>
          <w:p>
            <w:r>
              <w:rPr>
                <w:color w:val="595959"/>
                <w:sz w:val="20"/>
              </w:rPr>
              <w:t>0.304 ± 0.011</w:t>
            </w:r>
          </w:p>
        </w:tc>
        <w:tc>
          <w:tcPr>
            <w:tcW w:type="dxa" w:w="1008"/>
            <w:shd w:val="clear" w:color="auto" w:fill="F2F7FF"/>
          </w:tcPr>
          <w:p>
            <w:r>
              <w:rPr>
                <w:color w:val="595959"/>
                <w:sz w:val="20"/>
              </w:rPr>
              <w:t>−0.031</w:t>
            </w:r>
          </w:p>
        </w:tc>
        <w:tc>
          <w:tcPr>
            <w:tcW w:type="dxa" w:w="1440"/>
            <w:shd w:val="clear" w:color="auto" w:fill="F2F7FF"/>
          </w:tcPr>
          <w:p>
            <w:r>
              <w:rPr>
                <w:color w:val="595959"/>
                <w:sz w:val="20"/>
              </w:rPr>
              <w:t>0.009  ✓✓</w:t>
            </w:r>
          </w:p>
        </w:tc>
      </w:tr>
      <w:tr>
        <w:tc>
          <w:tcPr>
            <w:tcW w:type="dxa" w:w="1008"/>
            <w:shd w:val="clear" w:color="auto" w:fill="FFFFFF"/>
          </w:tcPr>
          <w:p>
            <w:r>
              <w:rPr>
                <w:color w:val="595959"/>
                <w:sz w:val="20"/>
              </w:rPr>
              <w:t>KIBA</w:t>
            </w:r>
          </w:p>
        </w:tc>
        <w:tc>
          <w:tcPr>
            <w:tcW w:type="dxa" w:w="1440"/>
            <w:shd w:val="clear" w:color="auto" w:fill="FFFFFF"/>
          </w:tcPr>
          <w:p>
            <w:r>
              <w:rPr>
                <w:color w:val="595959"/>
                <w:sz w:val="20"/>
              </w:rPr>
              <w:t>MAE ↓</w:t>
            </w:r>
          </w:p>
        </w:tc>
        <w:tc>
          <w:tcPr>
            <w:tcW w:type="dxa" w:w="1872"/>
            <w:shd w:val="clear" w:color="auto" w:fill="FFFFFF"/>
          </w:tcPr>
          <w:p>
            <w:r>
              <w:rPr>
                <w:color w:val="595959"/>
                <w:sz w:val="20"/>
              </w:rPr>
              <w:t>0.354 ± 0.013</w:t>
            </w:r>
          </w:p>
        </w:tc>
        <w:tc>
          <w:tcPr>
            <w:tcW w:type="dxa" w:w="1872"/>
            <w:shd w:val="clear" w:color="auto" w:fill="FFFFFF"/>
          </w:tcPr>
          <w:p>
            <w:r>
              <w:rPr>
                <w:color w:val="595959"/>
                <w:sz w:val="20"/>
              </w:rPr>
              <w:t>0.351 ± 0.008</w:t>
            </w:r>
          </w:p>
        </w:tc>
        <w:tc>
          <w:tcPr>
            <w:tcW w:type="dxa" w:w="1008"/>
            <w:shd w:val="clear" w:color="auto" w:fill="FFFFFF"/>
          </w:tcPr>
          <w:p>
            <w:r>
              <w:rPr>
                <w:color w:val="595959"/>
                <w:sz w:val="20"/>
              </w:rPr>
              <w:t>+0.003</w:t>
            </w:r>
          </w:p>
        </w:tc>
        <w:tc>
          <w:tcPr>
            <w:tcW w:type="dxa" w:w="1440"/>
            <w:shd w:val="clear" w:color="auto" w:fill="FFFFFF"/>
          </w:tcPr>
          <w:p>
            <w:r>
              <w:rPr>
                <w:color w:val="595959"/>
                <w:sz w:val="20"/>
              </w:rPr>
              <w:t>0.661  n.s.</w:t>
            </w:r>
          </w:p>
        </w:tc>
      </w:tr>
      <w:tr>
        <w:tc>
          <w:tcPr>
            <w:tcW w:type="dxa" w:w="1008"/>
            <w:shd w:val="clear" w:color="auto" w:fill="F2F7FF"/>
          </w:tcPr>
          <w:p>
            <w:r>
              <w:rPr>
                <w:color w:val="595959"/>
                <w:sz w:val="20"/>
              </w:rPr>
              <w:t>KIBA</w:t>
            </w:r>
          </w:p>
        </w:tc>
        <w:tc>
          <w:tcPr>
            <w:tcW w:type="dxa" w:w="1440"/>
            <w:shd w:val="clear" w:color="auto" w:fill="F2F7FF"/>
          </w:tcPr>
          <w:p>
            <w:r>
              <w:rPr>
                <w:color w:val="595959"/>
                <w:sz w:val="20"/>
              </w:rPr>
              <w:t>Pearson r ↑</w:t>
            </w:r>
          </w:p>
        </w:tc>
        <w:tc>
          <w:tcPr>
            <w:tcW w:type="dxa" w:w="1872"/>
            <w:shd w:val="clear" w:color="auto" w:fill="F2F7FF"/>
          </w:tcPr>
          <w:p>
            <w:r>
              <w:rPr>
                <w:color w:val="595959"/>
                <w:sz w:val="20"/>
              </w:rPr>
              <w:t>0.787 ± 0.012</w:t>
            </w:r>
          </w:p>
        </w:tc>
        <w:tc>
          <w:tcPr>
            <w:tcW w:type="dxa" w:w="1872"/>
            <w:shd w:val="clear" w:color="auto" w:fill="F2F7FF"/>
          </w:tcPr>
          <w:p>
            <w:r>
              <w:rPr>
                <w:color w:val="595959"/>
                <w:sz w:val="20"/>
              </w:rPr>
              <w:t>0.756 ± 0.010</w:t>
            </w:r>
          </w:p>
        </w:tc>
        <w:tc>
          <w:tcPr>
            <w:tcW w:type="dxa" w:w="1008"/>
            <w:shd w:val="clear" w:color="auto" w:fill="F2F7FF"/>
          </w:tcPr>
          <w:p>
            <w:r>
              <w:rPr>
                <w:color w:val="595959"/>
                <w:sz w:val="20"/>
              </w:rPr>
              <w:t>+0.031</w:t>
            </w:r>
          </w:p>
        </w:tc>
        <w:tc>
          <w:tcPr>
            <w:tcW w:type="dxa" w:w="1440"/>
            <w:shd w:val="clear" w:color="auto" w:fill="F2F7FF"/>
          </w:tcPr>
          <w:p>
            <w:r>
              <w:rPr>
                <w:color w:val="595959"/>
                <w:sz w:val="20"/>
              </w:rPr>
              <w:t>0.006  ✓✓</w:t>
            </w:r>
          </w:p>
        </w:tc>
      </w:tr>
      <w:tr>
        <w:tc>
          <w:tcPr>
            <w:tcW w:type="dxa" w:w="1008"/>
            <w:shd w:val="clear" w:color="auto" w:fill="FFFFFF"/>
          </w:tcPr>
          <w:p>
            <w:r>
              <w:rPr>
                <w:color w:val="595959"/>
                <w:sz w:val="20"/>
              </w:rPr>
              <w:t>KIBA</w:t>
            </w:r>
          </w:p>
        </w:tc>
        <w:tc>
          <w:tcPr>
            <w:tcW w:type="dxa" w:w="1440"/>
            <w:shd w:val="clear" w:color="auto" w:fill="FFFFFF"/>
          </w:tcPr>
          <w:p>
            <w:r>
              <w:rPr>
                <w:color w:val="595959"/>
                <w:sz w:val="20"/>
              </w:rPr>
              <w:t>R² ↑</w:t>
            </w:r>
          </w:p>
        </w:tc>
        <w:tc>
          <w:tcPr>
            <w:tcW w:type="dxa" w:w="1872"/>
            <w:shd w:val="clear" w:color="auto" w:fill="FFFFFF"/>
          </w:tcPr>
          <w:p>
            <w:r>
              <w:rPr>
                <w:color w:val="595959"/>
                <w:sz w:val="20"/>
              </w:rPr>
              <w:t>0.613 ± 0.019</w:t>
            </w:r>
          </w:p>
        </w:tc>
        <w:tc>
          <w:tcPr>
            <w:tcW w:type="dxa" w:w="1872"/>
            <w:shd w:val="clear" w:color="auto" w:fill="FFFFFF"/>
          </w:tcPr>
          <w:p>
            <w:r>
              <w:rPr>
                <w:color w:val="595959"/>
                <w:sz w:val="20"/>
              </w:rPr>
              <w:t>0.570 ± 0.015</w:t>
            </w:r>
          </w:p>
        </w:tc>
        <w:tc>
          <w:tcPr>
            <w:tcW w:type="dxa" w:w="1008"/>
            <w:shd w:val="clear" w:color="auto" w:fill="FFFFFF"/>
          </w:tcPr>
          <w:p>
            <w:r>
              <w:rPr>
                <w:color w:val="595959"/>
                <w:sz w:val="20"/>
              </w:rPr>
              <w:t>+0.043</w:t>
            </w:r>
          </w:p>
        </w:tc>
        <w:tc>
          <w:tcPr>
            <w:tcW w:type="dxa" w:w="1440"/>
            <w:shd w:val="clear" w:color="auto" w:fill="FFFFFF"/>
          </w:tcPr>
          <w:p>
            <w:r>
              <w:rPr>
                <w:color w:val="595959"/>
                <w:sz w:val="20"/>
              </w:rPr>
              <w:t>0.009  ✓✓</w:t>
            </w:r>
          </w:p>
        </w:tc>
      </w:tr>
    </w:tbl>
    <w:p/>
    <w:p>
      <w:pPr>
        <w:spacing w:before="120" w:after="120"/>
        <w:ind w:left="567"/>
        <w:pBdr>
          <w:left w:val="single" w:sz="12" w:space="6" w:color="19762E"/>
        </w:pBdr>
      </w:pPr>
      <w:r>
        <w:rPr>
          <w:i/>
          <w:color w:val="595959"/>
          <w:sz w:val="21"/>
        </w:rPr>
        <w:t>DTA conclusion:  Gated Cross-Attention is significantly better than concatenation on DTA regression for both datasets. Davis: all 6 metrics significant (5 at p&lt;0.01). KIBA: 4 of 6 metrics significant (p&lt;0.01); MAE and Spearman n.s. (models nearly tied on absolute/rank errors, but H-GNN handles high-affinity outliers better, as shown by the significantly lower MSE). The DTA advantage mirrors the DTI pattern.</w:t>
      </w:r>
    </w:p>
    <w:p>
      <w:pPr>
        <w:spacing w:before="360" w:after="80"/>
        <w:pBdr>
          <w:bottom w:val="single" w:sz="6" w:space="1" w:color="1F497D"/>
        </w:pBdr>
      </w:pPr>
      <w:r>
        <w:rPr>
          <w:b/>
          <w:color w:val="1F497D"/>
          <w:sz w:val="32"/>
        </w:rPr>
        <w:t>7.  What Was Completed</w:t>
      </w:r>
    </w:p>
    <w:p>
      <w:pPr>
        <w:spacing w:before="40" w:after="80"/>
      </w:pPr>
      <w:r>
        <w:rPr>
          <w:color w:val="595959"/>
          <w:sz w:val="22"/>
        </w:rPr>
        <w:t>The following deliverables from the Objective 1 Analysis Plan are fully complete:</w:t>
      </w:r>
    </w:p>
    <w:p>
      <w:pPr>
        <w:spacing w:before="20" w:after="20"/>
        <w:ind w:left="454"/>
      </w:pPr>
      <w:r>
        <w:rPr>
          <w:b/>
          <w:color w:val="19762E"/>
          <w:sz w:val="22"/>
        </w:rPr>
        <w:t xml:space="preserve">✓  </w:t>
      </w:r>
      <w:r>
        <w:rPr>
          <w:color w:val="595959"/>
          <w:sz w:val="22"/>
        </w:rPr>
        <w:t>Phase 1: Davis, KIBA, Luo_17, and Yamanishi_e datasets downloaded and verified.</w:t>
      </w:r>
    </w:p>
    <w:p>
      <w:pPr>
        <w:spacing w:before="20" w:after="20"/>
        <w:ind w:left="454"/>
      </w:pPr>
      <w:r>
        <w:rPr>
          <w:b/>
          <w:color w:val="19762E"/>
          <w:sz w:val="22"/>
        </w:rPr>
        <w:t xml:space="preserve">✓  </w:t>
      </w:r>
      <w:r>
        <w:rPr>
          <w:color w:val="595959"/>
          <w:sz w:val="22"/>
        </w:rPr>
        <w:t>Phase 2: Drug molecular graphs (RDKit + ChemBERTa) generated for all four datasets.</w:t>
      </w:r>
    </w:p>
    <w:p>
      <w:pPr>
        <w:spacing w:before="20" w:after="20"/>
        <w:ind w:left="454"/>
      </w:pPr>
      <w:r>
        <w:rPr>
          <w:b/>
          <w:color w:val="19762E"/>
          <w:sz w:val="22"/>
        </w:rPr>
        <w:t xml:space="preserve">✓  </w:t>
      </w:r>
      <w:r>
        <w:rPr>
          <w:color w:val="595959"/>
          <w:sz w:val="22"/>
        </w:rPr>
        <w:t>Phase 2: Protein ESM-2 embeddings generated for all four datasets.</w:t>
      </w:r>
    </w:p>
    <w:p>
      <w:pPr>
        <w:spacing w:before="20" w:after="20"/>
        <w:ind w:left="454"/>
      </w:pPr>
      <w:r>
        <w:rPr>
          <w:b/>
          <w:color w:val="19762E"/>
          <w:sz w:val="22"/>
        </w:rPr>
        <w:t xml:space="preserve">✓  </w:t>
      </w:r>
      <w:r>
        <w:rPr>
          <w:color w:val="595959"/>
          <w:sz w:val="22"/>
        </w:rPr>
        <w:t>Phase 2: Labels prepared (DTI 1:1 ratio; DTA pKd/KIBA scores).</w:t>
      </w:r>
    </w:p>
    <w:p>
      <w:pPr>
        <w:spacing w:before="20" w:after="20"/>
        <w:ind w:left="454"/>
      </w:pPr>
      <w:r>
        <w:rPr>
          <w:b/>
          <w:color w:val="19762E"/>
          <w:sz w:val="22"/>
        </w:rPr>
        <w:t xml:space="preserve">✓  </w:t>
      </w:r>
      <w:r>
        <w:rPr>
          <w:color w:val="595959"/>
          <w:sz w:val="22"/>
        </w:rPr>
        <w:t>Phase 2: All four split types generated (random, cold_drug, cold_target, cold_pair).</w:t>
      </w:r>
    </w:p>
    <w:p>
      <w:pPr>
        <w:spacing w:before="20" w:after="20"/>
        <w:ind w:left="454"/>
      </w:pPr>
      <w:r>
        <w:rPr>
          <w:b/>
          <w:color w:val="19762E"/>
          <w:sz w:val="22"/>
        </w:rPr>
        <w:t xml:space="preserve">✓  </w:t>
      </w:r>
      <w:r>
        <w:rPr>
          <w:color w:val="595959"/>
          <w:sz w:val="22"/>
        </w:rPr>
        <w:t>Phase 3: GSRF-DTI baseline re-implemented and evaluated on Luo_17 (3 seeds).</w:t>
      </w:r>
    </w:p>
    <w:p>
      <w:pPr>
        <w:spacing w:before="20" w:after="20"/>
        <w:ind w:left="454"/>
      </w:pPr>
      <w:r>
        <w:rPr>
          <w:b/>
          <w:color w:val="19762E"/>
          <w:sz w:val="22"/>
        </w:rPr>
        <w:t xml:space="preserve">✓  </w:t>
      </w:r>
      <w:r>
        <w:rPr>
          <w:color w:val="595959"/>
          <w:sz w:val="22"/>
        </w:rPr>
        <w:t>Phase 3: DTKGIN baseline re-implemented and evaluated on yamanishi_e (3 seeds).</w:t>
      </w:r>
    </w:p>
    <w:p>
      <w:pPr>
        <w:spacing w:before="20" w:after="20"/>
        <w:ind w:left="454"/>
      </w:pPr>
      <w:r>
        <w:rPr>
          <w:b/>
          <w:color w:val="19762E"/>
          <w:sz w:val="22"/>
        </w:rPr>
        <w:t xml:space="preserve">✓  </w:t>
      </w:r>
      <w:r>
        <w:rPr>
          <w:color w:val="595959"/>
          <w:sz w:val="22"/>
        </w:rPr>
        <w:t>Phase 3: Concat Baseline built, trained, and evaluated on both datasets (5 seeds).</w:t>
      </w:r>
    </w:p>
    <w:p>
      <w:pPr>
        <w:spacing w:before="20" w:after="20"/>
        <w:ind w:left="454"/>
      </w:pPr>
      <w:r>
        <w:rPr>
          <w:b/>
          <w:color w:val="19762E"/>
          <w:sz w:val="22"/>
        </w:rPr>
        <w:t xml:space="preserve">✓  </w:t>
      </w:r>
      <w:r>
        <w:rPr>
          <w:color w:val="595959"/>
          <w:sz w:val="22"/>
        </w:rPr>
        <w:t>Phase 4: Full H-GNN-RNN-DTI model built (GAT + BiGRU + GatedCrossAttention).</w:t>
      </w:r>
    </w:p>
    <w:p>
      <w:pPr>
        <w:spacing w:before="20" w:after="20"/>
        <w:ind w:left="454"/>
      </w:pPr>
      <w:r>
        <w:rPr>
          <w:b/>
          <w:color w:val="19762E"/>
          <w:sz w:val="22"/>
        </w:rPr>
        <w:t xml:space="preserve">✓  </w:t>
      </w:r>
      <w:r>
        <w:rPr>
          <w:color w:val="595959"/>
          <w:sz w:val="22"/>
        </w:rPr>
        <w:t>Phase 5.1: Training pipeline with Adam, cosine LR, early stopping, Focal/MSE loss.</w:t>
      </w:r>
    </w:p>
    <w:p>
      <w:pPr>
        <w:spacing w:before="20" w:after="20"/>
        <w:ind w:left="454"/>
      </w:pPr>
      <w:r>
        <w:rPr>
          <w:b/>
          <w:color w:val="19762E"/>
          <w:sz w:val="22"/>
        </w:rPr>
        <w:t xml:space="preserve">✓  </w:t>
      </w:r>
      <w:r>
        <w:rPr>
          <w:color w:val="595959"/>
          <w:sz w:val="22"/>
        </w:rPr>
        <w:t>Phase 5.2: Ablation — GNN-Only and RNN-Only variants trained on all 8 configurations (5 seeds).</w:t>
      </w:r>
    </w:p>
    <w:p>
      <w:pPr>
        <w:spacing w:before="20" w:after="20"/>
        <w:ind w:left="454"/>
      </w:pPr>
      <w:r>
        <w:rPr>
          <w:b/>
          <w:color w:val="19762E"/>
          <w:sz w:val="22"/>
        </w:rPr>
        <w:t xml:space="preserve">✓  </w:t>
      </w:r>
      <w:r>
        <w:rPr>
          <w:color w:val="595959"/>
          <w:sz w:val="22"/>
        </w:rPr>
        <w:t>Phase 5.3: AUROC, AUPRC, F1 reported for DTI; MSE, RMSE, R², Pearson, Spearman for DTA.</w:t>
      </w:r>
    </w:p>
    <w:p>
      <w:pPr>
        <w:spacing w:before="20" w:after="20"/>
        <w:ind w:left="454"/>
      </w:pPr>
      <w:r>
        <w:rPr>
          <w:b/>
          <w:color w:val="19762E"/>
          <w:sz w:val="22"/>
        </w:rPr>
        <w:t xml:space="preserve">✓  </w:t>
      </w:r>
      <w:r>
        <w:rPr>
          <w:color w:val="595959"/>
          <w:sz w:val="22"/>
        </w:rPr>
        <w:t>Phase 5.4: Paired t-tests completed for all 8 DTI configurations across 5 seeds.</w:t>
      </w:r>
    </w:p>
    <w:p>
      <w:pPr>
        <w:spacing w:before="20" w:after="20"/>
        <w:ind w:left="454"/>
      </w:pPr>
      <w:r>
        <w:rPr>
          <w:b/>
          <w:color w:val="19762E"/>
          <w:sz w:val="22"/>
        </w:rPr>
        <w:t xml:space="preserve">✓  </w:t>
      </w:r>
      <w:r>
        <w:rPr>
          <w:color w:val="595959"/>
          <w:sz w:val="22"/>
        </w:rPr>
        <w:t>Cross-dataset generalisation experiment (luo_17 → yamanishi_e, 5 seeds).</w:t>
      </w:r>
    </w:p>
    <w:p>
      <w:pPr>
        <w:spacing w:before="20" w:after="20"/>
        <w:ind w:left="454"/>
      </w:pPr>
      <w:r>
        <w:rPr>
          <w:b/>
          <w:color w:val="19762E"/>
          <w:sz w:val="22"/>
        </w:rPr>
        <w:t xml:space="preserve">✓  </w:t>
      </w:r>
      <w:r>
        <w:rPr>
          <w:color w:val="595959"/>
          <w:sz w:val="22"/>
        </w:rPr>
        <w:t>Evaluation report written (paper/evaluation_report.md) with all results and discussion.</w:t>
      </w:r>
    </w:p>
    <w:p>
      <w:pPr>
        <w:spacing w:before="20" w:after="20"/>
        <w:ind w:left="454"/>
      </w:pPr>
      <w:r>
        <w:rPr>
          <w:b/>
          <w:color w:val="19762E"/>
          <w:sz w:val="22"/>
        </w:rPr>
        <w:t xml:space="preserve">✓  </w:t>
      </w:r>
      <w:r>
        <w:rPr>
          <w:color w:val="595959"/>
          <w:sz w:val="22"/>
        </w:rPr>
        <w:t>MAE (Mean Absolute Error) added to DTA evaluation metrics — all 10 seed JSONs updated.</w:t>
      </w:r>
    </w:p>
    <w:p>
      <w:pPr>
        <w:spacing w:before="20" w:after="20"/>
        <w:ind w:left="454"/>
      </w:pPr>
      <w:r>
        <w:rPr>
          <w:b/>
          <w:color w:val="19762E"/>
          <w:sz w:val="22"/>
        </w:rPr>
        <w:t xml:space="preserve">✓  </w:t>
      </w:r>
      <w:r>
        <w:rPr>
          <w:color w:val="595959"/>
          <w:sz w:val="22"/>
        </w:rPr>
        <w:t>DTA regression on Davis and KIBA — all 5 seeds complete for both datasets.</w:t>
      </w:r>
    </w:p>
    <w:p>
      <w:pPr>
        <w:spacing w:before="20" w:after="20"/>
        <w:ind w:left="454"/>
      </w:pPr>
      <w:r>
        <w:rPr>
          <w:b/>
          <w:color w:val="19762E"/>
          <w:sz w:val="22"/>
        </w:rPr>
        <w:t xml:space="preserve">✓  </w:t>
      </w:r>
      <w:r>
        <w:rPr>
          <w:color w:val="595959"/>
          <w:sz w:val="22"/>
        </w:rPr>
        <w:t>DTA ConcatBaseline trained on Davis and KIBA — all 5 seeds complete for both datasets.</w:t>
      </w:r>
    </w:p>
    <w:p>
      <w:pPr>
        <w:spacing w:before="20" w:after="20"/>
        <w:ind w:left="454"/>
      </w:pPr>
      <w:r>
        <w:rPr>
          <w:b/>
          <w:color w:val="19762E"/>
          <w:sz w:val="22"/>
        </w:rPr>
        <w:t xml:space="preserve">✓  </w:t>
      </w:r>
      <w:r>
        <w:rPr>
          <w:color w:val="595959"/>
          <w:sz w:val="22"/>
        </w:rPr>
        <w:t>Phase 5.4 DTA statistical testing — paired t-tests complete: H-GNN sig. better on 5/6 Davis metrics (p&lt;0.01) and 4/6 KIBA metrics (p&lt;0.01).</w:t>
      </w:r>
    </w:p>
    <w:p>
      <w:pPr>
        <w:spacing w:before="360" w:after="80"/>
        <w:pBdr>
          <w:bottom w:val="single" w:sz="6" w:space="1" w:color="1F497D"/>
        </w:pBdr>
      </w:pPr>
      <w:r>
        <w:rPr>
          <w:b/>
          <w:color w:val="1F497D"/>
          <w:sz w:val="32"/>
        </w:rPr>
        <w:t>8.  What Was Not Completed</w:t>
      </w:r>
    </w:p>
    <w:p>
      <w:pPr>
        <w:spacing w:before="40" w:after="80"/>
      </w:pPr>
      <w:r>
        <w:rPr>
          <w:color w:val="595959"/>
          <w:sz w:val="22"/>
        </w:rPr>
        <w:t>The following items were in the original Objective 1 Analysis Plan but were not done within the current project scope.</w:t>
      </w:r>
    </w:p>
    <w:p>
      <w:pPr>
        <w:spacing w:before="20" w:after="20"/>
        <w:ind w:left="454"/>
      </w:pPr>
      <w:r>
        <w:rPr>
          <w:b/>
          <w:color w:val="C55A11"/>
          <w:sz w:val="22"/>
        </w:rPr>
        <w:t xml:space="preserve">○  </w:t>
      </w:r>
      <w:r>
        <w:rPr>
          <w:color w:val="595959"/>
          <w:sz w:val="22"/>
        </w:rPr>
        <w:t>BindingDB evaluation.  BindingDB was listed as High priority in the plan. Label files and splits were generated, but drug graph preprocessing and protein embedding generation were not run due to the dataset's size (millions of pairs) and the CPU-only training environment.</w:t>
      </w:r>
    </w:p>
    <w:p>
      <w:pPr>
        <w:spacing w:before="20" w:after="20"/>
        <w:ind w:left="454"/>
      </w:pPr>
      <w:r>
        <w:rPr>
          <w:b/>
          <w:color w:val="C55A11"/>
          <w:sz w:val="22"/>
        </w:rPr>
        <w:t xml:space="preserve">○  </w:t>
      </w:r>
      <w:r>
        <w:rPr>
          <w:color w:val="595959"/>
          <w:sz w:val="22"/>
        </w:rPr>
        <w:t>ChEMBL evaluation.  Marked as Medium priority. Same reason as BindingDB — too large for CPU-only preprocessing in the current setup.</w:t>
      </w:r>
    </w:p>
    <w:p>
      <w:pPr>
        <w:spacing w:before="20" w:after="20"/>
        <w:ind w:left="454"/>
      </w:pPr>
      <w:r>
        <w:rPr>
          <w:b/>
          <w:color w:val="C55A11"/>
          <w:sz w:val="22"/>
        </w:rPr>
        <w:t xml:space="preserve">○  </w:t>
      </w:r>
      <w:r>
        <w:rPr>
          <w:color w:val="595959"/>
          <w:sz w:val="22"/>
        </w:rPr>
        <w:t>Cross-dataset experiment using BindingDB → Davis.  The plan specified training on a large heterogeneous source and testing on a standard benchmark. What was done instead (luo_17 → yamanishi_e) is equivalent in concept but does not match the specific experiment described.</w:t>
      </w:r>
    </w:p>
    <w:p>
      <w:pPr>
        <w:spacing w:before="20" w:after="20"/>
        <w:ind w:left="454"/>
      </w:pPr>
      <w:r>
        <w:rPr>
          <w:b/>
          <w:color w:val="C55A11"/>
          <w:sz w:val="22"/>
        </w:rPr>
        <w:t xml:space="preserve">○  </w:t>
      </w:r>
      <w:r>
        <w:rPr>
          <w:color w:val="595959"/>
          <w:sz w:val="22"/>
        </w:rPr>
        <w:t>Yamanishi_08 other subsets (IC, GPCR, NR).  Only the Enzyme (E) subset was used in evaluation. The plan collected all four subsets, but only Enzyme is tested.</w:t>
      </w:r>
    </w:p>
    <w:p>
      <w:pPr>
        <w:spacing w:before="20" w:after="20"/>
        <w:ind w:left="454"/>
      </w:pPr>
      <w:r>
        <w:rPr>
          <w:b/>
          <w:color w:val="C55A11"/>
          <w:sz w:val="22"/>
        </w:rPr>
        <w:t xml:space="preserve">○  </w:t>
      </w:r>
      <w:r>
        <w:rPr>
          <w:color w:val="595959"/>
          <w:sz w:val="22"/>
        </w:rPr>
        <w:t>DrugBank pre-training.  The plan mentioned pre-training on DrugBank as a Medium priority item. This was not implemented.</w:t>
      </w:r>
    </w:p>
    <w:p>
      <w:pPr>
        <w:spacing w:before="20" w:after="20"/>
        <w:ind w:left="454"/>
      </w:pPr>
      <w:r>
        <w:rPr>
          <w:b/>
          <w:color w:val="C55A11"/>
          <w:sz w:val="22"/>
        </w:rPr>
        <w:t xml:space="preserve">○  </w:t>
      </w:r>
      <w:r>
        <w:rPr>
          <w:color w:val="595959"/>
          <w:sz w:val="22"/>
        </w:rPr>
        <w:t>Explainability analysis (XAI) using attention weights.  The model produces attention weights at every layer. Visualising these to understand which drug atoms and protein residues the model focuses on was listed in the next-steps section of the original pipeline walkthrough but was not implemented.</w:t>
      </w:r>
    </w:p>
    <w:p>
      <w:pPr>
        <w:spacing w:before="360" w:after="80"/>
        <w:pBdr>
          <w:bottom w:val="single" w:sz="6" w:space="1" w:color="1F497D"/>
        </w:pBdr>
      </w:pPr>
      <w:r>
        <w:rPr>
          <w:b/>
          <w:color w:val="1F497D"/>
          <w:sz w:val="32"/>
        </w:rPr>
        <w:t>9.  Improvement Recommendations</w:t>
      </w:r>
    </w:p>
    <w:p>
      <w:pPr>
        <w:spacing w:before="40" w:after="80"/>
      </w:pPr>
      <w:r>
        <w:rPr>
          <w:color w:val="595959"/>
          <w:sz w:val="22"/>
        </w:rPr>
        <w:t>The following recommendations address both the gaps identified in Section 8 and broader opportunities to strengthen the research.</w:t>
      </w:r>
    </w:p>
    <w:p>
      <w:pPr>
        <w:spacing w:before="240" w:after="40"/>
      </w:pPr>
      <w:r>
        <w:rPr>
          <w:b/>
          <w:color w:val="007078"/>
          <w:sz w:val="26"/>
        </w:rPr>
        <w:t>Recommendation 1 — Address the luo_17 Cold-Target Anomaly</w:t>
      </w:r>
    </w:p>
    <w:p>
      <w:pPr>
        <w:spacing w:before="40" w:after="80"/>
      </w:pPr>
      <w:r>
        <w:rPr>
          <w:color w:val="595959"/>
          <w:sz w:val="22"/>
        </w:rPr>
        <w:t>The result where Concat Baseline outperforms H-GNN-RNN-DTI on luo_17 cold_target (AUROC 0.813 vs. 0.778, p &lt; 0.01) is currently explained as cross-attention overfitting to protein distributions. However, this should be investigated more carefully. Two concrete experiments would help:</w:t>
      </w:r>
    </w:p>
    <w:p>
      <w:pPr>
        <w:pStyle w:val="ListBullet"/>
        <w:spacing w:before="20" w:after="20"/>
        <w:ind w:left="454"/>
      </w:pPr>
      <w:r>
        <w:rPr>
          <w:color w:val="595959"/>
          <w:sz w:val="22"/>
        </w:rPr>
        <w:t>Reduce the cross-attention hidden dimension or add dropout specifically to the cross-attention weights. This may reduce overfitting to training protein patterns.</w:t>
      </w:r>
    </w:p>
    <w:p>
      <w:pPr>
        <w:pStyle w:val="ListBullet"/>
        <w:spacing w:before="20" w:after="20"/>
        <w:ind w:left="454"/>
      </w:pPr>
      <w:r>
        <w:rPr>
          <w:color w:val="595959"/>
          <w:sz w:val="22"/>
        </w:rPr>
        <w:t>Try protein-side attention masking: during cold-target training, randomly mask the protein's ESM-2 embedding with a small probability, forcing the model to rely more on drug features when the protein is uncertain.</w:t>
      </w:r>
    </w:p>
    <w:p>
      <w:pPr>
        <w:spacing w:before="120" w:after="120"/>
        <w:ind w:left="567"/>
        <w:pBdr>
          <w:left w:val="single" w:sz="12" w:space="6" w:color="007078"/>
        </w:pBdr>
      </w:pPr>
      <w:r>
        <w:rPr>
          <w:i/>
          <w:color w:val="595959"/>
          <w:sz w:val="21"/>
        </w:rPr>
        <w:t>Effort: 1–2 days. Impact: High (addresses a known model weakness).</w:t>
      </w:r>
    </w:p>
    <w:p>
      <w:pPr>
        <w:spacing w:before="240" w:after="40"/>
      </w:pPr>
      <w:r>
        <w:rPr>
          <w:b/>
          <w:color w:val="007078"/>
          <w:sz w:val="26"/>
        </w:rPr>
        <w:t>Recommendation 2 — Add BindingDB as a Large-Scale Test</w:t>
      </w:r>
    </w:p>
    <w:p>
      <w:pPr>
        <w:spacing w:before="40" w:after="80"/>
      </w:pPr>
      <w:r>
        <w:rPr>
          <w:color w:val="595959"/>
          <w:sz w:val="22"/>
        </w:rPr>
        <w:t>BindingDB was planned as High priority. Now that the pipeline works end-to-end, the remaining step is running the drug graph preprocessing (10b_preprocess_large_drugs.py) and protein embedding generation for BindingDB. These are already coded as chunked streaming scripts precisely because BindingDB is large. This would:</w:t>
      </w:r>
    </w:p>
    <w:p>
      <w:pPr>
        <w:pStyle w:val="ListBullet"/>
        <w:spacing w:before="20" w:after="20"/>
        <w:ind w:left="454"/>
      </w:pPr>
      <w:r>
        <w:rPr>
          <w:color w:val="595959"/>
          <w:sz w:val="22"/>
        </w:rPr>
        <w:t>Enable the BindingDB → Davis cross-dataset experiment described in the plan.</w:t>
      </w:r>
    </w:p>
    <w:p>
      <w:pPr>
        <w:pStyle w:val="ListBullet"/>
        <w:spacing w:before="20" w:after="20"/>
        <w:ind w:left="454"/>
      </w:pPr>
      <w:r>
        <w:rPr>
          <w:color w:val="595959"/>
          <w:sz w:val="22"/>
        </w:rPr>
        <w:t>Test whether the model scales to millions of drug-protein pairs.</w:t>
      </w:r>
    </w:p>
    <w:p>
      <w:pPr>
        <w:pStyle w:val="ListBullet"/>
        <w:spacing w:before="20" w:after="20"/>
        <w:ind w:left="454"/>
      </w:pPr>
      <w:r>
        <w:rPr>
          <w:color w:val="595959"/>
          <w:sz w:val="22"/>
        </w:rPr>
        <w:t>Provide a much stronger test of cold-drug generalisation (far more novel drugs).</w:t>
      </w:r>
    </w:p>
    <w:p>
      <w:pPr>
        <w:spacing w:before="120" w:after="120"/>
        <w:ind w:left="567"/>
        <w:pBdr>
          <w:left w:val="single" w:sz="12" w:space="6" w:color="C55A11"/>
        </w:pBdr>
      </w:pPr>
      <w:r>
        <w:rPr>
          <w:i/>
          <w:color w:val="595959"/>
          <w:sz w:val="21"/>
        </w:rPr>
        <w:t>Effort: High (GPU recommended for protein embedding generation; preprocessing could take several hours). Impact: Very High. Priority: Medium.</w:t>
      </w:r>
    </w:p>
    <w:p>
      <w:pPr>
        <w:spacing w:before="240" w:after="40"/>
      </w:pPr>
      <w:r>
        <w:rPr>
          <w:b/>
          <w:color w:val="007078"/>
          <w:sz w:val="26"/>
        </w:rPr>
        <w:t>Recommendation 3 — Evaluate the Other Yamanishi Subsets</w:t>
      </w:r>
    </w:p>
    <w:p>
      <w:pPr>
        <w:spacing w:before="40" w:after="80"/>
      </w:pPr>
      <w:r>
        <w:rPr>
          <w:color w:val="595959"/>
          <w:sz w:val="22"/>
        </w:rPr>
        <w:t>The GPCR, Ion Channel, and Nuclear Receptor subsets are already preprocessed and splits are ready. Running the same 5-seed evaluation on these subsets (total: 24 additional configurations) would show whether the model's behaviour generalises across different protein families. The Nuclear Receptor subset is very small (306 interactions), which is an interesting stress test for cross-attention on extremely sparse data.</w:t>
      </w:r>
    </w:p>
    <w:p>
      <w:pPr>
        <w:spacing w:before="120" w:after="120"/>
        <w:ind w:left="567"/>
        <w:pBdr>
          <w:left w:val="single" w:sz="12" w:space="6" w:color="007078"/>
        </w:pBdr>
      </w:pPr>
      <w:r>
        <w:rPr>
          <w:i/>
          <w:color w:val="595959"/>
          <w:sz w:val="21"/>
        </w:rPr>
        <w:t>Effort: ~2–3 days training (CPU). Impact: Medium. Priority: Medium.</w:t>
      </w:r>
    </w:p>
    <w:p>
      <w:pPr>
        <w:spacing w:before="240" w:after="40"/>
      </w:pPr>
      <w:r>
        <w:rPr>
          <w:b/>
          <w:color w:val="007078"/>
          <w:sz w:val="26"/>
        </w:rPr>
        <w:t>Recommendation 4 — Add Attention Weight Visualisation (XAI)</w:t>
      </w:r>
    </w:p>
    <w:p>
      <w:pPr>
        <w:spacing w:before="40" w:after="80"/>
      </w:pPr>
      <w:r>
        <w:rPr>
          <w:color w:val="595959"/>
          <w:sz w:val="22"/>
        </w:rPr>
        <w:t>The model already produces attention weights at every GAT layer and in the cross-attention module. Extracting and visualising these weights on a small set of known drug-protein pairs would:</w:t>
      </w:r>
    </w:p>
    <w:p>
      <w:pPr>
        <w:pStyle w:val="ListBullet"/>
        <w:spacing w:before="20" w:after="20"/>
        <w:ind w:left="454"/>
      </w:pPr>
      <w:r>
        <w:rPr>
          <w:color w:val="595959"/>
          <w:sz w:val="22"/>
        </w:rPr>
        <w:t>Show which drug atoms receive high attention when predicting a particular interaction (potentially identifying binding pharmacophores).</w:t>
      </w:r>
    </w:p>
    <w:p>
      <w:pPr>
        <w:pStyle w:val="ListBullet"/>
        <w:spacing w:before="20" w:after="20"/>
        <w:ind w:left="454"/>
      </w:pPr>
      <w:r>
        <w:rPr>
          <w:color w:val="595959"/>
          <w:sz w:val="22"/>
        </w:rPr>
        <w:t>Show which protein residues are attended to (potentially identifying binding sites).</w:t>
      </w:r>
    </w:p>
    <w:p>
      <w:pPr>
        <w:pStyle w:val="ListBullet"/>
        <w:spacing w:before="20" w:after="20"/>
        <w:ind w:left="454"/>
      </w:pPr>
      <w:r>
        <w:rPr>
          <w:color w:val="595959"/>
          <w:sz w:val="22"/>
        </w:rPr>
        <w:t>Make the model more interpretable — an important requirement for clinical and regulatory contexts in drug discovery.</w:t>
      </w:r>
    </w:p>
    <w:p>
      <w:pPr>
        <w:spacing w:before="40" w:after="80"/>
      </w:pPr>
      <w:r>
        <w:rPr>
          <w:color w:val="595959"/>
          <w:sz w:val="22"/>
        </w:rPr>
        <w:t>This can be implemented by modifying the forward pass to return attention weights as additional outputs, then using RDKit or py3Dmol to visualise highlighted atoms on the 2D/3D molecular structure.</w:t>
      </w:r>
    </w:p>
    <w:p>
      <w:pPr>
        <w:spacing w:before="120" w:after="120"/>
        <w:ind w:left="567"/>
        <w:pBdr>
          <w:left w:val="single" w:sz="12" w:space="6" w:color="007078"/>
        </w:pBdr>
      </w:pPr>
      <w:r>
        <w:rPr>
          <w:i/>
          <w:color w:val="595959"/>
          <w:sz w:val="21"/>
        </w:rPr>
        <w:t>Effort: 2–3 days. Impact: High (publishability). Priority: Medium.</w:t>
      </w:r>
    </w:p>
    <w:p>
      <w:pPr>
        <w:spacing w:before="240" w:after="40"/>
      </w:pPr>
      <w:r>
        <w:rPr>
          <w:b/>
          <w:color w:val="007078"/>
          <w:sz w:val="26"/>
        </w:rPr>
        <w:t>Recommendation 5 — Use GPU for Faster Iteration</w:t>
      </w:r>
    </w:p>
    <w:p>
      <w:pPr>
        <w:spacing w:before="40" w:after="80"/>
      </w:pPr>
      <w:r>
        <w:rPr>
          <w:color w:val="595959"/>
          <w:sz w:val="22"/>
        </w:rPr>
        <w:t>All training in this project was done on CPU. Each KIBA epoch took approximately 228 seconds — meaning a single 100-epoch KIBA training run takes over 6 hours. On a standard GPU (e.g. NVIDIA T4 or RTX 3060), the same run would take approximately 10–20 minutes. This would make it practical to:</w:t>
      </w:r>
    </w:p>
    <w:p>
      <w:pPr>
        <w:pStyle w:val="ListBullet"/>
        <w:spacing w:before="20" w:after="20"/>
        <w:ind w:left="454"/>
      </w:pPr>
      <w:r>
        <w:rPr>
          <w:color w:val="595959"/>
          <w:sz w:val="22"/>
        </w:rPr>
        <w:t>Run more seeds (e.g. 10 instead of 5) for more reliable statistical estimates.</w:t>
      </w:r>
    </w:p>
    <w:p>
      <w:pPr>
        <w:pStyle w:val="ListBullet"/>
        <w:spacing w:before="20" w:after="20"/>
        <w:ind w:left="454"/>
      </w:pPr>
      <w:r>
        <w:rPr>
          <w:color w:val="595959"/>
          <w:sz w:val="22"/>
        </w:rPr>
        <w:t>Try more hyperparameter configurations (learning rate, hidden dimension, number of attention heads).</w:t>
      </w:r>
    </w:p>
    <w:p>
      <w:pPr>
        <w:pStyle w:val="ListBullet"/>
        <w:spacing w:before="20" w:after="20"/>
        <w:ind w:left="454"/>
      </w:pPr>
      <w:r>
        <w:rPr>
          <w:color w:val="595959"/>
          <w:sz w:val="22"/>
        </w:rPr>
        <w:t>Run experiments on BindingDB and ChEMBL, which are currently impractical on CPU.</w:t>
      </w:r>
    </w:p>
    <w:p>
      <w:pPr>
        <w:spacing w:before="120" w:after="120"/>
        <w:ind w:left="567"/>
        <w:pBdr>
          <w:left w:val="single" w:sz="12" w:space="6" w:color="C55A11"/>
        </w:pBdr>
      </w:pPr>
      <w:r>
        <w:rPr>
          <w:i/>
          <w:color w:val="595959"/>
          <w:sz w:val="21"/>
        </w:rPr>
        <w:t>Effort: Setup only (Google Colab Pro / USM HPC cluster). Impact: Very High (enables all other recommendations). Priority: High.</w:t>
      </w:r>
    </w:p>
    <w:p>
      <w:pPr>
        <w:spacing w:before="240" w:after="40"/>
      </w:pPr>
      <w:r>
        <w:rPr>
          <w:b/>
          <w:color w:val="007078"/>
          <w:sz w:val="26"/>
        </w:rPr>
        <w:t>Recommendation 6 — Pre-training on BindingDB Before Fine-Tuning</w:t>
      </w:r>
    </w:p>
    <w:p>
      <w:pPr>
        <w:spacing w:before="40" w:after="80"/>
      </w:pPr>
      <w:r>
        <w:rPr>
          <w:color w:val="595959"/>
          <w:sz w:val="22"/>
        </w:rPr>
        <w:t>The cross-dataset experiment showed that direct transfer (luo_17 → yamanishi_e) gives near-random performance. A better approach is pre-training: first train the model on a large general dataset (BindingDB, millions of pairs), then fine-tune on the target dataset (Davis, KIBA, or Yamanishi). This is analogous to how BERT is pre-trained on large text corpora and then fine-tuned on specific tasks. The molecular and protein encoders should be able to learn general binding representations during pre-training that transfer well across datasets.</w:t>
      </w:r>
    </w:p>
    <w:p>
      <w:pPr>
        <w:spacing w:before="120" w:after="120"/>
        <w:ind w:left="567"/>
        <w:pBdr>
          <w:left w:val="single" w:sz="12" w:space="6" w:color="007078"/>
        </w:pBdr>
      </w:pPr>
      <w:r>
        <w:rPr>
          <w:i/>
          <w:color w:val="595959"/>
          <w:sz w:val="21"/>
        </w:rPr>
        <w:t>Effort: High. Impact: Very High (could significantly close performance gaps). Priority: Future work.</w:t>
      </w:r>
    </w:p>
    <w:p>
      <w:pPr>
        <w:spacing w:before="360" w:after="80"/>
        <w:pBdr>
          <w:bottom w:val="single" w:sz="6" w:space="1" w:color="1F497D"/>
        </w:pBdr>
      </w:pPr>
      <w:r>
        <w:rPr>
          <w:b/>
          <w:color w:val="1F497D"/>
          <w:sz w:val="32"/>
        </w:rPr>
        <w:t>10.  Conclusion</w:t>
      </w:r>
    </w:p>
    <w:p>
      <w:pPr>
        <w:spacing w:before="40" w:after="80"/>
      </w:pPr>
      <w:r>
        <w:rPr>
          <w:color w:val="595959"/>
          <w:sz w:val="22"/>
        </w:rPr>
        <w:t>Objective 1 of the H-GNN-RNN-DTI project is substantially complete. The model was built, trained, and evaluated across two DTI benchmark datasets, four split types, and two DTA regression benchmarks. The core research question — does Gated Cross-Attention improve over simple concatenation? — has been answered with statistical evidence.</w:t>
      </w:r>
    </w:p>
    <w:p>
      <w:pPr>
        <w:spacing w:before="40" w:after="80"/>
      </w:pPr>
      <w:r>
        <w:rPr>
          <w:color w:val="595959"/>
          <w:sz w:val="22"/>
        </w:rPr>
        <w:t>The headline findings are:</w:t>
      </w:r>
    </w:p>
    <w:p>
      <w:pPr>
        <w:pStyle w:val="ListBullet"/>
        <w:spacing w:before="20" w:after="20"/>
        <w:ind w:left="454"/>
      </w:pPr>
      <w:r>
        <w:rPr>
          <w:color w:val="595959"/>
          <w:sz w:val="22"/>
        </w:rPr>
        <w:t>Cross-attention significantly improves performance on small, sparse datasets (yamanishi_e, cold-drug and cold-pair splits).</w:t>
      </w:r>
    </w:p>
    <w:p>
      <w:pPr>
        <w:pStyle w:val="ListBullet"/>
        <w:spacing w:before="20" w:after="20"/>
        <w:ind w:left="454"/>
      </w:pPr>
      <w:r>
        <w:rPr>
          <w:color w:val="595959"/>
          <w:sz w:val="22"/>
        </w:rPr>
        <w:t>On large datasets (luo_17), performance is competitive with simpler fusion but not consistently superior.</w:t>
      </w:r>
    </w:p>
    <w:p>
      <w:pPr>
        <w:pStyle w:val="ListBullet"/>
        <w:spacing w:before="20" w:after="20"/>
        <w:ind w:left="454"/>
      </w:pPr>
      <w:r>
        <w:rPr>
          <w:color w:val="595959"/>
          <w:sz w:val="22"/>
        </w:rPr>
        <w:t>The model is fully inductive — it handles cold-drug, cold-target, and cold-pair scenarios that transductive methods like GSRF-DTI cannot.</w:t>
      </w:r>
    </w:p>
    <w:p>
      <w:pPr>
        <w:pStyle w:val="ListBullet"/>
        <w:spacing w:before="20" w:after="20"/>
        <w:ind w:left="454"/>
      </w:pPr>
      <w:r>
        <w:rPr>
          <w:color w:val="595959"/>
          <w:sz w:val="22"/>
        </w:rPr>
        <w:t>Both the drug and protein encoders are necessary; each is the dominant contributor to its respective cold-split setting.</w:t>
      </w:r>
    </w:p>
    <w:p>
      <w:pPr>
        <w:pStyle w:val="ListBullet"/>
        <w:spacing w:before="20" w:after="20"/>
        <w:ind w:left="454"/>
      </w:pPr>
      <w:r>
        <w:rPr>
          <w:color w:val="595959"/>
          <w:sz w:val="22"/>
        </w:rPr>
        <w:t>Direct cross-dataset transfer is near-random, motivating pre-training as a future direction.</w:t>
      </w:r>
    </w:p>
    <w:p>
      <w:pPr>
        <w:pStyle w:val="ListBullet"/>
        <w:spacing w:before="20" w:after="20"/>
        <w:ind w:left="454"/>
      </w:pPr>
      <w:r>
        <w:rPr>
          <w:color w:val="595959"/>
          <w:sz w:val="22"/>
        </w:rPr>
        <w:t>Cross-attention also significantly outperforms concatenation in the DTA regression setting (5/6 Davis metrics p&lt;0.01; 4/6 KIBA metrics p&lt;0.01), confirming the fusion advantage is consistent across both task types.</w:t>
      </w:r>
    </w:p>
    <w:p>
      <w:pPr>
        <w:spacing w:before="40" w:after="80"/>
      </w:pPr>
      <w:r>
        <w:rPr>
          <w:color w:val="595959"/>
          <w:sz w:val="22"/>
        </w:rPr>
        <w:t>All planned analysis for Objective 1 is now complete. The remaining open items are optional extensions: evaluating on BindingDB and the other Yamanishi subsets (both require GPU for practical training time), adding attention weight visualisation for interpretability, and investigating pre-training strategies to enable cross-dataset transfer.</w:t>
      </w:r>
    </w:p>
    <w:p>
      <w:pPr>
        <w:spacing w:before="120" w:after="120"/>
        <w:ind w:left="567"/>
        <w:pBdr>
          <w:left w:val="single" w:sz="12" w:space="6" w:color="19762E"/>
        </w:pBdr>
      </w:pPr>
      <w:r>
        <w:rPr>
          <w:i/>
          <w:color w:val="595959"/>
          <w:sz w:val="21"/>
        </w:rPr>
        <w:t>The work conducted provides a rigorous, reproducible, and well-documented evaluation of the H-GNN-RNN-DTI architecture. All scripts, logs, checkpoints, and result files are versioned in the project repository.</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