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데이터센터 M&amp;E 설계기준서 (Design Basis)</w:t>
      </w:r>
    </w:p>
    <w:p>
      <w:pPr>
        <w:jc w:val="center"/>
      </w:pPr>
      <w:r>
        <w:t>프로젝트: AI DC 개념설계 - GB200 5MW Tier III</w:t>
      </w:r>
    </w:p>
    <w:p>
      <w:pPr>
        <w:jc w:val="center"/>
      </w:pPr>
      <w:r>
        <w:t>개념설계 / 타당성 검토 수준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문서는 nvidia_gb200_nvl72 랙 42대, 총 IT부하 5040.0 kW 규모의 데이터센터에 대한 기계·전기·통신(M&amp;E) 인프라 개념설계 기준을 정리한 것이다. 모든 수치는 결정론적 계산엔진으로 산출되었으며, 부품은 표준 인터페이스를 갖는 카탈로그 블록을 조합해 구성하였다.</w:t>
      </w:r>
    </w:p>
    <w:p>
      <w:pPr>
        <w:pStyle w:val="Heading1"/>
      </w:pPr>
      <w:r>
        <w:t>2. 부하 집계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랙 모델</w:t>
            </w:r>
          </w:p>
        </w:tc>
        <w:tc>
          <w:tcPr>
            <w:tcW w:type="dxa" w:w="4320"/>
          </w:tcPr>
          <w:p>
            <w:r>
              <w:t>nvidia_gb200_nvl72</w:t>
            </w:r>
          </w:p>
        </w:tc>
      </w:tr>
      <w:tr>
        <w:tc>
          <w:tcPr>
            <w:tcW w:type="dxa" w:w="4320"/>
          </w:tcPr>
          <w:p>
            <w:r>
              <w:t>랙 수량</w:t>
            </w:r>
          </w:p>
        </w:tc>
        <w:tc>
          <w:tcPr>
            <w:tcW w:type="dxa" w:w="4320"/>
          </w:tcPr>
          <w:p>
            <w:r>
              <w:t>42 대</w:t>
            </w:r>
          </w:p>
        </w:tc>
      </w:tr>
      <w:tr>
        <w:tc>
          <w:tcPr>
            <w:tcW w:type="dxa" w:w="4320"/>
          </w:tcPr>
          <w:p>
            <w:r>
              <w:t>총 IT부하</w:t>
            </w:r>
          </w:p>
        </w:tc>
        <w:tc>
          <w:tcPr>
            <w:tcW w:type="dxa" w:w="4320"/>
          </w:tcPr>
          <w:p>
            <w:r>
              <w:t>5040.0 kW</w:t>
            </w:r>
          </w:p>
        </w:tc>
      </w:tr>
      <w:tr>
        <w:tc>
          <w:tcPr>
            <w:tcW w:type="dxa" w:w="4320"/>
          </w:tcPr>
          <w:p>
            <w:r>
              <w:t>설비 총부하(IT+냉각+하우스)</w:t>
            </w:r>
          </w:p>
        </w:tc>
        <w:tc>
          <w:tcPr>
            <w:tcW w:type="dxa" w:w="4320"/>
          </w:tcPr>
          <w:p>
            <w:r>
              <w:t>7308.0 kW</w:t>
            </w:r>
          </w:p>
        </w:tc>
      </w:tr>
      <w:tr>
        <w:tc>
          <w:tcPr>
            <w:tcW w:type="dxa" w:w="4320"/>
          </w:tcPr>
          <w:p>
            <w:r>
              <w:t>PUE(추정)</w:t>
            </w:r>
          </w:p>
        </w:tc>
        <w:tc>
          <w:tcPr>
            <w:tcW w:type="dxa" w:w="4320"/>
          </w:tcPr>
          <w:p>
            <w:r>
              <w:t>1.43</w:t>
            </w:r>
          </w:p>
        </w:tc>
      </w:tr>
    </w:tbl>
    <w:p>
      <w:pPr>
        <w:pStyle w:val="Heading1"/>
      </w:pPr>
      <w:r>
        <w:t>3. 전기(Electrical) 설계 기준</w:t>
      </w:r>
    </w:p>
    <w:p>
      <w:r>
        <w:t>이중화 등급은 2N를 적용한다. 무정전전원(UPS)은 배터리 자립시간 10분을 기준으로 발전기 기동·절체까지의 전원을 보장하며, 발전기는 비선형·스텝부하를 고려한 여유율을 반영한다. 수전은 22.9 kV 특고압을 전제로 한다.</w:t>
      </w:r>
    </w:p>
    <w:p>
      <w:pPr>
        <w:pStyle w:val="Heading2"/>
      </w:pPr>
      <w:r>
        <w:t>3.1 전원 계통 용량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UPS 필요용량</w:t>
            </w:r>
          </w:p>
        </w:tc>
        <w:tc>
          <w:tcPr>
            <w:tcW w:type="dxa" w:w="4320"/>
          </w:tcPr>
          <w:p>
            <w:r>
              <w:t>6289.7 kVA</w:t>
            </w:r>
          </w:p>
        </w:tc>
      </w:tr>
      <w:tr>
        <w:tc>
          <w:tcPr>
            <w:tcW w:type="dxa" w:w="4320"/>
          </w:tcPr>
          <w:p>
            <w:r>
              <w:t>UPS 구성</w:t>
            </w:r>
          </w:p>
        </w:tc>
        <w:tc>
          <w:tcPr>
            <w:tcW w:type="dxa" w:w="4320"/>
          </w:tcPr>
          <w:p>
            <w:r>
              <w:t>1250 kVA x 12 대 (2N)</w:t>
            </w:r>
          </w:p>
        </w:tc>
      </w:tr>
      <w:tr>
        <w:tc>
          <w:tcPr>
            <w:tcW w:type="dxa" w:w="4320"/>
          </w:tcPr>
          <w:p>
            <w:r>
              <w:t>배터리 자립시간</w:t>
            </w:r>
          </w:p>
        </w:tc>
        <w:tc>
          <w:tcPr>
            <w:tcW w:type="dxa" w:w="4320"/>
          </w:tcPr>
          <w:p>
            <w:r>
              <w:t>10 분</w:t>
            </w:r>
          </w:p>
        </w:tc>
      </w:tr>
      <w:tr>
        <w:tc>
          <w:tcPr>
            <w:tcW w:type="dxa" w:w="4320"/>
          </w:tcPr>
          <w:p>
            <w:r>
              <w:t>배터리 필요에너지</w:t>
            </w:r>
          </w:p>
        </w:tc>
        <w:tc>
          <w:tcPr>
            <w:tcW w:type="dxa" w:w="4320"/>
          </w:tcPr>
          <w:p>
            <w:r>
              <w:t>1105.3 kWh</w:t>
            </w:r>
          </w:p>
        </w:tc>
      </w:tr>
      <w:tr>
        <w:tc>
          <w:tcPr>
            <w:tcW w:type="dxa" w:w="4320"/>
          </w:tcPr>
          <w:p>
            <w:r>
              <w:t>배터리 구성</w:t>
            </w:r>
          </w:p>
        </w:tc>
        <w:tc>
          <w:tcPr>
            <w:tcW w:type="dxa" w:w="4320"/>
          </w:tcPr>
          <w:p>
            <w:r>
              <w:t>12 뱅크/캐비닛</w:t>
            </w:r>
          </w:p>
        </w:tc>
      </w:tr>
      <w:tr>
        <w:tc>
          <w:tcPr>
            <w:tcW w:type="dxa" w:w="4320"/>
          </w:tcPr>
          <w:p>
            <w:r>
              <w:t>발전기 필요용량</w:t>
            </w:r>
          </w:p>
        </w:tc>
        <w:tc>
          <w:tcPr>
            <w:tcW w:type="dxa" w:w="4320"/>
          </w:tcPr>
          <w:p>
            <w:r>
              <w:t>10505.2 kW</w:t>
            </w:r>
          </w:p>
        </w:tc>
      </w:tr>
      <w:tr>
        <w:tc>
          <w:tcPr>
            <w:tcW w:type="dxa" w:w="4320"/>
          </w:tcPr>
          <w:p>
            <w:r>
              <w:t>발전기 구성</w:t>
            </w:r>
          </w:p>
        </w:tc>
        <w:tc>
          <w:tcPr>
            <w:tcW w:type="dxa" w:w="4320"/>
          </w:tcPr>
          <w:p>
            <w:r>
              <w:t>10 대</w:t>
            </w:r>
          </w:p>
        </w:tc>
      </w:tr>
      <w:tr>
        <w:tc>
          <w:tcPr>
            <w:tcW w:type="dxa" w:w="4320"/>
          </w:tcPr>
          <w:p>
            <w:r>
              <w:t>변압기 필요용량</w:t>
            </w:r>
          </w:p>
        </w:tc>
        <w:tc>
          <w:tcPr>
            <w:tcW w:type="dxa" w:w="4320"/>
          </w:tcPr>
          <w:p>
            <w:r>
              <w:t>9731.2 kVA</w:t>
            </w:r>
          </w:p>
        </w:tc>
      </w:tr>
      <w:tr>
        <w:tc>
          <w:tcPr>
            <w:tcW w:type="dxa" w:w="4320"/>
          </w:tcPr>
          <w:p>
            <w:r>
              <w:t>변압기 구성</w:t>
            </w:r>
          </w:p>
        </w:tc>
        <w:tc>
          <w:tcPr>
            <w:tcW w:type="dxa" w:w="4320"/>
          </w:tcPr>
          <w:p>
            <w:r>
              <w:t>8 대</w:t>
            </w:r>
          </w:p>
        </w:tc>
      </w:tr>
      <w:tr>
        <w:tc>
          <w:tcPr>
            <w:tcW w:type="dxa" w:w="4320"/>
          </w:tcPr>
          <w:p>
            <w:r>
              <w:t>수전 전압/전류</w:t>
            </w:r>
          </w:p>
        </w:tc>
        <w:tc>
          <w:tcPr>
            <w:tcW w:type="dxa" w:w="4320"/>
          </w:tcPr>
          <w:p>
            <w:r>
              <w:t>22.9 kV / 504.2 A</w:t>
            </w:r>
          </w:p>
        </w:tc>
      </w:tr>
    </w:tbl>
    <w:p>
      <w:pPr>
        <w:pStyle w:val="Heading2"/>
      </w:pPr>
      <w:r>
        <w:t>3.2 랙 급전 및 배전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랙 부하 전류</w:t>
            </w:r>
          </w:p>
        </w:tc>
        <w:tc>
          <w:tcPr>
            <w:tcW w:type="dxa" w:w="4320"/>
          </w:tcPr>
          <w:p>
            <w:r>
              <w:t>175.7 A</w:t>
            </w:r>
          </w:p>
        </w:tc>
      </w:tr>
      <w:tr>
        <w:tc>
          <w:tcPr>
            <w:tcW w:type="dxa" w:w="4320"/>
          </w:tcPr>
          <w:p>
            <w:r>
              <w:t>버스웨이 정격</w:t>
            </w:r>
          </w:p>
        </w:tc>
        <w:tc>
          <w:tcPr>
            <w:tcW w:type="dxa" w:w="4320"/>
          </w:tcPr>
          <w:p>
            <w:r>
              <w:t>250 A x 10 조</w:t>
            </w:r>
          </w:p>
        </w:tc>
      </w:tr>
      <w:tr>
        <w:tc>
          <w:tcPr>
            <w:tcW w:type="dxa" w:w="4320"/>
          </w:tcPr>
          <w:p>
            <w:r>
              <w:t>랙 PDU 수량</w:t>
            </w:r>
          </w:p>
        </w:tc>
        <w:tc>
          <w:tcPr>
            <w:tcW w:type="dxa" w:w="4320"/>
          </w:tcPr>
          <w:p>
            <w:r>
              <w:t>84 대</w:t>
            </w:r>
          </w:p>
        </w:tc>
      </w:tr>
      <w:tr>
        <w:tc>
          <w:tcPr>
            <w:tcW w:type="dxa" w:w="4320"/>
          </w:tcPr>
          <w:p>
            <w:r>
              <w:t>수용률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</w:tbl>
    <w:p>
      <w:pPr>
        <w:pStyle w:val="Heading2"/>
      </w:pPr>
      <w:r>
        <w:t>3.3 고조파 대책</w:t>
      </w:r>
    </w:p>
    <w:p>
      <w:r>
        <w:t>IT/UPS 등 비선형 부하의 전류 THD를 10%로 가정하고, 변압기는 고조파 여유율 x1.1를 반영해 과열을 방지한다. 상세설계 시 K-factor 변압기 또는 능동필터 적용을 검토한다.</w:t>
      </w:r>
    </w:p>
    <w:p>
      <w:pPr>
        <w:pStyle w:val="Heading1"/>
      </w:pPr>
      <w:r>
        <w:t>4. 기계(Mechanical, 냉각) 설계 기준</w:t>
      </w:r>
    </w:p>
    <w:p>
      <w:r>
        <w:t>IT 발열 5040.0 kW 중 약 85%를 직접칩냉각(D2C) 액냉이 흡수하고 잔열은 공냉으로 처리한다. 이중화 등급은 N+1를 적용한다.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총 발열</w:t>
            </w:r>
          </w:p>
        </w:tc>
        <w:tc>
          <w:tcPr>
            <w:tcW w:type="dxa" w:w="4320"/>
          </w:tcPr>
          <w:p>
            <w:r>
              <w:t>5040.0 kW</w:t>
            </w:r>
          </w:p>
        </w:tc>
      </w:tr>
      <w:tr>
        <w:tc>
          <w:tcPr>
            <w:tcW w:type="dxa" w:w="4320"/>
          </w:tcPr>
          <w:p>
            <w:r>
              <w:t>액냉 열량</w:t>
            </w:r>
          </w:p>
        </w:tc>
        <w:tc>
          <w:tcPr>
            <w:tcW w:type="dxa" w:w="4320"/>
          </w:tcPr>
          <w:p>
            <w:r>
              <w:t>4284.0 kW</w:t>
            </w:r>
          </w:p>
        </w:tc>
      </w:tr>
      <w:tr>
        <w:tc>
          <w:tcPr>
            <w:tcW w:type="dxa" w:w="4320"/>
          </w:tcPr>
          <w:p>
            <w:r>
              <w:t>공냉 열량</w:t>
            </w:r>
          </w:p>
        </w:tc>
        <w:tc>
          <w:tcPr>
            <w:tcW w:type="dxa" w:w="4320"/>
          </w:tcPr>
          <w:p>
            <w:r>
              <w:t>756.0 kW</w:t>
            </w:r>
          </w:p>
        </w:tc>
      </w:tr>
      <w:tr>
        <w:tc>
          <w:tcPr>
            <w:tcW w:type="dxa" w:w="4320"/>
          </w:tcPr>
          <w:p>
            <w:r>
              <w:t>냉각수 유량</w:t>
            </w:r>
          </w:p>
        </w:tc>
        <w:tc>
          <w:tcPr>
            <w:tcW w:type="dxa" w:w="4320"/>
          </w:tcPr>
          <w:p>
            <w:r>
              <w:t>6140.5 L/min</w:t>
            </w:r>
          </w:p>
        </w:tc>
      </w:tr>
      <w:tr>
        <w:tc>
          <w:tcPr>
            <w:tcW w:type="dxa" w:w="4320"/>
          </w:tcPr>
          <w:p>
            <w:r>
              <w:t>총 냉동톤</w:t>
            </w:r>
          </w:p>
        </w:tc>
        <w:tc>
          <w:tcPr>
            <w:tcW w:type="dxa" w:w="4320"/>
          </w:tcPr>
          <w:p>
            <w:r>
              <w:t>1433.0 RT</w:t>
            </w:r>
          </w:p>
        </w:tc>
      </w:tr>
      <w:tr>
        <w:tc>
          <w:tcPr>
            <w:tcW w:type="dxa" w:w="4320"/>
          </w:tcPr>
          <w:p>
            <w:r>
              <w:t>CDU 구성</w:t>
            </w:r>
          </w:p>
        </w:tc>
        <w:tc>
          <w:tcPr>
            <w:tcW w:type="dxa" w:w="4320"/>
          </w:tcPr>
          <w:p>
            <w:r>
              <w:t>5 대 (N+1)</w:t>
            </w:r>
          </w:p>
        </w:tc>
      </w:tr>
      <w:tr>
        <w:tc>
          <w:tcPr>
            <w:tcW w:type="dxa" w:w="4320"/>
          </w:tcPr>
          <w:p>
            <w:r>
              <w:t>칠러 구성</w:t>
            </w:r>
          </w:p>
        </w:tc>
        <w:tc>
          <w:tcPr>
            <w:tcW w:type="dxa" w:w="4320"/>
          </w:tcPr>
          <w:p>
            <w:r>
              <w:t>3 대</w:t>
            </w:r>
          </w:p>
        </w:tc>
      </w:tr>
    </w:tbl>
    <w:p>
      <w:pPr>
        <w:pStyle w:val="Heading1"/>
      </w:pPr>
      <w:r>
        <w:t>5. 통신(ICT) 설계 기준</w:t>
      </w:r>
    </w:p>
    <w:p>
      <w:r>
        <w:t>스케일아웃 패브릭은 리프-스파인 구조를 적용하며, 총 3024 포트(800G)를 수용한다. 구조화 배선은 TIA-942 기준을 준용한다.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스케일아웃 포트</w:t>
            </w:r>
          </w:p>
        </w:tc>
        <w:tc>
          <w:tcPr>
            <w:tcW w:type="dxa" w:w="4320"/>
          </w:tcPr>
          <w:p>
            <w:r>
              <w:t>3024 p</w:t>
            </w:r>
          </w:p>
        </w:tc>
      </w:tr>
      <w:tr>
        <w:tc>
          <w:tcPr>
            <w:tcW w:type="dxa" w:w="4320"/>
          </w:tcPr>
          <w:p>
            <w:r>
              <w:t>Leaf 스위치</w:t>
            </w:r>
          </w:p>
        </w:tc>
        <w:tc>
          <w:tcPr>
            <w:tcW w:type="dxa" w:w="4320"/>
          </w:tcPr>
          <w:p>
            <w:r>
              <w:t>95 대</w:t>
            </w:r>
          </w:p>
        </w:tc>
      </w:tr>
      <w:tr>
        <w:tc>
          <w:tcPr>
            <w:tcW w:type="dxa" w:w="4320"/>
          </w:tcPr>
          <w:p>
            <w:r>
              <w:t>Spine 스위치</w:t>
            </w:r>
          </w:p>
        </w:tc>
        <w:tc>
          <w:tcPr>
            <w:tcW w:type="dxa" w:w="4320"/>
          </w:tcPr>
          <w:p>
            <w:r>
              <w:t>48 대</w:t>
            </w:r>
          </w:p>
        </w:tc>
      </w:tr>
      <w:tr>
        <w:tc>
          <w:tcPr>
            <w:tcW w:type="dxa" w:w="4320"/>
          </w:tcPr>
          <w:p>
            <w:r>
              <w:t>트랜시버</w:t>
            </w:r>
          </w:p>
        </w:tc>
        <w:tc>
          <w:tcPr>
            <w:tcW w:type="dxa" w:w="4320"/>
          </w:tcPr>
          <w:p>
            <w:r>
              <w:t>6048 개</w:t>
            </w:r>
          </w:p>
        </w:tc>
      </w:tr>
    </w:tbl>
    <w:p>
      <w:pPr>
        <w:pStyle w:val="Heading1"/>
      </w:pPr>
      <w:r>
        <w:t>6. 공간 및 구조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랙 점유면적</w:t>
            </w:r>
          </w:p>
        </w:tc>
        <w:tc>
          <w:tcPr>
            <w:tcW w:type="dxa" w:w="4320"/>
          </w:tcPr>
          <w:p>
            <w:r>
              <w:t>50.4 m2</w:t>
            </w:r>
          </w:p>
        </w:tc>
      </w:tr>
      <w:tr>
        <w:tc>
          <w:tcPr>
            <w:tcW w:type="dxa" w:w="4320"/>
          </w:tcPr>
          <w:p>
            <w:r>
              <w:t>화이트스페이스(통로포함)</w:t>
            </w:r>
          </w:p>
        </w:tc>
        <w:tc>
          <w:tcPr>
            <w:tcW w:type="dxa" w:w="4320"/>
          </w:tcPr>
          <w:p>
            <w:r>
              <w:t>151.2 m2</w:t>
            </w:r>
          </w:p>
        </w:tc>
      </w:tr>
      <w:tr>
        <w:tc>
          <w:tcPr>
            <w:tcW w:type="dxa" w:w="4320"/>
          </w:tcPr>
          <w:p>
            <w:r>
              <w:t>바닥 하중</w:t>
            </w:r>
          </w:p>
        </w:tc>
        <w:tc>
          <w:tcPr>
            <w:tcW w:type="dxa" w:w="4320"/>
          </w:tcPr>
          <w:p>
            <w:r>
              <w:t>1133.0 kg/m2</w:t>
            </w:r>
          </w:p>
        </w:tc>
      </w:tr>
    </w:tbl>
    <w:p>
      <w:pPr>
        <w:pStyle w:val="Heading1"/>
      </w:pPr>
      <w:r>
        <w:t>7. 설계 가정 및 리스크</w:t>
      </w:r>
    </w:p>
    <w:p>
      <w:pPr>
        <w:pStyle w:val="ListBullet"/>
      </w:pPr>
      <w:r>
        <w:t>랙 정격 120.0kW 기준, 액냉비율 0.85</w:t>
      </w:r>
    </w:p>
    <w:p>
      <w:pPr>
        <w:pStyle w:val="ListBullet"/>
      </w:pPr>
      <w:r>
        <w:t>냉각수 ΔT 10.0K, 냉각소비전력 IT의 35% 가정</w:t>
      </w:r>
    </w:p>
    <w:p>
      <w:pPr>
        <w:pStyle w:val="ListBullet"/>
      </w:pPr>
      <w:r>
        <w:t>본 산출물은 개념설계/타당성 수준. 실시설계·인허가는 면허기술자 검토 필요.</w:t>
      </w:r>
    </w:p>
    <w:p>
      <w:pPr>
        <w:pStyle w:val="Heading1"/>
      </w:pPr>
      <w:r>
        <w:t>8. 고지</w:t>
      </w:r>
    </w:p>
    <w:p>
      <w:r>
        <w:rPr>
          <w:color w:val="990000"/>
          <w:sz w:val="18"/>
        </w:rPr>
        <w:t>본 설계기준서는 개념설계/타당성 검토 수준의 산출물이며, 실시설계 및 인허가는 정보통신·전기·기계 분야 면허 기술자의 검토를 거쳐야 한다. 미출시 장비(projected) 사양은 추정치이므로 벤더 확정값으로 갱신해야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