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E63" w:rsidRPr="00D8766C" w:rsidRDefault="00D8766C">
      <w:pPr>
        <w:rPr>
          <w:sz w:val="36"/>
          <w:szCs w:val="44"/>
        </w:rPr>
      </w:pPr>
      <w:r w:rsidRPr="00D8766C">
        <w:rPr>
          <w:sz w:val="36"/>
          <w:szCs w:val="44"/>
        </w:rPr>
        <w:t>Banking</w:t>
      </w:r>
    </w:p>
    <w:p w:rsidR="00D8766C" w:rsidRPr="00103D05" w:rsidRDefault="001C1CDF">
      <w:pPr>
        <w:rPr>
          <w:b/>
          <w:bCs/>
        </w:rPr>
      </w:pPr>
      <w:r w:rsidRPr="00103D05">
        <w:rPr>
          <w:b/>
          <w:bCs/>
        </w:rPr>
        <w:t>1.</w:t>
      </w:r>
      <w:r w:rsidR="00D8766C" w:rsidRPr="00103D05">
        <w:rPr>
          <w:b/>
          <w:bCs/>
        </w:rPr>
        <w:t>Account Agreement</w:t>
      </w:r>
    </w:p>
    <w:p w:rsidR="00D8766C" w:rsidRDefault="00D8766C">
      <w:r>
        <w:rPr>
          <w:rFonts w:cs="Cordia New" w:hint="cs"/>
          <w:cs/>
        </w:rPr>
        <w:t>-</w:t>
      </w:r>
      <w:r w:rsidRPr="00D8766C">
        <w:rPr>
          <w:rFonts w:cs="Cordia New"/>
          <w:cs/>
        </w:rPr>
        <w:t>สัญญาที่ควบคุมบัญชีเครดิตปลายเปิดของคุณจะให้ข้อมูลการเปลี่ยนแปลงที่อาจเกิดขึ้นกับบัญชี</w:t>
      </w:r>
    </w:p>
    <w:p w:rsidR="00D8766C" w:rsidRPr="00103D05" w:rsidRDefault="001C1CDF">
      <w:pPr>
        <w:rPr>
          <w:b/>
          <w:bCs/>
        </w:rPr>
      </w:pPr>
      <w:r w:rsidRPr="00103D05">
        <w:rPr>
          <w:b/>
          <w:bCs/>
        </w:rPr>
        <w:t>2.</w:t>
      </w:r>
      <w:r w:rsidR="00D8766C" w:rsidRPr="00103D05">
        <w:rPr>
          <w:b/>
          <w:bCs/>
        </w:rPr>
        <w:t>Billing Date</w:t>
      </w:r>
    </w:p>
    <w:p w:rsidR="00D8766C" w:rsidRDefault="00D8766C">
      <w:pPr>
        <w:rPr>
          <w:rFonts w:cs="Cordia New"/>
        </w:rPr>
      </w:pPr>
      <w:r>
        <w:t>-</w:t>
      </w:r>
      <w:r w:rsidRPr="00D8766C">
        <w:rPr>
          <w:rFonts w:cs="Cordia New"/>
          <w:cs/>
        </w:rPr>
        <w:t>เดือน วันที่ และปีที่จัดทำใบแจ้งยอดเป็นงวดหรือรายเดือน ได้มีการคำนวณค่าใช้จ่ายทางการเงินที่เหมาะสม การชำระ</w:t>
      </w:r>
      <w:r>
        <w:rPr>
          <w:rFonts w:cs="Cordia New" w:hint="cs"/>
          <w:cs/>
        </w:rPr>
        <w:t xml:space="preserve">    </w:t>
      </w:r>
      <w:r w:rsidRPr="00D8766C">
        <w:rPr>
          <w:rFonts w:cs="Cordia New"/>
          <w:cs/>
        </w:rPr>
        <w:t>เงินขั้นต่ำที่ครบกำหนด และยอดดุลใหม่</w:t>
      </w:r>
    </w:p>
    <w:p w:rsidR="00D8766C" w:rsidRPr="00103D05" w:rsidRDefault="001C1CDF">
      <w:pPr>
        <w:rPr>
          <w:rFonts w:cs="Cordia New"/>
          <w:b/>
          <w:bCs/>
        </w:rPr>
      </w:pPr>
      <w:r w:rsidRPr="00103D05">
        <w:rPr>
          <w:rFonts w:cs="Cordia New"/>
          <w:b/>
          <w:bCs/>
        </w:rPr>
        <w:t>3.</w:t>
      </w:r>
      <w:r w:rsidR="00D8766C" w:rsidRPr="00103D05">
        <w:rPr>
          <w:rFonts w:cs="Cordia New"/>
          <w:b/>
          <w:bCs/>
        </w:rPr>
        <w:t>Cashier's Check</w:t>
      </w:r>
    </w:p>
    <w:p w:rsidR="00D8766C" w:rsidRDefault="00D8766C">
      <w:pPr>
        <w:rPr>
          <w:rFonts w:cs="Cordia New"/>
        </w:rPr>
      </w:pPr>
      <w:r>
        <w:rPr>
          <w:rFonts w:cs="Cordia New" w:hint="cs"/>
          <w:cs/>
        </w:rPr>
        <w:t>-</w:t>
      </w:r>
      <w:r w:rsidRPr="00D8766C">
        <w:rPr>
          <w:rFonts w:cs="Cordia New"/>
          <w:cs/>
        </w:rPr>
        <w:t xml:space="preserve">เช็คดึงเงินของธนาคารไม่ใช่กับเงินในบัญชีของผู้ฝากเงิน อย่างไรก็ตาม ผู้ฝากชำระเงินสำหรับแคชเชียร์เช็คด้วยเงินจากบัญชีของตน ประโยชน์หลักของแคชเชียร์เช็คคือผู้รับเช็คมั่นใจว่ามีเงินเพียงพอ </w:t>
      </w:r>
    </w:p>
    <w:p w:rsidR="00D8766C" w:rsidRPr="00103D05" w:rsidRDefault="001C1CDF">
      <w:pPr>
        <w:rPr>
          <w:rFonts w:cs="Cordia New"/>
          <w:b/>
          <w:bCs/>
        </w:rPr>
      </w:pPr>
      <w:r w:rsidRPr="00103D05">
        <w:rPr>
          <w:rFonts w:cs="Cordia New"/>
          <w:b/>
          <w:bCs/>
        </w:rPr>
        <w:t>4.</w:t>
      </w:r>
      <w:r w:rsidR="00D8766C" w:rsidRPr="00103D05">
        <w:rPr>
          <w:rFonts w:cs="Cordia New"/>
          <w:b/>
          <w:bCs/>
        </w:rPr>
        <w:t>Check</w:t>
      </w:r>
    </w:p>
    <w:p w:rsidR="00D8766C" w:rsidRDefault="00D8766C">
      <w:pPr>
        <w:rPr>
          <w:rFonts w:cs="Cordia New"/>
        </w:rPr>
      </w:pPr>
      <w:r>
        <w:rPr>
          <w:rFonts w:cs="Cordia New"/>
        </w:rPr>
        <w:t>-</w:t>
      </w:r>
      <w:r w:rsidRPr="00D8766C">
        <w:rPr>
          <w:rFonts w:cs="Cordia New"/>
          <w:cs/>
        </w:rPr>
        <w:t>คำสั่งเป็นลายลักษณ์อักษรที่สั่งให้สถาบันการเงินชำระเงินทันทีเมื่อทวงถามจำนวนเงินที่กำหนดจากบัญชีผู้ตรวจสอบเช็คไปยังบุคคลที่มีชื่อบนเช็ค หรือหากไม่มีการระบุชื่อบุคคลใดบุคคลหนึ่งที่ถือเช็คให้สถาบันชำระเงิน</w:t>
      </w:r>
    </w:p>
    <w:p w:rsidR="00D8766C" w:rsidRPr="00103D05" w:rsidRDefault="001C1CDF">
      <w:pPr>
        <w:rPr>
          <w:rFonts w:cs="Cordia New"/>
          <w:b/>
          <w:bCs/>
        </w:rPr>
      </w:pPr>
      <w:r w:rsidRPr="00103D05">
        <w:rPr>
          <w:rFonts w:cs="Cordia New"/>
          <w:b/>
          <w:bCs/>
        </w:rPr>
        <w:t>5.</w:t>
      </w:r>
      <w:r w:rsidR="00D8766C" w:rsidRPr="00103D05">
        <w:rPr>
          <w:rFonts w:cs="Cordia New"/>
          <w:b/>
          <w:bCs/>
        </w:rPr>
        <w:t>Debt Collector</w:t>
      </w:r>
    </w:p>
    <w:p w:rsidR="00D8766C" w:rsidRDefault="00D8766C">
      <w:pPr>
        <w:rPr>
          <w:rFonts w:cs="Cordia New"/>
        </w:rPr>
      </w:pPr>
      <w:r>
        <w:rPr>
          <w:rFonts w:cs="Cordia New"/>
        </w:rPr>
        <w:t>-</w:t>
      </w:r>
      <w:r w:rsidRPr="00D8766C">
        <w:rPr>
          <w:rFonts w:cs="Cordia New"/>
          <w:cs/>
        </w:rPr>
        <w:t>บุคคลใดที่ทวงหนี้ให้ผู้อื่นเป็นประจำ ดูคำถามที่เกี่ยวข้องเกี่ยวกับการทวงถามหนี้</w:t>
      </w:r>
    </w:p>
    <w:p w:rsidR="00D8766C" w:rsidRPr="00103D05" w:rsidRDefault="001C1CDF">
      <w:pPr>
        <w:rPr>
          <w:b/>
          <w:bCs/>
        </w:rPr>
      </w:pPr>
      <w:r w:rsidRPr="00103D05">
        <w:rPr>
          <w:b/>
          <w:bCs/>
        </w:rPr>
        <w:t>6.</w:t>
      </w:r>
      <w:r w:rsidR="00D8766C" w:rsidRPr="00103D05">
        <w:rPr>
          <w:b/>
          <w:bCs/>
        </w:rPr>
        <w:t>Electronic Banking</w:t>
      </w:r>
    </w:p>
    <w:p w:rsidR="001C1CDF" w:rsidRDefault="001C1CDF">
      <w:pPr>
        <w:rPr>
          <w:rFonts w:cs="Cordia New"/>
        </w:rPr>
      </w:pPr>
      <w:r>
        <w:t>-</w:t>
      </w:r>
      <w:r w:rsidRPr="001C1CDF">
        <w:rPr>
          <w:rFonts w:cs="Cordia New"/>
          <w:cs/>
        </w:rPr>
        <w:t>บริการที่ช่วยให้เจ้าของบัญชีสามารถรับข้อมูลบัญชีและจัดการธุรกรรมทางธนาคารบางอย่างผ่านคอมพิวเตอร์ส่วนบุคคลผ่านทางเว็บไซต์ของสถาบันการเงินบนอินเทอร์เน็ต</w:t>
      </w:r>
    </w:p>
    <w:p w:rsidR="001C1CDF" w:rsidRPr="00103D05" w:rsidRDefault="001C1CDF">
      <w:pPr>
        <w:rPr>
          <w:rFonts w:cs="Cordia New"/>
          <w:b/>
          <w:bCs/>
        </w:rPr>
      </w:pPr>
      <w:r w:rsidRPr="00103D05">
        <w:rPr>
          <w:rFonts w:cs="Cordia New"/>
          <w:b/>
          <w:bCs/>
        </w:rPr>
        <w:t>7.</w:t>
      </w:r>
      <w:r w:rsidRPr="00103D05">
        <w:rPr>
          <w:b/>
          <w:bCs/>
        </w:rPr>
        <w:t xml:space="preserve"> </w:t>
      </w:r>
      <w:r w:rsidRPr="00103D05">
        <w:rPr>
          <w:rFonts w:cs="Cordia New"/>
          <w:b/>
          <w:bCs/>
        </w:rPr>
        <w:t>Finance Charge</w:t>
      </w:r>
    </w:p>
    <w:p w:rsidR="001C1CDF" w:rsidRDefault="001C1CDF">
      <w:pPr>
        <w:rPr>
          <w:rFonts w:cs="Cordia New"/>
        </w:rPr>
      </w:pPr>
      <w:r>
        <w:rPr>
          <w:rFonts w:cs="Cordia New"/>
        </w:rPr>
        <w:t>-</w:t>
      </w:r>
      <w:r w:rsidRPr="001C1CDF">
        <w:rPr>
          <w:rFonts w:cs="Cordia New"/>
          <w:cs/>
        </w:rPr>
        <w:t>ต้นทุนรวมของเครดิตที่ลูกค้าต้องจ่ายสำหรับสินเชื่อเพื่อผู้บริโภค รวมถึงดอกเบี้ย พระราชบัญญัติความจริงในการให้ยืมกำหนดให้มีการเปิดเผยค่าใช้จ่ายทางการเงิน</w:t>
      </w:r>
    </w:p>
    <w:p w:rsidR="001C1CDF" w:rsidRPr="00103D05" w:rsidRDefault="001C1CDF">
      <w:pPr>
        <w:rPr>
          <w:rFonts w:cs="Cordia New"/>
          <w:b/>
          <w:bCs/>
        </w:rPr>
      </w:pPr>
      <w:r w:rsidRPr="00103D05">
        <w:rPr>
          <w:rFonts w:cs="Cordia New"/>
          <w:b/>
          <w:bCs/>
        </w:rPr>
        <w:t>8.</w:t>
      </w:r>
      <w:r w:rsidRPr="00103D05">
        <w:rPr>
          <w:b/>
          <w:bCs/>
        </w:rPr>
        <w:t xml:space="preserve"> </w:t>
      </w:r>
      <w:r w:rsidRPr="00103D05">
        <w:rPr>
          <w:rFonts w:cs="Cordia New"/>
          <w:b/>
          <w:bCs/>
        </w:rPr>
        <w:t>Guarantor</w:t>
      </w:r>
    </w:p>
    <w:p w:rsidR="001C1CDF" w:rsidRDefault="001C1CDF">
      <w:pPr>
        <w:rPr>
          <w:rFonts w:cs="Cordia New"/>
        </w:rPr>
      </w:pPr>
      <w:r>
        <w:rPr>
          <w:rFonts w:cs="Cordia New"/>
        </w:rPr>
        <w:t>-</w:t>
      </w:r>
      <w:r w:rsidRPr="001C1CDF">
        <w:rPr>
          <w:rFonts w:cs="Cordia New"/>
          <w:cs/>
        </w:rPr>
        <w:t>ฝ่ายที่ตกลงที่จะรับผิดชอบในการชำระหนี้ของอีกฝ่ายหนึ่งหากฝ่ายนั้นผิดนัด</w:t>
      </w:r>
    </w:p>
    <w:p w:rsidR="001C1CDF" w:rsidRPr="00103D05" w:rsidRDefault="001C1CDF">
      <w:pPr>
        <w:rPr>
          <w:rFonts w:cs="Cordia New"/>
          <w:b/>
          <w:bCs/>
        </w:rPr>
      </w:pPr>
      <w:r w:rsidRPr="00103D05">
        <w:rPr>
          <w:rFonts w:cs="Cordia New"/>
          <w:b/>
          <w:bCs/>
        </w:rPr>
        <w:t>9.</w:t>
      </w:r>
      <w:r w:rsidRPr="00103D05">
        <w:rPr>
          <w:b/>
          <w:bCs/>
        </w:rPr>
        <w:t xml:space="preserve"> </w:t>
      </w:r>
      <w:r w:rsidRPr="00103D05">
        <w:rPr>
          <w:rFonts w:cs="Cordia New"/>
          <w:b/>
          <w:bCs/>
        </w:rPr>
        <w:t>Hold</w:t>
      </w:r>
    </w:p>
    <w:p w:rsidR="001C1CDF" w:rsidRDefault="001C1CDF">
      <w:pPr>
        <w:rPr>
          <w:rFonts w:cs="Cordia New"/>
        </w:rPr>
      </w:pPr>
      <w:r>
        <w:rPr>
          <w:rFonts w:cs="Cordia New"/>
        </w:rPr>
        <w:t>-</w:t>
      </w:r>
      <w:r w:rsidRPr="001C1CDF">
        <w:rPr>
          <w:rFonts w:cs="Cordia New"/>
          <w:cs/>
        </w:rPr>
        <w:t xml:space="preserve">ใช้เพื่อระบุว่ายอดเงินคงเหลือของลูกค้าไม่สามารถถอนออกได้จนกว่าจะมีการรวบรวมรายการ หรือจนกว่าจะมีการผ่านรายการเช็คหรือเดบิตที่เฉพาะเจาะจง </w:t>
      </w:r>
    </w:p>
    <w:p w:rsidR="001C1CDF" w:rsidRPr="00103D05" w:rsidRDefault="001C1CDF">
      <w:pPr>
        <w:rPr>
          <w:rFonts w:cs="Cordia New"/>
          <w:b/>
          <w:bCs/>
        </w:rPr>
      </w:pPr>
      <w:r w:rsidRPr="00103D05">
        <w:rPr>
          <w:rFonts w:cs="Cordia New"/>
          <w:b/>
          <w:bCs/>
        </w:rPr>
        <w:t>10.</w:t>
      </w:r>
      <w:r w:rsidRPr="00103D05">
        <w:rPr>
          <w:b/>
          <w:bCs/>
        </w:rPr>
        <w:t xml:space="preserve"> </w:t>
      </w:r>
      <w:r w:rsidRPr="00103D05">
        <w:rPr>
          <w:rFonts w:cs="Cordia New"/>
          <w:b/>
          <w:bCs/>
        </w:rPr>
        <w:t>Inactive Account</w:t>
      </w:r>
    </w:p>
    <w:p w:rsidR="001C1CDF" w:rsidRDefault="001C1CDF">
      <w:r>
        <w:rPr>
          <w:rFonts w:cs="Cordia New"/>
        </w:rPr>
        <w:t>-</w:t>
      </w:r>
      <w:r w:rsidRPr="001C1CDF">
        <w:rPr>
          <w:rFonts w:cs="Cordia New"/>
          <w:cs/>
        </w:rPr>
        <w:t xml:space="preserve">บัญชีที่มีกิจกรรมเพียงเล็กน้อยหรือไม่มีเลย ไม่มีการผ่านรายการฝากหรือถอนเข้าบัญชีในช่วงเวลาที่มีนัยสำคัญ </w:t>
      </w:r>
    </w:p>
    <w:p w:rsidR="001C1CDF" w:rsidRDefault="001C1CDF"/>
    <w:p w:rsidR="001C1CDF" w:rsidRDefault="001C1CDF">
      <w:pPr>
        <w:rPr>
          <w:sz w:val="36"/>
          <w:szCs w:val="44"/>
        </w:rPr>
      </w:pPr>
      <w:r w:rsidRPr="001C1CDF">
        <w:rPr>
          <w:sz w:val="36"/>
          <w:szCs w:val="44"/>
        </w:rPr>
        <w:lastRenderedPageBreak/>
        <w:t>Insurance</w:t>
      </w:r>
    </w:p>
    <w:p w:rsidR="001C1CDF" w:rsidRPr="00103D05" w:rsidRDefault="001C1CDF" w:rsidP="001C1CDF">
      <w:pPr>
        <w:rPr>
          <w:b/>
          <w:bCs/>
          <w:szCs w:val="22"/>
        </w:rPr>
      </w:pPr>
      <w:r w:rsidRPr="00103D05">
        <w:rPr>
          <w:b/>
          <w:bCs/>
          <w:szCs w:val="22"/>
        </w:rPr>
        <w:t xml:space="preserve">1. </w:t>
      </w:r>
      <w:r w:rsidRPr="00103D05">
        <w:rPr>
          <w:b/>
          <w:bCs/>
          <w:szCs w:val="22"/>
        </w:rPr>
        <w:t>Agent</w:t>
      </w:r>
    </w:p>
    <w:p w:rsidR="001C1CDF" w:rsidRDefault="001C1CDF" w:rsidP="001C1CDF">
      <w:r>
        <w:t>-</w:t>
      </w:r>
      <w:r w:rsidRPr="001C1CDF">
        <w:rPr>
          <w:rFonts w:cs="Cordia New"/>
          <w:cs/>
        </w:rPr>
        <w:t>บุคคลที่ได้รับอนุญาตหรือองค์กรที่ได้รับอนุญาตให้ขายประกันโดยหรือในนามของบริษัทประกันภัย</w:t>
      </w:r>
    </w:p>
    <w:p w:rsidR="001C1CDF" w:rsidRPr="00103D05" w:rsidRDefault="001C1CDF" w:rsidP="001C1CDF">
      <w:pPr>
        <w:rPr>
          <w:b/>
          <w:bCs/>
        </w:rPr>
      </w:pPr>
      <w:r w:rsidRPr="00103D05">
        <w:rPr>
          <w:b/>
          <w:bCs/>
        </w:rPr>
        <w:t>2.</w:t>
      </w:r>
      <w:r w:rsidRPr="00103D05">
        <w:rPr>
          <w:rStyle w:val="a3"/>
          <w:rFonts w:ascii="Arial" w:hAnsi="Arial" w:cs="Arial"/>
          <w:b/>
          <w:bCs/>
          <w:color w:val="222222"/>
          <w:szCs w:val="22"/>
          <w:shd w:val="clear" w:color="auto" w:fill="FFFFFF"/>
        </w:rPr>
        <w:t xml:space="preserve"> </w:t>
      </w:r>
      <w:r w:rsidRPr="00103D05">
        <w:rPr>
          <w:b/>
          <w:bCs/>
        </w:rPr>
        <w:t>Binder</w:t>
      </w:r>
    </w:p>
    <w:p w:rsidR="001C1CDF" w:rsidRDefault="001C1CDF" w:rsidP="001C1CDF">
      <w:r>
        <w:t>-</w:t>
      </w:r>
      <w:r w:rsidRPr="001C1CDF">
        <w:rPr>
          <w:rFonts w:cs="Cordia New"/>
          <w:cs/>
        </w:rPr>
        <w:t>ข้อตกลงชั่วคราวหรือเบื้องต้นที่ให้ความคุ้มครองจนกว่าจะสามารถเขียนหรือส่งมอบกรมธรรม์ได้</w:t>
      </w:r>
    </w:p>
    <w:p w:rsidR="001C1CDF" w:rsidRPr="00103D05" w:rsidRDefault="001C1CDF" w:rsidP="001C1CDF">
      <w:pPr>
        <w:rPr>
          <w:b/>
          <w:bCs/>
        </w:rPr>
      </w:pPr>
      <w:r w:rsidRPr="00103D05">
        <w:rPr>
          <w:b/>
          <w:bCs/>
        </w:rPr>
        <w:t xml:space="preserve">3. </w:t>
      </w:r>
      <w:r w:rsidRPr="00103D05">
        <w:rPr>
          <w:b/>
          <w:bCs/>
        </w:rPr>
        <w:t>Financial Guarantee Insurance</w:t>
      </w:r>
    </w:p>
    <w:p w:rsidR="001C1CDF" w:rsidRDefault="001C1CDF" w:rsidP="001C1CDF">
      <w:r>
        <w:t>-</w:t>
      </w:r>
      <w:r w:rsidRPr="001C1CDF">
        <w:rPr>
          <w:rFonts w:cs="Cordia New"/>
          <w:cs/>
        </w:rPr>
        <w:t>พันธบัตรค้ำประกัน กรมธรรม์ประกันภัย หรือสัญญาชดใช้ค่าเสียหายและการรับประกันใด ๆ ที่คล้ายกับประเภทที่กล่าวโดยผู้ประกันตนซึ่งออกโดยผู้ประกันตน โดยจะชำระความสูญเสียเมื่อมีการพิสูจน์ว่าเกิดการสูญเสียทางการเงินแก่ผู้อ้างสิทธิ์ ผู้ผูกมัด หรือผู้รับค่าสินไหมทดแทน</w:t>
      </w:r>
    </w:p>
    <w:p w:rsidR="001C1CDF" w:rsidRPr="00103D05" w:rsidRDefault="001C1CDF" w:rsidP="001C1CDF">
      <w:pPr>
        <w:rPr>
          <w:b/>
          <w:bCs/>
        </w:rPr>
      </w:pPr>
      <w:r w:rsidRPr="00103D05">
        <w:rPr>
          <w:b/>
          <w:bCs/>
        </w:rPr>
        <w:t xml:space="preserve">4. </w:t>
      </w:r>
      <w:r w:rsidRPr="00103D05">
        <w:rPr>
          <w:b/>
          <w:bCs/>
        </w:rPr>
        <w:t>Insured</w:t>
      </w:r>
    </w:p>
    <w:p w:rsidR="001C1CDF" w:rsidRDefault="001C1CDF" w:rsidP="001C1CDF">
      <w:r>
        <w:t>-</w:t>
      </w:r>
      <w:r w:rsidRPr="001C1CDF">
        <w:rPr>
          <w:rFonts w:cs="Cordia New"/>
          <w:cs/>
        </w:rPr>
        <w:t xml:space="preserve">ผู้ถือกรมธรรม์ </w:t>
      </w:r>
      <w:r>
        <w:rPr>
          <w:rFonts w:cs="Cordia New"/>
          <w:cs/>
        </w:rPr>
        <w:t>–</w:t>
      </w:r>
      <w:r w:rsidRPr="001C1CDF">
        <w:rPr>
          <w:rFonts w:cs="Cordia New"/>
          <w:cs/>
        </w:rPr>
        <w:t xml:space="preserve"> บุคคลที่ได้รับการคุ้มครองในกรณีที่สูญหายหรือเรียกร้อง</w:t>
      </w:r>
    </w:p>
    <w:p w:rsidR="001C1CDF" w:rsidRPr="00103D05" w:rsidRDefault="001C1CDF" w:rsidP="001C1CDF">
      <w:pPr>
        <w:rPr>
          <w:b/>
          <w:bCs/>
        </w:rPr>
      </w:pPr>
      <w:r w:rsidRPr="00103D05">
        <w:rPr>
          <w:b/>
          <w:bCs/>
        </w:rPr>
        <w:t xml:space="preserve">5. </w:t>
      </w:r>
      <w:r w:rsidRPr="00103D05">
        <w:rPr>
          <w:b/>
          <w:bCs/>
        </w:rPr>
        <w:t>Insured Deposits</w:t>
      </w:r>
    </w:p>
    <w:p w:rsidR="001C1CDF" w:rsidRDefault="001C1CDF" w:rsidP="001C1CDF">
      <w:r>
        <w:t>-</w:t>
      </w:r>
      <w:r w:rsidRPr="001C1CDF">
        <w:rPr>
          <w:rFonts w:cs="Cordia New"/>
          <w:cs/>
        </w:rPr>
        <w:t xml:space="preserve">เงินฝากที่ถืออยู่ในสถาบันการเงินที่ได้รับการค้ำประกันโดย </w:t>
      </w:r>
      <w:r w:rsidRPr="001C1CDF">
        <w:t xml:space="preserve">Federal Deposit Insurance Corporation (FDIC) </w:t>
      </w:r>
      <w:r w:rsidRPr="001C1CDF">
        <w:rPr>
          <w:rFonts w:cs="Cordia New"/>
          <w:cs/>
        </w:rPr>
        <w:t>จากการขาดทุนเนื่องจากความล้มเหลวของธนาคาร</w:t>
      </w:r>
    </w:p>
    <w:p w:rsidR="001C1CDF" w:rsidRPr="00103D05" w:rsidRDefault="001C1CDF" w:rsidP="001C1CDF">
      <w:pPr>
        <w:rPr>
          <w:b/>
          <w:bCs/>
        </w:rPr>
      </w:pPr>
      <w:r w:rsidRPr="00103D05">
        <w:rPr>
          <w:b/>
          <w:bCs/>
        </w:rPr>
        <w:t xml:space="preserve">6. </w:t>
      </w:r>
      <w:r w:rsidRPr="00103D05">
        <w:rPr>
          <w:b/>
          <w:bCs/>
        </w:rPr>
        <w:t>Liability Insurance</w:t>
      </w:r>
    </w:p>
    <w:p w:rsidR="001C1CDF" w:rsidRDefault="001C1CDF" w:rsidP="001C1CDF">
      <w:pPr>
        <w:rPr>
          <w:rFonts w:cs="Cordia New"/>
        </w:rPr>
      </w:pPr>
      <w:r>
        <w:t>-</w:t>
      </w:r>
      <w:r w:rsidRPr="001C1CDF">
        <w:rPr>
          <w:rFonts w:cs="Cordia New"/>
          <w:cs/>
        </w:rPr>
        <w:t>ความคุ้มครองสำหรับจำนวนเงินทั้งหมดที่ผู้เอาประกันภัยมีภาระผูกพันตามกฎหมายที่จะต้องจ่ายเนื่องจากการบาดเจ็บทางร่างกายหรือความเสียหายต่อทรัพย์สิน และบางครั้งอาจมีความผิดอื่น ๆ ที่เกี่ยวข้องกับกรมธรรม์ประกันภัย</w:t>
      </w:r>
    </w:p>
    <w:p w:rsidR="009E0FCB" w:rsidRPr="00103D05" w:rsidRDefault="009E0FCB" w:rsidP="001C1CDF">
      <w:pPr>
        <w:rPr>
          <w:b/>
          <w:bCs/>
        </w:rPr>
      </w:pPr>
      <w:r w:rsidRPr="00103D05">
        <w:rPr>
          <w:b/>
          <w:bCs/>
        </w:rPr>
        <w:t xml:space="preserve">7. </w:t>
      </w:r>
      <w:r w:rsidRPr="00103D05">
        <w:rPr>
          <w:b/>
          <w:bCs/>
        </w:rPr>
        <w:t>Joint Account</w:t>
      </w:r>
    </w:p>
    <w:p w:rsidR="009E0FCB" w:rsidRDefault="009E0FCB" w:rsidP="001C1CDF">
      <w:r>
        <w:t>-</w:t>
      </w:r>
      <w:r w:rsidRPr="009E0FCB">
        <w:rPr>
          <w:rFonts w:cs="Cordia New"/>
          <w:cs/>
        </w:rPr>
        <w:t>บัญชีที่เป็นเจ้าของโดยบุคคลตั้งแต่สองคนขึ้นไป ฝ่ายใดฝ่ายหนึ่งสามารถทำธุรกรรมแยกกันหรือร่วมกันตามที่กำหนดไว้ในสัญญาบัญชีเงินฝาก</w:t>
      </w:r>
    </w:p>
    <w:p w:rsidR="009E0FCB" w:rsidRPr="00103D05" w:rsidRDefault="009E0FCB" w:rsidP="001C1CDF">
      <w:pPr>
        <w:rPr>
          <w:b/>
          <w:bCs/>
        </w:rPr>
      </w:pPr>
      <w:r w:rsidRPr="00103D05">
        <w:rPr>
          <w:b/>
          <w:bCs/>
        </w:rPr>
        <w:t xml:space="preserve">8. </w:t>
      </w:r>
      <w:r w:rsidRPr="00103D05">
        <w:rPr>
          <w:b/>
          <w:bCs/>
        </w:rPr>
        <w:t>Misquote</w:t>
      </w:r>
    </w:p>
    <w:p w:rsidR="009E0FCB" w:rsidRDefault="009E0FCB" w:rsidP="001C1CDF">
      <w:r>
        <w:t>-</w:t>
      </w:r>
      <w:r w:rsidRPr="009E0FCB">
        <w:rPr>
          <w:rFonts w:cs="Cordia New"/>
          <w:cs/>
        </w:rPr>
        <w:t>การประมาณการเบี้ยประกันที่ไม่ถูกต้อง</w:t>
      </w:r>
    </w:p>
    <w:p w:rsidR="009E0FCB" w:rsidRPr="00103D05" w:rsidRDefault="009E0FCB" w:rsidP="001C1CDF">
      <w:pPr>
        <w:rPr>
          <w:b/>
          <w:bCs/>
        </w:rPr>
      </w:pPr>
      <w:r w:rsidRPr="00103D05">
        <w:rPr>
          <w:b/>
          <w:bCs/>
        </w:rPr>
        <w:t xml:space="preserve">9. </w:t>
      </w:r>
      <w:r w:rsidRPr="00103D05">
        <w:rPr>
          <w:b/>
          <w:bCs/>
        </w:rPr>
        <w:t>Property Damage</w:t>
      </w:r>
    </w:p>
    <w:p w:rsidR="009E0FCB" w:rsidRDefault="009E0FCB" w:rsidP="001C1CDF">
      <w:pPr>
        <w:rPr>
          <w:rFonts w:cs="Cordia New"/>
        </w:rPr>
      </w:pPr>
      <w:r>
        <w:t>-</w:t>
      </w:r>
      <w:r w:rsidRPr="009E0FCB">
        <w:rPr>
          <w:rFonts w:cs="Cordia New"/>
          <w:cs/>
        </w:rPr>
        <w:t>ความเสียหายต่อทรัพย์สินของบุคคลอื่น วัตถุประสงค์ของการประกันภัยความรับผิดคือเพื่อให้ครอบคลุมความเสียหายต่อทรัพย์สินต่อบุคคลที่สามอันเป็นผลจากการกระทำโดยประมาทหรือจงใจของผู้เอาประกันภัย</w:t>
      </w:r>
    </w:p>
    <w:p w:rsidR="009E0FCB" w:rsidRPr="00103D05" w:rsidRDefault="009E0FCB" w:rsidP="001C1CDF">
      <w:pPr>
        <w:rPr>
          <w:b/>
          <w:bCs/>
        </w:rPr>
      </w:pPr>
      <w:r w:rsidRPr="00103D05">
        <w:rPr>
          <w:b/>
          <w:bCs/>
        </w:rPr>
        <w:t xml:space="preserve">10. </w:t>
      </w:r>
      <w:r w:rsidRPr="00103D05">
        <w:rPr>
          <w:b/>
          <w:bCs/>
        </w:rPr>
        <w:t>Reinstatement</w:t>
      </w:r>
    </w:p>
    <w:p w:rsidR="009E0FCB" w:rsidRDefault="009E0FCB" w:rsidP="001C1CDF">
      <w:pPr>
        <w:rPr>
          <w:rFonts w:cs="Cordia New"/>
        </w:rPr>
      </w:pPr>
      <w:r>
        <w:t>-</w:t>
      </w:r>
      <w:r w:rsidRPr="009E0FCB">
        <w:rPr>
          <w:rFonts w:cs="Cordia New"/>
          <w:cs/>
        </w:rPr>
        <w:t>การคืนนโยบายที่หมดอายุให้มีผลบังคับสมบูรณ์ การคืนสถานะอาจมีผลหลังจากวันที่ยกเลิก ทำให้เกิดความครอบคลุม บางบริษัทต้องการหลักฐานการประกันและการชำระเบี้ยประกันภัยที่ค้างชำระพร้อมดอกเบี้ย</w:t>
      </w:r>
    </w:p>
    <w:p w:rsidR="009E0FCB" w:rsidRDefault="009E0FCB" w:rsidP="001C1CDF">
      <w:pPr>
        <w:rPr>
          <w:rFonts w:cs="Cordia New"/>
          <w:sz w:val="36"/>
          <w:szCs w:val="44"/>
        </w:rPr>
      </w:pPr>
      <w:r w:rsidRPr="009E0FCB">
        <w:rPr>
          <w:rFonts w:cs="Cordia New"/>
          <w:sz w:val="36"/>
          <w:szCs w:val="44"/>
        </w:rPr>
        <w:lastRenderedPageBreak/>
        <w:t>Education</w:t>
      </w:r>
    </w:p>
    <w:p w:rsidR="009E0FCB" w:rsidRPr="00103D05" w:rsidRDefault="009E0FCB" w:rsidP="009E0FCB">
      <w:pPr>
        <w:rPr>
          <w:rFonts w:cs="Cordia New"/>
          <w:b/>
          <w:bCs/>
          <w:szCs w:val="22"/>
        </w:rPr>
      </w:pPr>
      <w:r w:rsidRPr="00103D05">
        <w:rPr>
          <w:rFonts w:cs="Cordia New"/>
          <w:b/>
          <w:bCs/>
          <w:szCs w:val="22"/>
        </w:rPr>
        <w:t xml:space="preserve">1. </w:t>
      </w:r>
      <w:r w:rsidRPr="00103D05">
        <w:rPr>
          <w:rFonts w:cs="Cordia New"/>
          <w:b/>
          <w:bCs/>
          <w:szCs w:val="22"/>
        </w:rPr>
        <w:t>Academic Institution</w:t>
      </w:r>
    </w:p>
    <w:p w:rsidR="009E0FCB" w:rsidRDefault="009E0FCB" w:rsidP="009E0FCB">
      <w:pPr>
        <w:rPr>
          <w:rFonts w:cs="Cordia New"/>
        </w:rPr>
      </w:pPr>
      <w:r>
        <w:t>-</w:t>
      </w:r>
      <w:r w:rsidRPr="009E0FCB">
        <w:rPr>
          <w:rFonts w:cs="Cordia New"/>
          <w:cs/>
        </w:rPr>
        <w:t>สถาบันการศึกษาที่ทุ่มเทให้กับการวิจัยและการศึกษาระดับอุดมศึกษา สถาบันเหล่านี้มอบปริญญาทางวิชาการ</w:t>
      </w:r>
    </w:p>
    <w:p w:rsidR="009E0FCB" w:rsidRPr="00103D05" w:rsidRDefault="009E0FCB" w:rsidP="009E0FCB">
      <w:pPr>
        <w:rPr>
          <w:b/>
          <w:bCs/>
        </w:rPr>
      </w:pPr>
      <w:r w:rsidRPr="00103D05">
        <w:rPr>
          <w:b/>
          <w:bCs/>
        </w:rPr>
        <w:t xml:space="preserve">2. </w:t>
      </w:r>
      <w:r w:rsidRPr="00103D05">
        <w:rPr>
          <w:b/>
          <w:bCs/>
        </w:rPr>
        <w:t>Coeducation</w:t>
      </w:r>
    </w:p>
    <w:p w:rsidR="009E0FCB" w:rsidRDefault="009E0FCB" w:rsidP="009E0FCB">
      <w:r>
        <w:t>-</w:t>
      </w:r>
      <w:r w:rsidRPr="009E0FCB">
        <w:rPr>
          <w:rFonts w:cs="Cordia New"/>
          <w:cs/>
        </w:rPr>
        <w:t xml:space="preserve">การศึกษาแบบบูรณาการระหว่างเพศในโรงเรียนเดียวกัน ก่อนกลางศตวรรษที่ </w:t>
      </w:r>
      <w:r w:rsidRPr="009E0FCB">
        <w:t xml:space="preserve">20 </w:t>
      </w:r>
      <w:r w:rsidRPr="009E0FCB">
        <w:rPr>
          <w:rFonts w:cs="Cordia New"/>
          <w:cs/>
        </w:rPr>
        <w:t>การศึกษาระดับอุดมศึกษาจำนวนมากจำกัดการลงทะเบียนตามเพศ</w:t>
      </w:r>
    </w:p>
    <w:p w:rsidR="009E0FCB" w:rsidRPr="00103D05" w:rsidRDefault="009E0FCB" w:rsidP="009E0FCB">
      <w:pPr>
        <w:rPr>
          <w:b/>
          <w:bCs/>
        </w:rPr>
      </w:pPr>
      <w:r w:rsidRPr="00103D05">
        <w:rPr>
          <w:b/>
          <w:bCs/>
        </w:rPr>
        <w:t xml:space="preserve">3. </w:t>
      </w:r>
      <w:r w:rsidRPr="00103D05">
        <w:rPr>
          <w:b/>
          <w:bCs/>
        </w:rPr>
        <w:t>Desire2Learn</w:t>
      </w:r>
    </w:p>
    <w:p w:rsidR="009E0FCB" w:rsidRDefault="009E0FCB" w:rsidP="009E0FCB">
      <w:pPr>
        <w:rPr>
          <w:rFonts w:cs="Cordia New"/>
        </w:rPr>
      </w:pPr>
      <w:r>
        <w:t>-</w:t>
      </w:r>
      <w:r w:rsidRPr="009E0FCB">
        <w:rPr>
          <w:rFonts w:cs="Cordia New"/>
          <w:cs/>
        </w:rPr>
        <w:t>เป็นผู้ให้บริการโซลูชั่นอี</w:t>
      </w:r>
      <w:proofErr w:type="spellStart"/>
      <w:r w:rsidRPr="009E0FCB">
        <w:rPr>
          <w:rFonts w:cs="Cordia New"/>
          <w:cs/>
        </w:rPr>
        <w:t>เลิร์</w:t>
      </w:r>
      <w:proofErr w:type="spellEnd"/>
      <w:r w:rsidRPr="009E0FCB">
        <w:rPr>
          <w:rFonts w:cs="Cordia New"/>
          <w:cs/>
        </w:rPr>
        <w:t xml:space="preserve">นนิงระดับองค์กรและพัฒนาระบบการจัดการการเรียนรู้ออนไลน์ที่ใช้ในสถาบันมากกว่า </w:t>
      </w:r>
      <w:r w:rsidRPr="009E0FCB">
        <w:t xml:space="preserve">650 </w:t>
      </w:r>
      <w:r w:rsidRPr="009E0FCB">
        <w:rPr>
          <w:rFonts w:cs="Cordia New"/>
          <w:cs/>
        </w:rPr>
        <w:t xml:space="preserve">แห่งใน </w:t>
      </w:r>
      <w:r w:rsidRPr="009E0FCB">
        <w:t xml:space="preserve">20 </w:t>
      </w:r>
      <w:r w:rsidRPr="009E0FCB">
        <w:rPr>
          <w:rFonts w:cs="Cordia New"/>
          <w:cs/>
        </w:rPr>
        <w:t>ประเทศทั่วโลก</w:t>
      </w:r>
    </w:p>
    <w:p w:rsidR="009E0FCB" w:rsidRPr="00103D05" w:rsidRDefault="009E0FCB" w:rsidP="009E0FCB">
      <w:pPr>
        <w:rPr>
          <w:b/>
          <w:bCs/>
        </w:rPr>
      </w:pPr>
      <w:r w:rsidRPr="00103D05">
        <w:rPr>
          <w:b/>
          <w:bCs/>
        </w:rPr>
        <w:t xml:space="preserve">4. </w:t>
      </w:r>
      <w:r w:rsidRPr="00103D05">
        <w:rPr>
          <w:b/>
          <w:bCs/>
        </w:rPr>
        <w:t>Educational Organization</w:t>
      </w:r>
    </w:p>
    <w:p w:rsidR="009E0FCB" w:rsidRDefault="009E0FCB" w:rsidP="009E0FCB">
      <w:r>
        <w:t>-</w:t>
      </w:r>
      <w:r w:rsidRPr="009E0FCB">
        <w:rPr>
          <w:rFonts w:cs="Cordia New"/>
          <w:cs/>
        </w:rPr>
        <w:t>ทฤษฎีองค์กรที่ประยุกต์ใช้กับการศึกษาที่ประมวลผลโดยจิตใจมนุษย์ องค์กรการศึกษาไม่จัดระบบการศึกษา</w:t>
      </w:r>
    </w:p>
    <w:p w:rsidR="009E0FCB" w:rsidRPr="00103D05" w:rsidRDefault="009E0FCB" w:rsidP="009E0FCB">
      <w:pPr>
        <w:rPr>
          <w:b/>
          <w:bCs/>
        </w:rPr>
      </w:pPr>
      <w:r w:rsidRPr="00103D05">
        <w:rPr>
          <w:b/>
          <w:bCs/>
        </w:rPr>
        <w:t xml:space="preserve">5. </w:t>
      </w:r>
      <w:r w:rsidRPr="00103D05">
        <w:rPr>
          <w:b/>
          <w:bCs/>
        </w:rPr>
        <w:t>Individualized Instruction</w:t>
      </w:r>
    </w:p>
    <w:p w:rsidR="009E0FCB" w:rsidRDefault="009E0FCB" w:rsidP="009E0FCB">
      <w:pPr>
        <w:rPr>
          <w:rFonts w:cs="Cordia New"/>
        </w:rPr>
      </w:pPr>
      <w:r>
        <w:t>-</w:t>
      </w:r>
      <w:r w:rsidRPr="009E0FCB">
        <w:rPr>
          <w:rFonts w:cs="Cordia New"/>
          <w:cs/>
        </w:rPr>
        <w:t>วิธีการสอนที่สื่อการเรียนการสอน สื่อ เนื้อหา และจังหวะการเรียนรู้ขึ้นอยู่กับความสนใจและความสามารถของผู้เรียนแต่ละคนเท่านั้น</w:t>
      </w:r>
    </w:p>
    <w:p w:rsidR="009E0FCB" w:rsidRPr="00103D05" w:rsidRDefault="009E0FCB" w:rsidP="009E0FCB">
      <w:pPr>
        <w:rPr>
          <w:b/>
          <w:bCs/>
        </w:rPr>
      </w:pPr>
      <w:r w:rsidRPr="00103D05">
        <w:rPr>
          <w:b/>
          <w:bCs/>
        </w:rPr>
        <w:t xml:space="preserve">6. </w:t>
      </w:r>
      <w:r w:rsidRPr="00103D05">
        <w:rPr>
          <w:b/>
          <w:bCs/>
        </w:rPr>
        <w:t>Knowledge Representation</w:t>
      </w:r>
    </w:p>
    <w:p w:rsidR="009E0FCB" w:rsidRDefault="009E0FCB" w:rsidP="009E0FCB">
      <w:pPr>
        <w:rPr>
          <w:rFonts w:cs="Cordia New"/>
        </w:rPr>
      </w:pPr>
      <w:r>
        <w:t>-</w:t>
      </w:r>
      <w:r w:rsidRPr="009E0FCB">
        <w:rPr>
          <w:rFonts w:cs="Cordia New"/>
          <w:cs/>
        </w:rPr>
        <w:t>ใช้บ่อยที่สุดเพื่ออ้างถึงการเป็นตัวแทนของวัตถุที่ชัดเจนซึ่งมีไว้สำหรับการประมวลผลด้วยคอมพิวเตอร์</w:t>
      </w:r>
    </w:p>
    <w:p w:rsidR="009E0FCB" w:rsidRPr="00103D05" w:rsidRDefault="009E0FCB" w:rsidP="009E0FCB">
      <w:pPr>
        <w:rPr>
          <w:b/>
          <w:bCs/>
        </w:rPr>
      </w:pPr>
      <w:r w:rsidRPr="00103D05">
        <w:rPr>
          <w:b/>
          <w:bCs/>
        </w:rPr>
        <w:t xml:space="preserve">7. </w:t>
      </w:r>
      <w:r w:rsidRPr="00103D05">
        <w:rPr>
          <w:b/>
          <w:bCs/>
        </w:rPr>
        <w:t>Learning Outcome</w:t>
      </w:r>
    </w:p>
    <w:p w:rsidR="009E0FCB" w:rsidRDefault="009E0FCB" w:rsidP="009E0FCB">
      <w:pPr>
        <w:rPr>
          <w:rFonts w:cs="Cordia New"/>
        </w:rPr>
      </w:pPr>
      <w:r>
        <w:t>-</w:t>
      </w:r>
      <w:r w:rsidRPr="009E0FCB">
        <w:rPr>
          <w:rFonts w:cs="Cordia New"/>
          <w:cs/>
        </w:rPr>
        <w:t>แม้ว่าการใช้ผลการเรียนรู้อาจแตกต่างกันไปตามแต่ละองค์กร คำนี้มักจะหมายถึงจุดมุ่งหมายของหลักสูตรหรือวัตถุประสงค์ทั่วไปของสายการศึกษา</w:t>
      </w:r>
    </w:p>
    <w:p w:rsidR="009E0FCB" w:rsidRPr="00103D05" w:rsidRDefault="009E0FCB" w:rsidP="009E0FCB">
      <w:pPr>
        <w:rPr>
          <w:b/>
          <w:bCs/>
        </w:rPr>
      </w:pPr>
      <w:r w:rsidRPr="00103D05">
        <w:rPr>
          <w:rFonts w:hint="cs"/>
          <w:b/>
          <w:bCs/>
          <w:cs/>
        </w:rPr>
        <w:t>8.</w:t>
      </w:r>
      <w:r w:rsidRPr="00103D05">
        <w:rPr>
          <w:b/>
          <w:bCs/>
        </w:rPr>
        <w:t xml:space="preserve"> </w:t>
      </w:r>
      <w:r w:rsidRPr="00103D05">
        <w:rPr>
          <w:b/>
          <w:bCs/>
        </w:rPr>
        <w:t>Mentoring</w:t>
      </w:r>
    </w:p>
    <w:p w:rsidR="009E0FCB" w:rsidRDefault="009E0FCB" w:rsidP="009E0FCB">
      <w:pPr>
        <w:rPr>
          <w:rFonts w:cs="Cordia New"/>
        </w:rPr>
      </w:pPr>
      <w:r>
        <w:rPr>
          <w:rFonts w:hint="cs"/>
          <w:cs/>
        </w:rPr>
        <w:t>-</w:t>
      </w:r>
      <w:r w:rsidRPr="009E0FCB">
        <w:rPr>
          <w:rFonts w:cs="Cordia New"/>
          <w:cs/>
        </w:rPr>
        <w:t>ความสัมพันธ์ระหว่างพี่เลี้ยงกับคู่ครองที่มีประสบการณ์น้อย มักจะจับคู่ตามเพศ</w:t>
      </w:r>
    </w:p>
    <w:p w:rsidR="009E0FCB" w:rsidRPr="00103D05" w:rsidRDefault="009E0FCB" w:rsidP="009E0FCB">
      <w:pPr>
        <w:rPr>
          <w:b/>
          <w:bCs/>
        </w:rPr>
      </w:pPr>
      <w:r w:rsidRPr="00103D05">
        <w:rPr>
          <w:rFonts w:hint="cs"/>
          <w:b/>
          <w:bCs/>
          <w:cs/>
        </w:rPr>
        <w:t>9.</w:t>
      </w:r>
      <w:r w:rsidRPr="00103D05">
        <w:rPr>
          <w:b/>
          <w:bCs/>
        </w:rPr>
        <w:t xml:space="preserve"> </w:t>
      </w:r>
      <w:r w:rsidRPr="00103D05">
        <w:rPr>
          <w:b/>
          <w:bCs/>
        </w:rPr>
        <w:t>Open Problem</w:t>
      </w:r>
    </w:p>
    <w:p w:rsidR="009E0FCB" w:rsidRDefault="009E0FCB" w:rsidP="009E0FCB">
      <w:pPr>
        <w:rPr>
          <w:rFonts w:cs="Cordia New"/>
        </w:rPr>
      </w:pPr>
      <w:r>
        <w:rPr>
          <w:rFonts w:hint="cs"/>
          <w:cs/>
        </w:rPr>
        <w:t>-</w:t>
      </w:r>
      <w:r w:rsidRPr="009E0FCB">
        <w:rPr>
          <w:rFonts w:cs="Cordia New"/>
          <w:cs/>
        </w:rPr>
        <w:t>ปัญหาที่กล่าวอย่างเป็นทางการซึ่งยังไม่พบวิธีแก้ไขที่ทราบ นิยมใช้ในการศึกษาระดับบัณฑิตศึกษา</w:t>
      </w:r>
    </w:p>
    <w:p w:rsidR="009E0FCB" w:rsidRPr="00103D05" w:rsidRDefault="009E0FCB" w:rsidP="009E0FCB">
      <w:pPr>
        <w:rPr>
          <w:b/>
          <w:bCs/>
        </w:rPr>
      </w:pPr>
      <w:r w:rsidRPr="00103D05">
        <w:rPr>
          <w:rFonts w:hint="cs"/>
          <w:b/>
          <w:bCs/>
          <w:cs/>
        </w:rPr>
        <w:t>10.</w:t>
      </w:r>
      <w:r w:rsidRPr="00103D05">
        <w:rPr>
          <w:b/>
          <w:bCs/>
        </w:rPr>
        <w:t xml:space="preserve"> </w:t>
      </w:r>
      <w:r w:rsidRPr="00103D05">
        <w:rPr>
          <w:b/>
          <w:bCs/>
        </w:rPr>
        <w:t>Pedagogy</w:t>
      </w:r>
    </w:p>
    <w:p w:rsidR="009E0FCB" w:rsidRPr="009E0FCB" w:rsidRDefault="009E0FCB" w:rsidP="009E0FCB">
      <w:pPr>
        <w:rPr>
          <w:rFonts w:hint="cs"/>
        </w:rPr>
      </w:pPr>
      <w:r>
        <w:rPr>
          <w:rFonts w:hint="cs"/>
          <w:cs/>
        </w:rPr>
        <w:t>-</w:t>
      </w:r>
      <w:r w:rsidRPr="009E0FCB">
        <w:rPr>
          <w:rFonts w:cs="Cordia New"/>
          <w:cs/>
        </w:rPr>
        <w:t>ศิลปะและศาสตร์แ</w:t>
      </w:r>
      <w:bookmarkStart w:id="0" w:name="_GoBack"/>
      <w:bookmarkEnd w:id="0"/>
      <w:r w:rsidRPr="009E0FCB">
        <w:rPr>
          <w:rFonts w:cs="Cordia New"/>
          <w:cs/>
        </w:rPr>
        <w:t xml:space="preserve">ห่งการสอนจากภาษากรีก </w:t>
      </w:r>
      <w:proofErr w:type="spellStart"/>
      <w:r w:rsidRPr="009E0FCB">
        <w:t>payagogos</w:t>
      </w:r>
      <w:proofErr w:type="spellEnd"/>
      <w:r w:rsidRPr="009E0FCB">
        <w:t xml:space="preserve"> </w:t>
      </w:r>
      <w:r w:rsidRPr="009E0FCB">
        <w:rPr>
          <w:rFonts w:cs="Cordia New"/>
          <w:cs/>
        </w:rPr>
        <w:t>ภาษาละตินสำหรับการสอนคือการศึกษา และใช้กันอย่างแพร่หลายมากกว่า แม้ว่าจะใช้แทนกันได้</w:t>
      </w:r>
    </w:p>
    <w:sectPr w:rsidR="009E0FCB" w:rsidRPr="009E0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3134D"/>
    <w:multiLevelType w:val="hybridMultilevel"/>
    <w:tmpl w:val="C4D0D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42E6B"/>
    <w:multiLevelType w:val="hybridMultilevel"/>
    <w:tmpl w:val="F7AE7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6C"/>
    <w:rsid w:val="00103D05"/>
    <w:rsid w:val="001C1CDF"/>
    <w:rsid w:val="006A6E63"/>
    <w:rsid w:val="009E0FCB"/>
    <w:rsid w:val="00D8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097C"/>
  <w15:chartTrackingRefBased/>
  <w15:docId w15:val="{0E35DB43-45A3-47A0-B087-092AA9DE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CDF"/>
    <w:pPr>
      <w:ind w:left="720"/>
      <w:contextualSpacing/>
    </w:pPr>
  </w:style>
  <w:style w:type="character" w:styleId="a4">
    <w:name w:val="Strong"/>
    <w:basedOn w:val="a0"/>
    <w:uiPriority w:val="22"/>
    <w:qFormat/>
    <w:rsid w:val="001C1C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35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2022-08-28T12:38:00Z</dcterms:created>
  <dcterms:modified xsi:type="dcterms:W3CDTF">2022-08-28T13:17:00Z</dcterms:modified>
</cp:coreProperties>
</file>