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677032" w14:textId="1088243D" w:rsidR="001A2753" w:rsidRDefault="001A2753">
      <w:pPr>
        <w:pStyle w:val="Title"/>
      </w:pPr>
      <w:r>
        <w:t>Title page</w:t>
      </w:r>
    </w:p>
    <w:p w14:paraId="09A77BB1" w14:textId="041B9AAD" w:rsidR="001A2753" w:rsidRPr="001A2753" w:rsidRDefault="001A2753" w:rsidP="001A2753">
      <w:pPr>
        <w:pStyle w:val="BodyText"/>
      </w:pPr>
    </w:p>
    <w:p w14:paraId="6B1EE7F3" w14:textId="796BA35F" w:rsidR="00AB58AE" w:rsidRDefault="00000000">
      <w:pPr>
        <w:pStyle w:val="Title"/>
      </w:pPr>
      <w:r>
        <w:t>Tree censuses of the Barro Colorado Island 50-ha plot, Panama, 1982–2023</w:t>
      </w:r>
    </w:p>
    <w:p w14:paraId="1BB542AD" w14:textId="75E39873" w:rsidR="00AB58AE" w:rsidRDefault="00000000">
      <w:pPr>
        <w:pStyle w:val="FirstParagraph"/>
      </w:pPr>
      <w:r>
        <w:t>David Mitre</w:t>
      </w:r>
      <w:r>
        <w:rPr>
          <w:vertAlign w:val="superscript"/>
        </w:rPr>
        <w:t>1</w:t>
      </w:r>
      <w:r>
        <w:t>, Rolando Pérez</w:t>
      </w:r>
      <w:r>
        <w:rPr>
          <w:vertAlign w:val="superscript"/>
        </w:rPr>
        <w:t>1</w:t>
      </w:r>
      <w:r>
        <w:t>, Salomón Aguilar</w:t>
      </w:r>
      <w:r>
        <w:rPr>
          <w:vertAlign w:val="superscript"/>
        </w:rPr>
        <w:t>1</w:t>
      </w:r>
      <w:r>
        <w:t>, Suzanne Lao</w:t>
      </w:r>
      <w:r>
        <w:rPr>
          <w:vertAlign w:val="superscript"/>
        </w:rPr>
        <w:t>1</w:t>
      </w:r>
      <w:r>
        <w:t>, Stuart J. Davies</w:t>
      </w:r>
      <w:r>
        <w:rPr>
          <w:vertAlign w:val="superscript"/>
        </w:rPr>
        <w:t>1</w:t>
      </w:r>
      <w:r>
        <w:t xml:space="preserve">, </w:t>
      </w:r>
      <w:r w:rsidR="001A2753">
        <w:t xml:space="preserve">and </w:t>
      </w:r>
      <w:r>
        <w:t>José A. Medina-Vega</w:t>
      </w:r>
      <w:r>
        <w:rPr>
          <w:vertAlign w:val="superscript"/>
        </w:rPr>
        <w:t>1</w:t>
      </w:r>
    </w:p>
    <w:p w14:paraId="13CBA1D2" w14:textId="77777777" w:rsidR="00AB58AE" w:rsidRDefault="00000000">
      <w:pPr>
        <w:pStyle w:val="BodyText"/>
      </w:pPr>
      <w:r>
        <w:rPr>
          <w:vertAlign w:val="superscript"/>
        </w:rPr>
        <w:t>1</w:t>
      </w:r>
      <w:r>
        <w:t xml:space="preserve"> Smithsonian Tropical Research Institute, Apartado 0843-03092, Balboa, Ancón, Republic of Panama</w:t>
      </w:r>
    </w:p>
    <w:p w14:paraId="060BA6E5" w14:textId="07AA8024" w:rsidR="00F16585" w:rsidRDefault="00000000">
      <w:pPr>
        <w:pStyle w:val="BodyText"/>
      </w:pPr>
      <w:r>
        <w:rPr>
          <w:b/>
          <w:bCs/>
        </w:rPr>
        <w:t>ORCID iDs</w:t>
      </w:r>
      <w:r>
        <w:br/>
        <w:t>David Mitre: https://orcid.org/</w:t>
      </w:r>
      <w:r>
        <w:rPr>
          <w:highlight w:val="yellow"/>
        </w:rPr>
        <w:t xml:space="preserve">                    </w:t>
      </w:r>
      <w:r>
        <w:br/>
        <w:t>Rolando Pérez: https://orcid.org/</w:t>
      </w:r>
      <w:r>
        <w:rPr>
          <w:highlight w:val="yellow"/>
        </w:rPr>
        <w:t xml:space="preserve">                    </w:t>
      </w:r>
      <w:r>
        <w:br/>
        <w:t>Salomón Aguilar: https://orcid.org/</w:t>
      </w:r>
      <w:r>
        <w:rPr>
          <w:highlight w:val="yellow"/>
        </w:rPr>
        <w:t xml:space="preserve">                    </w:t>
      </w:r>
      <w:r>
        <w:br/>
        <w:t>Suzanne Lao: https://orcid.org/</w:t>
      </w:r>
      <w:r>
        <w:rPr>
          <w:highlight w:val="yellow"/>
        </w:rPr>
        <w:t xml:space="preserve">                    </w:t>
      </w:r>
      <w:r>
        <w:br/>
        <w:t xml:space="preserve">Stuart J. Davies: </w:t>
      </w:r>
      <w:r w:rsidR="007A7F3C" w:rsidRPr="007A7F3C">
        <w:t>https://orcid.org/0000-0002-8596-7522</w:t>
      </w:r>
      <w:r>
        <w:br/>
        <w:t xml:space="preserve">José A. Medina-Vega: </w:t>
      </w:r>
      <w:r w:rsidR="007A7F3C" w:rsidRPr="007A7F3C">
        <w:t>https://orcid.org/0000-0001-5468-5605</w:t>
      </w:r>
      <w:r>
        <w:rPr>
          <w:highlight w:val="yellow"/>
        </w:rPr>
        <w:t xml:space="preserve">                </w:t>
      </w:r>
    </w:p>
    <w:p w14:paraId="080E5C1D" w14:textId="76189EB3" w:rsidR="00AB58AE" w:rsidRDefault="00000000">
      <w:pPr>
        <w:pStyle w:val="BodyText"/>
      </w:pPr>
      <w:r>
        <w:t>Corresponding author:</w:t>
      </w:r>
      <w:r w:rsidR="003151DD">
        <w:t xml:space="preserve"> José A. Medina-Vega, medinaja@si.edu</w:t>
      </w:r>
    </w:p>
    <w:p w14:paraId="29F06B80" w14:textId="77777777" w:rsidR="00AB58AE" w:rsidRDefault="00000000">
      <w:pPr>
        <w:pStyle w:val="Heading1"/>
      </w:pPr>
      <w:bookmarkStart w:id="0" w:name="_keywords"/>
      <w:r>
        <w:t>Keywords</w:t>
      </w:r>
      <w:bookmarkEnd w:id="0"/>
    </w:p>
    <w:p w14:paraId="0758D25D" w14:textId="77777777" w:rsidR="00AB58AE" w:rsidRDefault="00000000">
      <w:pPr>
        <w:pStyle w:val="FirstParagraph"/>
      </w:pPr>
      <w:r>
        <w:t>Barro Colorado Island; demography; forest dynamics plot; ForestGEO; long-term monitoring; Panama; tropical moist forest</w:t>
      </w:r>
    </w:p>
    <w:p w14:paraId="758AEA7C" w14:textId="77777777" w:rsidR="00AB58AE" w:rsidRDefault="00000000">
      <w:pPr>
        <w:pStyle w:val="Heading1"/>
      </w:pPr>
      <w:bookmarkStart w:id="1" w:name="_acknowledgments"/>
      <w:r>
        <w:t>Acknowledgments</w:t>
      </w:r>
      <w:bookmarkEnd w:id="1"/>
    </w:p>
    <w:p w14:paraId="6D5299CB" w14:textId="59112925" w:rsidR="00AB58AE" w:rsidRDefault="00000000">
      <w:pPr>
        <w:pStyle w:val="FirstParagraph"/>
      </w:pPr>
      <w:r>
        <w:rPr>
          <w:b/>
          <w:bCs/>
        </w:rPr>
        <w:t>Funding.</w:t>
      </w:r>
      <w:r>
        <w:t xml:space="preserve"> The Barro Colorado Island (BCI) forest dynamics research project was made possible by </w:t>
      </w:r>
      <w:commentRangeStart w:id="2"/>
      <w:r>
        <w:t>National Science Foundation grants to Stephen P. Hubbell</w:t>
      </w:r>
      <w:commentRangeEnd w:id="2"/>
      <w:r w:rsidR="00A43804">
        <w:rPr>
          <w:rStyle w:val="CommentReference"/>
          <w:sz w:val="22"/>
          <w:szCs w:val="22"/>
        </w:rPr>
        <w:commentReference w:id="2"/>
      </w:r>
      <w:r>
        <w:t>: DEB-0640386, DEB-0425651, DEB-0346488, DEB-0129874, DEB-</w:t>
      </w:r>
      <w:commentRangeStart w:id="3"/>
      <w:r>
        <w:t>00753102</w:t>
      </w:r>
      <w:commentRangeEnd w:id="3"/>
      <w:r w:rsidR="00A43804">
        <w:rPr>
          <w:rStyle w:val="CommentReference"/>
          <w:sz w:val="22"/>
          <w:szCs w:val="22"/>
        </w:rPr>
        <w:commentReference w:id="3"/>
      </w:r>
      <w:r>
        <w:t>, DEB-</w:t>
      </w:r>
      <w:commentRangeStart w:id="4"/>
      <w:r>
        <w:t>9909347</w:t>
      </w:r>
      <w:commentRangeEnd w:id="4"/>
      <w:r w:rsidR="00A43804">
        <w:rPr>
          <w:rStyle w:val="CommentReference"/>
          <w:sz w:val="22"/>
          <w:szCs w:val="22"/>
        </w:rPr>
        <w:commentReference w:id="4"/>
      </w:r>
      <w:r>
        <w:t xml:space="preserve">, DEB-9615226, DEB-9405933, </w:t>
      </w:r>
      <w:commentRangeStart w:id="5"/>
      <w:r>
        <w:t>DEB-9221033</w:t>
      </w:r>
      <w:commentRangeEnd w:id="5"/>
      <w:r w:rsidR="00A43804">
        <w:rPr>
          <w:rStyle w:val="CommentReference"/>
          <w:sz w:val="22"/>
          <w:szCs w:val="22"/>
        </w:rPr>
        <w:commentReference w:id="5"/>
      </w:r>
      <w:r>
        <w:t xml:space="preserve">, </w:t>
      </w:r>
      <w:commentRangeStart w:id="6"/>
      <w:r>
        <w:t>DEB-9100058</w:t>
      </w:r>
      <w:commentRangeEnd w:id="6"/>
      <w:r w:rsidR="00A43804">
        <w:rPr>
          <w:rStyle w:val="CommentReference"/>
          <w:sz w:val="22"/>
          <w:szCs w:val="22"/>
        </w:rPr>
        <w:commentReference w:id="6"/>
      </w:r>
      <w:r>
        <w:t>, DEB-8906869, DEB-8605042, DEB-8206992 and DEB-7922197</w:t>
      </w:r>
      <w:r w:rsidR="00CF4D55">
        <w:t xml:space="preserve">. </w:t>
      </w:r>
      <w:commentRangeStart w:id="7"/>
      <w:r w:rsidR="00A43804">
        <w:t xml:space="preserve">Since the 2015 </w:t>
      </w:r>
      <w:commentRangeEnd w:id="7"/>
      <w:r w:rsidR="00A43804">
        <w:rPr>
          <w:rStyle w:val="CommentReference"/>
          <w:sz w:val="22"/>
          <w:szCs w:val="22"/>
        </w:rPr>
        <w:commentReference w:id="7"/>
      </w:r>
      <w:r w:rsidR="00A43804">
        <w:t xml:space="preserve">census, the project’s primary funder has been the Smithsonian Institution, through the Smithsonian Tropical Research </w:t>
      </w:r>
      <w:r w:rsidR="0076633F">
        <w:t>Institute</w:t>
      </w:r>
      <w:r w:rsidR="00A43804">
        <w:t xml:space="preserve"> (STRI) and the Forest Global Earth Observatory (ForestGEO; formerly the Center for Tropical Forest </w:t>
      </w:r>
      <w:r w:rsidR="0076633F">
        <w:t>Science</w:t>
      </w:r>
      <w:r w:rsidR="00A43804">
        <w:t xml:space="preserve"> and the Smithsonian Institution Global Earth Observatories). </w:t>
      </w:r>
      <w:r w:rsidR="00CF4D55">
        <w:t xml:space="preserve">We acknowledge additional </w:t>
      </w:r>
      <w:r>
        <w:t xml:space="preserve">support from </w:t>
      </w:r>
      <w:commentRangeStart w:id="8"/>
      <w:r w:rsidR="00A43804">
        <w:t>the HSBC Climate Partnership</w:t>
      </w:r>
      <w:commentRangeEnd w:id="8"/>
      <w:r w:rsidR="00A43804">
        <w:rPr>
          <w:rStyle w:val="CommentReference"/>
          <w:sz w:val="22"/>
          <w:szCs w:val="22"/>
        </w:rPr>
        <w:commentReference w:id="8"/>
      </w:r>
      <w:r w:rsidR="00A43804">
        <w:t xml:space="preserve">, </w:t>
      </w:r>
      <w:r>
        <w:t xml:space="preserve">the John D. and Catherine T. MacArthur Foundation, the </w:t>
      </w:r>
      <w:r w:rsidR="00A43804">
        <w:t xml:space="preserve">Andrew W. </w:t>
      </w:r>
      <w:r>
        <w:t xml:space="preserve">Mellon Foundation, </w:t>
      </w:r>
      <w:commentRangeStart w:id="9"/>
      <w:r w:rsidR="00FF49A8">
        <w:t>the Frank H. Levinson Family Foundation</w:t>
      </w:r>
      <w:commentRangeEnd w:id="9"/>
      <w:r w:rsidR="00A43804">
        <w:rPr>
          <w:rStyle w:val="CommentReference"/>
          <w:sz w:val="22"/>
          <w:szCs w:val="22"/>
        </w:rPr>
        <w:commentReference w:id="9"/>
      </w:r>
      <w:r w:rsidR="00FF49A8">
        <w:t xml:space="preserve">, </w:t>
      </w:r>
      <w:r>
        <w:t>the Small World Institute Fund and numerous private individuals</w:t>
      </w:r>
      <w:r w:rsidR="00A43804">
        <w:t xml:space="preserve">. In its first two decades the project was also supported by the Smithsonian Scholarly Studies Program, the World Wildlife Fund, the Earthwatch Center for Field Studies, the National Geographic Society, the Geraldine R. Dodge </w:t>
      </w:r>
      <w:r w:rsidR="0076633F">
        <w:t>Foundation</w:t>
      </w:r>
      <w:r w:rsidR="00A43804">
        <w:t xml:space="preserve">, the W. Alton Jones Foundation, the Pew Charitable Trusts and the Guggenheim Foundation. The plot is part of ForestGEO, a global network of large-scale forest dynamics plots</w:t>
      </w:r>
      <w:r>
        <w:t>.</w:t>
      </w:r>
    </w:p>
    <w:p w14:paraId="14E2FF9A" w14:textId="77777777" w:rsidR="00AB58AE" w:rsidRDefault="00000000">
      <w:pPr>
        <w:pStyle w:val="BodyText"/>
      </w:pPr>
      <w:r>
        <w:rPr>
          <w:b/>
          <w:bCs/>
        </w:rPr>
        <w:t>Field stations, marine laboratories and related research institutions.</w:t>
      </w:r>
      <w:r>
        <w:t xml:space="preserve"> The data were collected in the Barro Colorado Nature Monument, Panama, at the Barro Colorado Island research station of the Smithsonian Tropical Research Institute (9.15° N, 79.85° W). We thank the Smithsonian Tropical Research Institute for logistical support.</w:t>
      </w:r>
    </w:p>
    <w:p w14:paraId="7B160E53" w14:textId="5D45F508" w:rsidR="00644792" w:rsidRDefault="00000000" w:rsidP="00644792">
      <w:pPr>
        <w:pStyle w:val="BodyText"/>
      </w:pPr>
      <w:r>
        <w:rPr>
          <w:b/>
          <w:bCs/>
        </w:rPr>
        <w:lastRenderedPageBreak/>
        <w:t>Additional acknowledgments.</w:t>
      </w:r>
      <w:r>
        <w:t xml:space="preserve"> We thank </w:t>
      </w:r>
      <w:r w:rsidR="00A43804">
        <w:t xml:space="preserve">Robin B. Foster, </w:t>
      </w:r>
      <w:r w:rsidR="0076633F">
        <w:t>who</w:t>
      </w:r>
      <w:r w:rsidR="00A43804">
        <w:t xml:space="preserve"> co-founded the plot with Stephen P. Hubbell and led its botany </w:t>
      </w:r>
      <w:r w:rsidR="0076633F">
        <w:t>through</w:t>
      </w:r>
      <w:r w:rsidR="00A43804">
        <w:t xml:space="preserve"> the first censuses; Richard Condit, data manager from 1991 and head of the project from 1995 to 2010</w:t>
      </w:r>
      <w:commentRangeStart w:id="10"/>
      <w:r w:rsidR="00A43804">
        <w:t xml:space="preserve">; Steven Dolins for database design; and Allen Herre, Jeff Klahn, Sue Williams and Zenith Batista, who led field work in the 1980s and the 1990 census. </w:t>
      </w:r>
      <w:commentRangeEnd w:id="10"/>
      <w:r w:rsidR="0076633F">
        <w:rPr>
          <w:rStyle w:val="CommentReference"/>
          <w:sz w:val="22"/>
          <w:szCs w:val="22"/>
        </w:rPr>
        <w:commentReference w:id="10"/>
      </w:r>
      <w:r w:rsidR="00A43804">
        <w:t xml:space="preserve">We also thank </w:t>
      </w:r>
      <w:r>
        <w:t xml:space="preserve">the hundreds of field assistants, botanists and data managers who have censused the plot since </w:t>
      </w:r>
      <w:r w:rsidR="00193045">
        <w:t>its establishment</w:t>
      </w:r>
      <w:r>
        <w:t xml:space="preserve">, and the </w:t>
      </w:r>
      <w:r w:rsidR="0076633F">
        <w:t xml:space="preserve">field </w:t>
      </w:r>
      <w:r>
        <w:t xml:space="preserve">team </w:t>
      </w:r>
      <w:r w:rsidR="0076633F">
        <w:t xml:space="preserve">that completed </w:t>
      </w:r>
      <w:r>
        <w:t xml:space="preserve">the </w:t>
      </w:r>
      <w:r w:rsidR="0076633F">
        <w:t xml:space="preserve">ninth census in </w:t>
      </w:r>
      <w:r>
        <w:t xml:space="preserve">2022–2023: </w:t>
      </w:r>
      <w:bookmarkStart w:id="11" w:name="_2675d79b2de6354bb46d88086d542d4809e06c5"/>
      <w:r w:rsidR="00644792">
        <w:t xml:space="preserve">Richar  Martínez, Victor Rojas, Luis Navarro, Luis Alfredo Martínez, Roni Saenz, Guillermo Aguilar, Luis Aguilar, Biancolini Castro, Anayansi Cerezo, Luis Cedeño, Tamara Ubarte, Reina Bermudez, </w:t>
      </w:r>
      <w:r w:rsidR="006C030D">
        <w:t xml:space="preserve">and </w:t>
      </w:r>
      <w:r w:rsidR="00644792">
        <w:t>Eliecer Alvarado</w:t>
      </w:r>
      <w:r w:rsidR="006C030D">
        <w:t>.</w:t>
      </w:r>
    </w:p>
    <w:p w14:paraId="07202082" w14:textId="6AAC9D29" w:rsidR="00AB58AE" w:rsidRPr="00644792" w:rsidRDefault="00000000" w:rsidP="00644792">
      <w:pPr>
        <w:pStyle w:val="Heading1"/>
      </w:pPr>
      <w:r w:rsidRPr="00644792">
        <w:rPr>
          <w:b/>
          <w:bCs/>
        </w:rPr>
        <w:t>Contributor Roles</w:t>
      </w:r>
      <w:bookmarkEnd w:id="11"/>
    </w:p>
    <w:p w14:paraId="768BDE96" w14:textId="0E643867" w:rsidR="00AB58AE" w:rsidRDefault="00000000">
      <w:pPr>
        <w:pStyle w:val="FirstParagraph"/>
      </w:pPr>
      <w:r>
        <w:t xml:space="preserve">David Mitre: </w:t>
      </w:r>
      <w:r w:rsidR="00A307FD">
        <w:t xml:space="preserve">project management, </w:t>
      </w:r>
      <w:r>
        <w:t>investigation, data curation. Rolando Pérez and Salomón Aguilar: investigation, data curation (taxonomy). Suzanne Lao: data curation. Stuart J. Davies: funding acquisition, project administration, resources, supervision. José A. Medina-Vega: methodology (stem reconstruction), data curation (R tables), validation, writing – original draft. All authors: writing – review and editing.</w:t>
      </w:r>
    </w:p>
    <w:p w14:paraId="6EE705A5" w14:textId="77777777" w:rsidR="00AB58AE" w:rsidRDefault="00000000">
      <w:pPr>
        <w:pStyle w:val="Heading1"/>
      </w:pPr>
      <w:bookmarkStart w:id="12" w:name="_48d2f0e70be279cda6cc913f23aa2249fd7749d"/>
      <w:r>
        <w:t>Conflict of Interest</w:t>
      </w:r>
      <w:bookmarkEnd w:id="12"/>
    </w:p>
    <w:p w14:paraId="2FD06D06" w14:textId="2A18B381" w:rsidR="00AB58AE" w:rsidRDefault="00000000">
      <w:pPr>
        <w:pStyle w:val="FirstParagraph"/>
      </w:pPr>
      <w:r>
        <w:t>The authors declare no conflicts of interest.</w:t>
      </w:r>
    </w:p>
    <w:p w14:paraId="69F3502D" w14:textId="77777777" w:rsidR="00AB58AE" w:rsidRDefault="00000000">
      <w:pPr>
        <w:pStyle w:val="Heading1"/>
      </w:pPr>
      <w:bookmarkStart w:id="13" w:name="_abstract"/>
      <w:r>
        <w:t>Abstract</w:t>
      </w:r>
      <w:bookmarkEnd w:id="13"/>
    </w:p>
    <w:p w14:paraId="3657B5C0" w14:textId="6C2FBFE7" w:rsidR="00AB58AE" w:rsidRDefault="00000000">
      <w:pPr>
        <w:pStyle w:val="FirstParagraph"/>
      </w:pPr>
      <w:r>
        <w:t xml:space="preserve">The 50-ha Forest Dynamics Plot on Barro Colorado Island (BCI), Panama, is the oldest plot of the Forest Global Earth Observatory (ForestGEO)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describing</w:t>
      </w:r>
      <w:r w:rsidR="00B44592">
        <w:t xml:space="preserve"> the fate of</w:t>
      </w:r>
      <w:r>
        <w:t xml:space="preserve"> 460,211 </w:t>
      </w:r>
      <w:r w:rsidR="00B44592">
        <w:t>individuals from</w:t>
      </w:r>
      <w:r>
        <w:t xml:space="preserve"> 327 taxa in 62 families. </w:t>
      </w:r>
      <w:r w:rsidR="001A60F4">
        <w:t xml:space="preserve">In the most recent census (2022–2023), the plot held 203,489 living individuals with a stem at 1.3 m (</w:t>
      </w:r>
      <w:r>
        <w:t xml:space="preserve"/>
      </w:r>
      <w:r w:rsidR="001A60F4">
        <w:t xml:space="preserve"/>
      </w:r>
      <w:r>
        <w:t xml:space="preserve"/>
      </w:r>
      <w:r w:rsidR="001A60F4">
        <w:t xml:space="preserve"/>
      </w:r>
      <w:r>
        <w:t xml:space="preserve"/>
      </w:r>
      <w:r w:rsidR="001A60F4">
        <w:t xml:space="preserve"/>
      </w:r>
      <w:r>
        <w:t xml:space="preserve">4,070 ha</w:t>
      </w:r>
      <w:r>
        <w:rPr>
          <w:vertAlign w:val="superscript"/>
        </w:rPr>
        <w:t>−1</w:t>
      </w:r>
      <w:r w:rsidR="0053745E">
        <w:t xml:space="preserve">, </w:t>
      </w:r>
      <w:r w:rsidR="001A60F4">
        <w:t>plot mean across 1,250 20 by 20 m quadrats</w:t>
      </w:r>
      <w:r w:rsidR="0053745E">
        <w:t xml:space="preserve">; </w:t>
      </w:r>
      <w:r w:rsidR="001A60F4">
        <w:t>4,023-4,114</w:t>
      </w:r>
      <w:r w:rsidR="0053745E">
        <w:t xml:space="preserve">, </w:t>
      </w:r>
      <w:r w:rsidR="001A60F4">
        <w:t>95% highest-density interval of the bootstrap means)</w:t>
      </w:r>
      <w:r>
        <w:t xml:space="preserve"> of 300 species, 179 genera and 59 families, and a basal area of 31.35 m</w:t>
      </w:r>
      <w:r>
        <w:rPr>
          <w:vertAlign w:val="superscript"/>
        </w:rPr>
        <w:t>2</w:t>
      </w:r>
      <w:r>
        <w:t xml:space="preserve"> ha</w:t>
      </w:r>
      <w:r>
        <w:rPr>
          <w:vertAlign w:val="superscript"/>
        </w:rPr>
        <w:t>−1</w:t>
      </w:r>
      <w:r w:rsidR="0053745E">
        <w:t xml:space="preserve"> (95% HDI 30.38-32.37)</w:t>
      </w:r>
      <w:r>
        <w:t xml:space="preserve"> from the diameters as recorded. Abundance was uneven: 212 species (70.7%) </w:t>
      </w:r>
      <w:r w:rsidR="00AA23A8">
        <w:t>fell below half the community-wide mean abundance (&lt; 339 individuals)</w:t>
      </w:r>
      <w:r>
        <w:t xml:space="preserve">, </w:t>
      </w:r>
      <w:r w:rsidR="00AA23A8">
        <w:t xml:space="preserve">of which </w:t>
      </w:r>
      <w:r>
        <w:t>67</w:t>
      </w:r>
      <w:r w:rsidR="00AA23A8">
        <w:t xml:space="preserve"> (22.3% of all species)</w:t>
      </w:r>
      <w:r>
        <w:t xml:space="preserve"> </w:t>
      </w:r>
      <w:r w:rsidR="00AA23A8">
        <w:t xml:space="preserve">were represented by </w:t>
      </w:r>
      <w:r>
        <w:t>ten or fewer</w:t>
      </w:r>
      <w:r w:rsidR="00AA23A8">
        <w:t xml:space="preserve"> individuals</w:t>
      </w:r>
      <w:r>
        <w:t xml:space="preserve"> and 22 </w:t>
      </w:r>
      <w:r w:rsidR="00AA23A8">
        <w:t xml:space="preserve">occurred as </w:t>
      </w:r>
      <w:r>
        <w:t xml:space="preserve">singletons. </w:t>
      </w:r>
      <w:r w:rsidR="00DB127E">
        <w:t xml:space="preserve">The </w:t>
      </w:r>
      <w:r w:rsidR="005C095B" w:rsidRPr="00B13733">
        <w:t xml:space="preserve">three most abundant species by individual count were </w:t>
      </w:r>
      <w:r w:rsidR="005C095B" w:rsidRPr="00DB127E">
        <w:rPr>
          <w:i/>
          <w:iCs/>
        </w:rPr>
        <w:t>Pombalia prunifolia</w:t>
      </w:r>
      <w:r w:rsidR="005C095B" w:rsidRPr="00B13733">
        <w:t xml:space="preserve"> (12.15% of all individuals), </w:t>
      </w:r>
      <w:r w:rsidR="005C095B" w:rsidRPr="00DB127E">
        <w:rPr>
          <w:i/>
          <w:iCs/>
        </w:rPr>
        <w:t>Faramea occidentalis</w:t>
      </w:r>
      <w:r w:rsidR="005C095B" w:rsidRPr="00B13733">
        <w:t xml:space="preserve"> (10.62%), and </w:t>
      </w:r>
      <w:r w:rsidR="005C095B" w:rsidRPr="00DB127E">
        <w:rPr>
          <w:i/>
          <w:iCs/>
        </w:rPr>
        <w:t>Trichilia tuberculata</w:t>
      </w:r>
      <w:r w:rsidR="005C095B" w:rsidRPr="00B13733">
        <w:t xml:space="preserve"> (4.95%). The greatest contributions to stand basal area were made by </w:t>
      </w:r>
      <w:r w:rsidR="005C095B" w:rsidRPr="00DB127E">
        <w:rPr>
          <w:i/>
          <w:iCs/>
        </w:rPr>
        <w:t>Quararibea stenophylla</w:t>
      </w:r>
      <w:r w:rsidR="005C095B" w:rsidRPr="00B13733">
        <w:t xml:space="preserve"> (</w:t>
      </w:r>
      <w:r w:rsidR="00F524A3">
        <w:t>5</w:t>
      </w:r>
      <w:r w:rsidR="005C095B" w:rsidRPr="00B13733">
        <w:t>.</w:t>
      </w:r>
      <w:r w:rsidR="00F524A3">
        <w:t>48</w:t>
      </w:r>
      <w:r w:rsidR="005C095B" w:rsidRPr="00B13733">
        <w:t xml:space="preserve">% of total </w:t>
      </w:r>
      <w:r w:rsidR="00F524A3">
        <w:t xml:space="preserve">plot-level </w:t>
      </w:r>
      <w:r w:rsidR="005C095B" w:rsidRPr="00B13733">
        <w:t xml:space="preserve">basal area), </w:t>
      </w:r>
      <w:r w:rsidR="005C095B" w:rsidRPr="00F524A3">
        <w:rPr>
          <w:i/>
          <w:iCs/>
        </w:rPr>
        <w:t>Prioria copaifera</w:t>
      </w:r>
      <w:r w:rsidR="005C095B" w:rsidRPr="00B13733">
        <w:t xml:space="preserve"> (5.</w:t>
      </w:r>
      <w:r w:rsidR="00F524A3">
        <w:t>1</w:t>
      </w:r>
      <w:r w:rsidR="005C095B" w:rsidRPr="00B13733">
        <w:t xml:space="preserve">%), and </w:t>
      </w:r>
      <w:r w:rsidR="005C095B" w:rsidRPr="00F524A3">
        <w:rPr>
          <w:i/>
          <w:iCs/>
        </w:rPr>
        <w:t>Alseis blackiana</w:t>
      </w:r>
      <w:r w:rsidR="005C095B" w:rsidRPr="00B13733">
        <w:t xml:space="preserve"> (</w:t>
      </w:r>
      <w:r w:rsidR="00F524A3">
        <w:t>5.1</w:t>
      </w:r>
      <w:r w:rsidR="005C095B" w:rsidRPr="00B13733">
        <w:t>%). At the family level, the most individual-rich families were Rubiaceae (</w:t>
      </w:r>
      <w:r w:rsidR="007376C9" w:rsidRPr="00044162">
        <w:t>18 genera</w:t>
      </w:r>
      <w:r w:rsidR="007376C9">
        <w:t xml:space="preserve">, </w:t>
      </w:r>
      <w:r w:rsidR="005C095B" w:rsidRPr="00B13733">
        <w:t>29 specie</w:t>
      </w:r>
      <w:r w:rsidR="007376C9">
        <w:t>s</w:t>
      </w:r>
      <w:r w:rsidR="005C095B" w:rsidRPr="00B13733">
        <w:t xml:space="preserve">; 18.46% of all </w:t>
      </w:r>
      <w:r w:rsidR="007376C9">
        <w:t xml:space="preserve">standing </w:t>
      </w:r>
      <w:r w:rsidR="005C095B" w:rsidRPr="00B13733">
        <w:t>individuals), Violaceae (</w:t>
      </w:r>
      <w:r w:rsidR="00541154" w:rsidRPr="00044162">
        <w:t>2 genera</w:t>
      </w:r>
      <w:r w:rsidR="00541154">
        <w:t xml:space="preserve">, </w:t>
      </w:r>
      <w:r w:rsidR="005C095B" w:rsidRPr="00B13733">
        <w:t>2 species; 13.26%), and Fabaceae (19 genera</w:t>
      </w:r>
      <w:r w:rsidR="00C26B2B">
        <w:t xml:space="preserve">, </w:t>
      </w:r>
      <w:r w:rsidR="00C26B2B" w:rsidRPr="00044162">
        <w:t>36 species</w:t>
      </w:r>
      <w:r w:rsidR="005C095B" w:rsidRPr="00B13733">
        <w:t>; 8.42%). The families contributing most to stand basal area were Malvaceae (</w:t>
      </w:r>
      <w:r w:rsidR="00C26B2B" w:rsidRPr="00044162">
        <w:t>15 genera</w:t>
      </w:r>
      <w:r w:rsidR="00C26B2B">
        <w:t xml:space="preserve">, </w:t>
      </w:r>
      <w:r w:rsidR="005C095B" w:rsidRPr="00B13733">
        <w:t>16 specie</w:t>
      </w:r>
      <w:r w:rsidR="00C26B2B">
        <w:t>s</w:t>
      </w:r>
      <w:r w:rsidR="005C095B" w:rsidRPr="00B13733">
        <w:t>; 1</w:t>
      </w:r>
      <w:r w:rsidR="00C26B2B">
        <w:t>5</w:t>
      </w:r>
      <w:r w:rsidR="005C095B" w:rsidRPr="00B13733">
        <w:t>.4</w:t>
      </w:r>
      <w:r w:rsidR="00C26B2B">
        <w:t>1</w:t>
      </w:r>
      <w:r w:rsidR="005C095B" w:rsidRPr="00B13733">
        <w:t xml:space="preserve">% of total </w:t>
      </w:r>
      <w:r w:rsidR="00C26B2B">
        <w:t xml:space="preserve">plot-level </w:t>
      </w:r>
      <w:r w:rsidR="005C095B" w:rsidRPr="00B13733">
        <w:t>basal area), Fabaceae (11.</w:t>
      </w:r>
      <w:r w:rsidR="00C26B2B">
        <w:t>31</w:t>
      </w:r>
      <w:r w:rsidR="005C095B" w:rsidRPr="00B13733">
        <w:t>%), and Rubiaceae (</w:t>
      </w:r>
      <w:r w:rsidR="00C26B2B">
        <w:t>10.17</w:t>
      </w:r>
      <w:r w:rsidR="005C095B" w:rsidRPr="00B13733">
        <w:t>%). Fabaceae and Rubiaceae were notable for ranking highly in both metrics, while Violaceae dominated by individual count despite negligible basal area (0.9</w:t>
      </w:r>
      <w:r w:rsidR="00B70EE0">
        <w:t>9</w:t>
      </w:r>
      <w:r w:rsidR="005C095B" w:rsidRPr="00B13733">
        <w:t>%), and Malvaceae dominated basal area with comparatively few individuals (1.82%</w:t>
      </w:r>
      <w:r w:rsidR="00B70EE0">
        <w:t xml:space="preserve"> of all individuals</w:t>
      </w:r>
      <w:r w:rsidR="005C095B" w:rsidRPr="00B13733">
        <w:t>).</w:t>
      </w:r>
      <w:r w:rsidRPr="00DB127E">
        <w:t xml:space="preserve"> </w:t>
      </w:r>
      <w:r>
        <w:t>Th</w:t>
      </w:r>
      <w:r w:rsidR="00BF5AC0">
        <w:t>is long-term</w:t>
      </w:r>
      <w:r>
        <w:t xml:space="preserve"> data</w:t>
      </w:r>
      <w:r w:rsidR="00BF5AC0">
        <w:t>set</w:t>
      </w:r>
      <w:r>
        <w:t xml:space="preserve"> support</w:t>
      </w:r>
      <w:r w:rsidR="00BF5AC0">
        <w:t>s</w:t>
      </w:r>
      <w:r>
        <w:t xml:space="preserve"> studies of tree demography and species coexistence, </w:t>
      </w:r>
      <w:r w:rsidR="00BF5AC0">
        <w:t xml:space="preserve">of </w:t>
      </w:r>
      <w:r>
        <w:t xml:space="preserve">biomass and carbon dynamics, </w:t>
      </w:r>
      <w:r w:rsidR="00184C2C">
        <w:t xml:space="preserve">and </w:t>
      </w:r>
      <w:r>
        <w:t>of forest responses to climate.</w:t>
      </w:r>
    </w:p>
    <w:p w14:paraId="5DE453B3" w14:textId="77777777" w:rsidR="00AB58AE" w:rsidRDefault="00000000">
      <w:pPr>
        <w:pStyle w:val="Heading1"/>
      </w:pPr>
      <w:bookmarkStart w:id="14" w:name="_overview"/>
      <w:r>
        <w:lastRenderedPageBreak/>
        <w:t>Overview</w:t>
      </w:r>
      <w:bookmarkEnd w:id="14"/>
    </w:p>
    <w:p w14:paraId="1B6BE8C6" w14:textId="7B63D9E2" w:rsidR="00AB58AE" w:rsidRDefault="00000000">
      <w:pPr>
        <w:pStyle w:val="FirstParagraph"/>
      </w:pPr>
      <w:r>
        <w:t>Large forest dynamics plots, in which every stem above a small size is mapped, identified and remeasured at regular intervals, underpin much of what is known about tropical forest diversity and dynamics</w:t>
      </w:r>
      <w:r w:rsidR="00F1571E">
        <w:t xml:space="preserve"> </w:t>
      </w:r>
      <w:r w:rsidR="00F1571E">
        <w:fldChar w:fldCharType="begin"/>
      </w:r>
      <w:r w:rsidR="00F1571E">
        <w:instrText xml:space="preserve"> ADDIN ZOTERO_ITEM CSL_CITATION {"citationID":"GH32oNq1","properties":{"unsorted":false,"formattedCitation":"(Anderson\\uc0\\u8208{}Teixeira {\\i{}et al.} 2015; Davies {\\i{}et al.} 2021)","plainCitation":"(Anderson</w:instrText>
      </w:r>
      <w:r w:rsidR="00F1571E">
        <w:rPr>
          <w:rFonts w:ascii="Cambria Math" w:hAnsi="Cambria Math" w:cs="Cambria Math"/>
        </w:rPr>
        <w:instrText>‐</w:instrText>
      </w:r>
      <w:r w:rsidR="00F1571E">
        <w:instrText>Teixeira et al. 2015; Davies et al. 2021)","noteIndex":0},"citationItems":[{"id":4375,"uris":["http://zotero.org/users/7777225/items/3UUQLYJS"],"itemData":{"id":4375,"type":"article-journal","abstract":"Abstract\n            \n              Global change is impacting forests worldwide, threatening biodiversity and ecosystem services including climate regulation. Understanding how forests respond is critical to forest conservation and climate protection. This review describes an international network of 59 long</w:instrText>
      </w:r>
      <w:r w:rsidR="00F1571E">
        <w:rPr>
          <w:rFonts w:ascii="Cambria Math" w:hAnsi="Cambria Math" w:cs="Cambria Math"/>
        </w:rPr>
        <w:instrText>‐</w:instrText>
      </w:r>
      <w:r w:rsidR="00F1571E">
        <w:instrText xml:space="preserve">term forest dynamics research sites (\n              CTFS\n              </w:instrText>
      </w:r>
      <w:r w:rsidR="00F1571E">
        <w:rPr>
          <w:rFonts w:ascii="Cambria Math" w:hAnsi="Cambria Math" w:cs="Cambria Math"/>
        </w:rPr>
        <w:instrText>‐</w:instrText>
      </w:r>
      <w:r w:rsidR="00F1571E">
        <w:instrText xml:space="preserve">Forest\n              GEO\n              ) useful for characterizing forest responses to global change. Within very large plots (median size 25 ha), all stems ≥1 cm diameter are identified to species, mapped, and regularly recensused according to standardized protocols.\n              CTFS\n              </w:instrText>
      </w:r>
      <w:r w:rsidR="00F1571E">
        <w:rPr>
          <w:rFonts w:ascii="Cambria Math" w:hAnsi="Cambria Math" w:cs="Cambria Math"/>
        </w:rPr>
        <w:instrText>‐</w:instrText>
      </w:r>
      <w:r w:rsidR="00F1571E">
        <w:instrText xml:space="preserve">Forest\n              GEO\n              spans 25°S–61°N latitude, is generally representative of the range of bioclimatic, edaphic, and topographic conditions experienced by forests worldwide, and is the only forest monitoring network that applies a standardized protocol to each of the world's major forest biomes. Supplementary standardized measurements at subsets of the sites provide additional information on plants, animals, and ecosystem and environmental variables.\n              CTFS\n              </w:instrText>
      </w:r>
      <w:r w:rsidR="00F1571E">
        <w:rPr>
          <w:rFonts w:ascii="Cambria Math" w:hAnsi="Cambria Math" w:cs="Cambria Math"/>
        </w:rPr>
        <w:instrText>‐</w:instrText>
      </w:r>
      <w:r w:rsidR="00F1571E">
        <w:instrText xml:space="preserve">Forest\n              GEO\n              sites are experiencing multifaceted anthropogenic global change pressures including warming (average 0.61 °C), changes in precipitation (up to ±30% change), atmospheric deposition of nitrogen and sulfur compounds (up to 3.8 g N m\n              −2\n               yr\n              −1\n              and 3.1 g S m\n              −2\n               yr\n              −1\n              ), and forest fragmentation in the surrounding landscape (up to 88% reduced tree cover within 5 km). The broad suite of measurements made at\n              CTFS\n              </w:instrText>
      </w:r>
      <w:r w:rsidR="00F1571E">
        <w:rPr>
          <w:rFonts w:ascii="Cambria Math" w:hAnsi="Cambria Math" w:cs="Cambria Math"/>
        </w:rPr>
        <w:instrText>‐</w:instrText>
      </w:r>
      <w:r w:rsidR="00F1571E">
        <w:instrText xml:space="preserve">Forest\n              GEO\n              sites makes it possible to investigate the complex ways in which global change is impacting forest dynamics. Ongoing research across the\n              CTFS\n              </w:instrText>
      </w:r>
      <w:r w:rsidR="00F1571E">
        <w:rPr>
          <w:rFonts w:ascii="Cambria Math" w:hAnsi="Cambria Math" w:cs="Cambria Math"/>
        </w:rPr>
        <w:instrText>‐</w:instrText>
      </w:r>
      <w:r w:rsidR="00F1571E">
        <w:instrText>Forest\n              GEO\n              network is yielding insights into how and why the forests are changing, and continued monitoring will provide vital contributions to understanding worldwide forest diversity and dynamics in an era of global change.","citation-key":"anderson-teixeiraCTFSForestGEOWorldwideNetwork2015","container-title":"Global Change Biology","DOI":"10.1111/gcb.12712","ISSN":"1354-1013, 1365-2486","issue":"2","journalAbbreviation":"Glob. Change Biol.","language":"en","license":"http://onlinelibrary.wiley.com/termsAndConditions#vor","page":"528-549","source":"DOI.org (Crossref)","title":"CTFS</w:instrText>
      </w:r>
      <w:r w:rsidR="00F1571E">
        <w:rPr>
          <w:rFonts w:ascii="Cambria Math" w:hAnsi="Cambria Math" w:cs="Cambria Math"/>
        </w:rPr>
        <w:instrText>‐</w:instrText>
      </w:r>
      <w:r w:rsidR="00F1571E">
        <w:instrText>ForestGEO: a worldwide network monitoring forests in an era of global change","title-short":"CTFS</w:instrText>
      </w:r>
      <w:r w:rsidR="00F1571E">
        <w:rPr>
          <w:rFonts w:ascii="Cambria Math" w:hAnsi="Cambria Math" w:cs="Cambria Math"/>
        </w:rPr>
        <w:instrText>‐</w:instrText>
      </w:r>
      <w:r w:rsidR="00F1571E">
        <w:instrText>ForestGEO","volume":"21","author":[{"family":"Anderson</w:instrText>
      </w:r>
      <w:r w:rsidR="00F1571E">
        <w:rPr>
          <w:rFonts w:ascii="Cambria Math" w:hAnsi="Cambria Math" w:cs="Cambria Math"/>
        </w:rPr>
        <w:instrText>‐</w:instrText>
      </w:r>
      <w:r w:rsidR="00F1571E">
        <w:instrText>Teixeira","given":"Kristina J."},{"family":"Davies","given":"Stuart J."},{"family":"Bennett","given":"Amy C."},{"family":"Gonzalez</w:instrText>
      </w:r>
      <w:r w:rsidR="00F1571E">
        <w:rPr>
          <w:rFonts w:ascii="Cambria Math" w:hAnsi="Cambria Math" w:cs="Cambria Math"/>
        </w:rPr>
        <w:instrText>‐</w:instrText>
      </w:r>
      <w:r w:rsidR="00F1571E">
        <w:instrText>Akre","given":"Erika B."},{"family":"Muller</w:instrText>
      </w:r>
      <w:r w:rsidR="00F1571E">
        <w:rPr>
          <w:rFonts w:ascii="Cambria Math" w:hAnsi="Cambria Math" w:cs="Cambria Math"/>
        </w:rPr>
        <w:instrText>‐</w:instrText>
      </w:r>
      <w:r w:rsidR="00F1571E">
        <w:instrText>Landau","given":"Helene C."},{"family":"Joseph Wright","given":"S."},{"family":"Abu Salim","given":"Kamariah"},{"family":"Almeyda Zambrano","given":"Angélica M."},{"family":"Alonso","given":"Alfonso"},{"family":"Baltzer","given":"Jennifer L."},{"family":"Basset","given":"Yves"},{"family":"Bourg","given":"Norman A."},{"family":"Broadbent","given":"Eben N."},{"family":"Brockelman","given":"Warren Y."},{"family":"Bunyavejchewin","given":"Sarayudh"},{"family":"Burslem","given":"David F. R. P."},{"family":"Butt","given":"Nathalie"},{"family":"Cao","given":"Min"},{"family":"Cardenas","given":"Dairon"},{"family":"Chuyong","given":"George B."},{"family":"Clay","given":"Keith"},{"family":"Cordell","given":"Susan"},{"family":"Dattaraja","given":"Handanakere S."},{"family":"Deng","given":"Xiaobao"},{"family":"Detto","given":"Matteo"},{"family":"Du","given":"Xiaojun"},{"family":"Duque","given":"Alvaro"},{"family":"Erikson","given":"David L."},{"family":"Ewango","given":"Corneille E.N."},{"family":"Fischer","given":"Gunter A."},{"family":"Fletcher","given":"Christine"},{"family":"Foster","given":"Robin B."},{"family":"Giardina","given":"Christian P."},{"family":"Gilbert","given":"Gregory S."},{"family":"Gunatilleke","given":"Nimal"},{"family":"Gunatilleke","given":"Savitri"},{"family":"Hao","given":"Zhanqing"},{"family":"Hargrove","given":"William W."},{"family":"Hart","given":"Terese B."},{"family":"Hau","given":"Billy C.H."},{"family":"He","given":"Fangliang"},{"family":"Hoffman","given":"Forrest M."},{"family":"Howe","given":"Robert W."},{"family":"Hubbell","given":"Stephen P."},{"family":"Inman</w:instrText>
      </w:r>
      <w:r w:rsidR="00F1571E">
        <w:rPr>
          <w:rFonts w:ascii="Cambria Math" w:hAnsi="Cambria Math" w:cs="Cambria Math"/>
        </w:rPr>
        <w:instrText>‐</w:instrText>
      </w:r>
      <w:r w:rsidR="00F1571E">
        <w:instrText>Narahari","given":"Faith M."},{"family":"Jansen","given":"Patrick A."},{"family":"Jiang","given":"Mingxi"},{"family":"Johnson","given":"Daniel J."},{"family":"Kanzaki","given":"Mamoru"},{"family":"Kassim","given":"Abdul Rahman"},{"family":"Kenfack","given":"David"},{"family":"Kibet","given":"Staline"},{"family":"Kinnaird","given":"Margaret F."},{"family":"Korte","given":"Lisa"},{"family":"Kral","given":"Kamil"},{"family":"Kumar","given":"Jitendra"},{"family":"Larson","given":"Andrew J."},{"family":"Li","given":"Yide"},{"family":"Li","given":"Xiankun"},{"family":"Liu","given":"Shirong"},{"family":"Lum","given":"Shawn K.Y."},{"family":"Lutz","given":"James A."},{"family":"Ma","given":"Keping"},{"family":"Maddalena","given":"Damian M."},{"family":"Makana","given":"Jean</w:instrText>
      </w:r>
      <w:r w:rsidR="00F1571E">
        <w:rPr>
          <w:rFonts w:ascii="Cambria Math" w:hAnsi="Cambria Math" w:cs="Cambria Math"/>
        </w:rPr>
        <w:instrText>‐</w:instrText>
      </w:r>
      <w:r w:rsidR="00F1571E">
        <w:instrText>Remy"},{"family":"Malhi","given":"Yadvinder"},{"family":"Marthews","given":"Toby"},{"family":"Mat Serudin","given":"Rafizah"},{"family":"McMahon","given":"Sean M."},{"family":"McShea","given":"William J."},{"family":"Memiaghe","given":"Hervé R."},{"family":"Mi","given":"Xiangcheng"},{"family":"Mizuno","given":"Takashi"},{"family":"Morecroft","given":"Michael"},{"family":"Myers","given":"Jonathan A."},{"family":"Novotny","given":"Vojtech"},{"family":"De Oliveira","given":"Alexandre A."},{"family":"Ong","given":"Perry S."},{"family":"Orwig","given":"David A."},{"family":"Ostertag","given":"Rebecca"},{"family":"Den Ouden","given":"Jan"},{"family":"Parker","given":"Geoffrey G."},{"family":"Phillips","given":"Richard P."},{"family":"Sack","given":"Lawren"},{"family":"Sainge","given":"Moses N."},{"family":"Sang","given":"Weiguo"},{"family":"Sri</w:instrText>
      </w:r>
      <w:r w:rsidR="00F1571E">
        <w:rPr>
          <w:rFonts w:ascii="Cambria Math" w:hAnsi="Cambria Math" w:cs="Cambria Math"/>
        </w:rPr>
        <w:instrText>‐</w:instrText>
      </w:r>
      <w:r w:rsidR="00F1571E">
        <w:instrText>ngernyuang","given":"Kriangsak"},{"family":"Sukumar","given":"Raman"},{"family":"Sun","given":"I</w:instrText>
      </w:r>
      <w:r w:rsidR="00F1571E">
        <w:rPr>
          <w:rFonts w:ascii="Cambria Math" w:hAnsi="Cambria Math" w:cs="Cambria Math"/>
        </w:rPr>
        <w:instrText>‐</w:instrText>
      </w:r>
      <w:r w:rsidR="00F1571E">
        <w:instrText xml:space="preserve">Fang"},{"family":"Sungpalee","given":"Witchaphart"},{"family":"Suresh","given":"Hebbalalu Sathyanarayana"},{"family":"Tan","given":"Sylvester"},{"family":"Thomas","given":"Sean C."},{"family":"Thomas","given":"Duncan W."},{"family":"Thompson","given":"Jill"},{"family":"Turner","given":"Benjamin L."},{"family":"Uriarte","given":"Maria"},{"family":"Valencia","given":"Renato"},{"family":"Vallejo","given":"Marta I."},{"family":"Vicentini","given":"Alberto"},{"family":"Vrška","given":"Tomáš"},{"family":"Wang","given":"Xihua"},{"family":"Wang","given":"Xugao"},{"family":"Weiblen","given":"George"},{"family":"Wolf","given":"Amy"},{"family":"Xu","given":"Han"},{"family":"Yap","given":"Sandra"},{"family":"Zimmerman","given":"Jess"}],"issued":{"date-parts":[["2015",2]]}}},{"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F1571E">
        <w:fldChar w:fldCharType="separate"/>
      </w:r>
      <w:r w:rsidR="00F1571E" w:rsidRPr="00F1571E">
        <w:rPr>
          <w:szCs w:val="24"/>
        </w:rPr>
        <w:t xml:space="preserve">(Anderson‐Teixeira </w:t>
      </w:r>
      <w:r w:rsidR="00F1571E" w:rsidRPr="00F1571E">
        <w:rPr>
          <w:i/>
          <w:iCs/>
          <w:szCs w:val="24"/>
        </w:rPr>
        <w:t>et al.</w:t>
      </w:r>
      <w:r w:rsidR="00F1571E" w:rsidRPr="00F1571E">
        <w:rPr>
          <w:szCs w:val="24"/>
        </w:rPr>
        <w:t xml:space="preserve"> 2015; Davies </w:t>
      </w:r>
      <w:r w:rsidR="00F1571E" w:rsidRPr="00F1571E">
        <w:rPr>
          <w:i/>
          <w:iCs/>
          <w:szCs w:val="24"/>
        </w:rPr>
        <w:t>et al.</w:t>
      </w:r>
      <w:r w:rsidR="00F1571E" w:rsidRPr="00F1571E">
        <w:rPr>
          <w:szCs w:val="24"/>
        </w:rPr>
        <w:t xml:space="preserve"> 2021)</w:t>
      </w:r>
      <w:r w:rsidR="00F1571E">
        <w:fldChar w:fldCharType="end"/>
      </w:r>
      <w:r>
        <w:t xml:space="preserve">. The 50-ha plot on Barro Colorado Island (BCI), Panama, was the first. Stephen Hubbell and Robin Foster established it in 1980; its first census, the 1982 census, ran from 1981 to 1983 (Hubbell and Foster 1983; Hubbell et al. 2024). It became the model for the Forest Global Earth Observatory (ForestGEO), now more than </w:t>
      </w:r>
      <w:r w:rsidR="008F41AD">
        <w:t xml:space="preserve">85 </w:t>
      </w:r>
      <w:r>
        <w:t>plots</w:t>
      </w:r>
      <w:r w:rsidR="008F41AD">
        <w:t xml:space="preserve"> </w:t>
      </w:r>
      <w:r w:rsidR="008F41AD">
        <w:fldChar w:fldCharType="begin"/>
      </w:r>
      <w:r w:rsidR="008F41AD">
        <w:instrText xml:space="preserve"> ADDIN ZOTERO_ITEM CSL_CITATION {"citationID":"DVlwRCbe","properties":{"unsorted":false,"formattedCitation":"(Condit 1998; Davies {\\i{}et al.} 2021)","plainCitation":"(Condit 1998; Davies et al. 2021)","noteIndex":0},"citationItems":[{"id":11923,"uris":["http://zotero.org/users/7777225/items/X5I4WGZZ"],"itemData":{"id":11923,"type":"book","abstract":"By way of a summary of all the data collected by the mapping teams, I will review what is entered on each of the data sheets. The map sheet was already de scribed in some detail (Fig. 2.2.1A), and includes a circle or a point for the location of each tree and the tree's tag number (the last three or four digits) written next to it. The range of tag numbers used in the quadrat should be written at the top of the sheet. The main data sheet is where most other information about each individual is recorded (Fig. 2.2.1B). As for all sheets, the quadrat number, the first date a quadrat is censused, and the mappers' names are recorded at the top. For each plant, there are blanks for the following information: subquadrat number, tag number, species name, dbh, codes, and problems. Subquadrat number and tag number are straight forward. Size in millimeters is entered in the dbh column, except for multiple stemmed plants or big trees, which get a blank dbh on the main data sheet. Species identification will be handled by separate taxonomy teams (chapter 2.3), but map pers should enter a species name if they know it.","ISBN":"978-3-540-64144-5","language":"en","note":"Google-Books-ID: i59sdrERVwIC","number-of-pages":"236","publisher":"Springer Science &amp; Business Media","source":"Google Books","title":"Tropical Forest Census Plots: Methods and Results from Barro Colorado Island, Panama and a Comparison with Other Plots","title-short":"Tropical Forest Census Plots","author":[{"family":"Condit","given":"Richard"}],"issued":{"date-parts":[["1998",6,26]]}}},{"id":2238,"uris":["http://zotero.org/users/7777225/items/7SZVYZAJ"],"itemData":{"id":2238,"type":"article-journal","abstract":"ForestGEO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8F41AD">
        <w:fldChar w:fldCharType="separate"/>
      </w:r>
      <w:r w:rsidR="008F41AD" w:rsidRPr="008F41AD">
        <w:rPr>
          <w:szCs w:val="24"/>
        </w:rPr>
        <w:t xml:space="preserve">(Condit 1998; Davies </w:t>
      </w:r>
      <w:r w:rsidR="008F41AD" w:rsidRPr="008F41AD">
        <w:rPr>
          <w:i/>
          <w:iCs/>
          <w:szCs w:val="24"/>
        </w:rPr>
        <w:t>et al.</w:t>
      </w:r>
      <w:r w:rsidR="008F41AD" w:rsidRPr="008F41AD">
        <w:rPr>
          <w:szCs w:val="24"/>
        </w:rPr>
        <w:t xml:space="preserve"> 2021)</w:t>
      </w:r>
      <w:r w:rsidR="008F41AD">
        <w:fldChar w:fldCharType="end"/>
      </w:r>
      <w:r>
        <w:t>. Its censuses have been used to study density dependence and coexistence (Hubbell et al. 1990, 1999; Comita et al. 2010), habitat associations (Harms et al. 2001), immigration (Condit et al. 2012), demographic trade-offs (Rüger et al. 2018, 2020), compositional change and climate (Feeley et al. 2011; Condit et al. 2017), and biomass dynamics (Chave et al. 2003; Rutishauser et al. 2020; Piponiot et al. 2022, 2024).</w:t>
      </w:r>
    </w:p>
    <w:p w14:paraId="15CDB93E" w14:textId="414A5B6E" w:rsidR="00AB58AE" w:rsidRDefault="00000000">
      <w:pPr>
        <w:pStyle w:val="BodyText"/>
      </w:pPr>
      <w:r>
        <w:t>The last public release (Condit et al. 2019a) held eight censuses, 1982–2015</w:t>
      </w:r>
      <w:r w:rsidR="0005118C">
        <w:t>.</w:t>
      </w:r>
      <w:r>
        <w:t xml:space="preserve"> This release adds the ninth census, taken in 2022–2023. It updates the species names, documents the names that changed since </w:t>
      </w:r>
      <w:r w:rsidR="00253BEB">
        <w:t>the previous release</w:t>
      </w:r>
      <w:r>
        <w:t xml:space="preserve">, and makes stems comparable across censuses. Before 2010 the database followed individuals, not stems: the tag of the individual was on the main stem, and the other stems of an individual often received a new database identifier at each census, which cut their histories. Since 2010 every stem has carried its own tag. We reconstructed the earlier stem histories, with their uncertainty, so that stem growth, mortality and </w:t>
      </w:r>
      <w:r w:rsidR="00D94036">
        <w:t xml:space="preserve">ingrowth </w:t>
      </w:r>
      <w:r>
        <w:t>can be computed over four decades.</w:t>
      </w:r>
    </w:p>
    <w:p w14:paraId="104833AD" w14:textId="77777777" w:rsidR="00AB58AE" w:rsidRDefault="00000000">
      <w:pPr>
        <w:pStyle w:val="BodyText"/>
      </w:pPr>
      <w:r>
        <w:t>The data are for ecologists who study tropical forest demography and diversity, for carbon-cycle scientists, and for modellers who calibrate or test vegetation models with plot data.</w:t>
      </w:r>
    </w:p>
    <w:p w14:paraId="3CF33782" w14:textId="77777777" w:rsidR="00AB58AE" w:rsidRDefault="00000000">
      <w:pPr>
        <w:pStyle w:val="Heading1"/>
      </w:pPr>
      <w:bookmarkStart w:id="15" w:name="_ea5c66868f283220c19382d0fdd5a852ec570ca"/>
      <w:r>
        <w:t>Data Availability</w:t>
      </w:r>
      <w:bookmarkEnd w:id="15"/>
    </w:p>
    <w:p w14:paraId="59A550E3" w14:textId="21E821F7" w:rsidR="00AB58AE" w:rsidRDefault="00000000">
      <w:pPr>
        <w:pStyle w:val="FirstParagraph"/>
      </w:pPr>
      <w:r>
        <w:t>The data, metadata (</w:t>
      </w:r>
      <w:r>
        <w:rPr>
          <w:rStyle w:val="VerbatimChar"/>
        </w:rPr>
        <w:t>Metadata.md</w:t>
      </w:r>
      <w:r>
        <w:t xml:space="preserve">), README and code are archived at </w:t>
      </w:r>
      <w:r>
        <w:rPr>
          <w:highlight w:val="yellow"/>
        </w:rPr>
        <w:t>repository, https://doi.org/xxxx</w:t>
      </w:r>
      <w:r>
        <w:t xml:space="preserve"> under </w:t>
      </w:r>
      <w:r>
        <w:rPr>
          <w:highlight w:val="yellow"/>
        </w:rPr>
        <w:t xml:space="preserve">license: </w:t>
      </w:r>
      <w:r w:rsidR="00AF535F">
        <w:t>XXXX</w:t>
      </w:r>
      <w:r>
        <w:t xml:space="preserve">. The data are R data files (Rtables; Tables 1 and 2).</w:t>
      </w:r>
      <w:r w:rsidR="000B1568">
        <w:t xml:space="preserve"/>
      </w:r>
      <w:r>
        <w:t xml:space="preserve"> The package code loads the files and reproduces every table and number of this paper. The code that builds </w:t>
      </w:r>
      <w:r w:rsidR="000B1568">
        <w:t>Rtables</w:t>
      </w:r>
      <w:r>
        <w:t xml:space="preserve"> from the </w:t>
      </w:r>
      <w:r w:rsidR="00C5004E">
        <w:t xml:space="preserve">raw </w:t>
      </w:r>
      <w:r>
        <w:t xml:space="preserve">export of the ForestGEO database, including the stem reconstruction, is at </w:t>
      </w:r>
      <w:hyperlink r:id="rId9">
        <w:r w:rsidR="00AB58AE">
          <w:rPr>
            <w:rStyle w:val="Hyperlink"/>
          </w:rPr>
          <w:t>https://github.com/jamedina09/BCI50ha_StemReconstruction_Rtables</w:t>
        </w:r>
      </w:hyperlink>
      <w:r>
        <w:t xml:space="preserve">, archived at </w:t>
      </w:r>
      <w:r>
        <w:rPr>
          <w:highlight w:val="yellow"/>
        </w:rPr>
        <w:t xml:space="preserve">Zenodo </w:t>
      </w:r>
      <w:r w:rsidR="00C5004E">
        <w:rPr>
          <w:highlight w:val="yellow"/>
        </w:rPr>
        <w:t xml:space="preserve">with </w:t>
      </w:r>
      <w:r>
        <w:rPr>
          <w:highlight w:val="yellow"/>
        </w:rPr>
        <w:t>DOI</w:t>
      </w:r>
      <w:r>
        <w:t>. Please cite this paper and the data package. Questions go to the corresponding author; copies of publications to ForestGEO (forestgeo@si.edu).</w:t>
      </w:r>
    </w:p>
    <w:p w14:paraId="361D0C6D" w14:textId="77777777" w:rsidR="00AB58AE" w:rsidRDefault="00000000">
      <w:pPr>
        <w:pStyle w:val="Heading1"/>
      </w:pPr>
      <w:bookmarkStart w:id="16" w:name="_70e9162ced743202080b21b7a674632d04323a4"/>
      <w:r>
        <w:t>Data Description</w:t>
      </w:r>
      <w:bookmarkEnd w:id="16"/>
    </w:p>
    <w:p w14:paraId="13728406" w14:textId="5A167FC5" w:rsidR="00AB58AE" w:rsidRDefault="00000000">
      <w:pPr>
        <w:pStyle w:val="FirstParagraph"/>
      </w:pPr>
      <w:r>
        <w:rPr>
          <w:b/>
          <w:bCs/>
        </w:rPr>
        <w:t>Extent and resolution.</w:t>
      </w:r>
      <w:r>
        <w:t xml:space="preserve"> The plot is a 1000 × 500 m rectangle (50 ha) of 1,250 quadrats of 20 × 20 m. The nine censuses span 1981 to 2023 (Figure 1); 95% of the records of a census were taken within 8–10 months, except in 1981–1982 (19 months) and 2022–2023 (15 months). Consecutive censuses of an individual were about 5 years apart, except 3.4 years (censuses 1–2) and 7.5 years (8–9).</w:t>
      </w:r>
    </w:p>
    <w:p w14:paraId="2B3F862A" w14:textId="2C307F43" w:rsidR="00AB58AE" w:rsidRDefault="00000000">
      <w:pPr>
        <w:pStyle w:val="BodyText"/>
      </w:pPr>
      <w:r>
        <w:rPr>
          <w:b/>
          <w:bCs/>
        </w:rPr>
        <w:t>Taxa.</w:t>
      </w:r>
      <w:r>
        <w:t xml:space="preserve"> The censuses include every free-standing woody plant: trees, shrubs, palms, tree ferns and strangler figs; lianas are not included. The 327 taxa of the species table belong to 191 genera and 62 families. Four are morphospecies, and one further code (</w:t>
      </w:r>
      <w:r>
        <w:rPr>
          <w:rStyle w:val="VerbatimChar"/>
        </w:rPr>
        <w:t>uniden</w:t>
      </w:r>
      <w:r>
        <w:t xml:space="preserve">) marks 74 </w:t>
      </w:r>
      <w:r w:rsidR="006F46C7">
        <w:t xml:space="preserve">not </w:t>
      </w:r>
      <w:r>
        <w:t>identified</w:t>
      </w:r>
      <w:r w:rsidR="006F46C7">
        <w:t xml:space="preserve"> individuals</w:t>
      </w:r>
      <w:r>
        <w:t>.</w:t>
      </w:r>
    </w:p>
    <w:p w14:paraId="3F0AC4A3" w14:textId="77777777" w:rsidR="00AB58AE" w:rsidRDefault="00000000">
      <w:pPr>
        <w:pStyle w:val="BodyText"/>
      </w:pPr>
      <w:r>
        <w:rPr>
          <w:b/>
          <w:bCs/>
        </w:rPr>
        <w:t>Sampling unit.</w:t>
      </w:r>
      <w:r>
        <w:t xml:space="preserve"> Each row is a stem in one census. An individual (</w:t>
      </w:r>
      <w:r>
        <w:rPr>
          <w:rStyle w:val="VerbatimChar"/>
        </w:rPr>
        <w:t>treeID</w:t>
      </w:r>
      <w:r>
        <w:t xml:space="preserve">, with its field </w:t>
      </w:r>
      <w:r>
        <w:rPr>
          <w:rStyle w:val="VerbatimChar"/>
        </w:rPr>
        <w:t>tag</w:t>
      </w:r>
      <w:r>
        <w:t xml:space="preserve">) has one or more stems, and </w:t>
      </w:r>
      <w:r>
        <w:rPr>
          <w:rStyle w:val="VerbatimChar"/>
        </w:rPr>
        <w:t>treeID</w:t>
      </w:r>
      <w:r>
        <w:t xml:space="preserve"> and </w:t>
      </w:r>
      <w:r>
        <w:rPr>
          <w:rStyle w:val="VerbatimChar"/>
        </w:rPr>
        <w:t>stemID</w:t>
      </w:r>
      <w:r>
        <w:t xml:space="preserve"> together identify a stem.</w:t>
      </w:r>
    </w:p>
    <w:p w14:paraId="1B2670B7" w14:textId="143C5920" w:rsidR="00AB58AE" w:rsidRDefault="00000000">
      <w:pPr>
        <w:pStyle w:val="BodyText"/>
      </w:pPr>
      <w:r>
        <w:rPr>
          <w:b/>
          <w:bCs/>
        </w:rPr>
        <w:lastRenderedPageBreak/>
        <w:t>Tables.</w:t>
      </w:r>
      <w:r>
        <w:t xml:space="preserve"> The data package holds nine census tables, a species table and the posterior samples of the stem reconstruction. The census tables (</w:t>
      </w:r>
      <w:r>
        <w:rPr>
          <w:rStyle w:val="VerbatimChar"/>
        </w:rPr>
        <w:t>bci.stem1</w:t>
      </w:r>
      <w:r>
        <w:t xml:space="preserve"> to </w:t>
      </w:r>
      <w:r>
        <w:rPr>
          <w:rStyle w:val="VerbatimChar"/>
        </w:rPr>
        <w:t>bci.stem9</w:t>
      </w:r>
      <w:r>
        <w:t xml:space="preserve">, in the ForestGEO R-table format) each have 646,813 rows and 17 columns (Table 1): one row for every stem ever recorded, in the same order in all tables (by </w:t>
      </w:r>
      <w:r>
        <w:rPr>
          <w:rStyle w:val="VerbatimChar"/>
        </w:rPr>
        <w:t>treeID</w:t>
      </w:r>
      <w:r>
        <w:t xml:space="preserve">, then </w:t>
      </w:r>
      <w:r>
        <w:rPr>
          <w:rStyle w:val="VerbatimChar"/>
        </w:rPr>
        <w:t>stemID</w:t>
      </w:r>
      <w:r>
        <w:t xml:space="preserve">), including the censuses before the stem appeared and after it died. The species table (328 rows, 17 columns; Table 2) gives for each species code the taxonomy, authority, synonyms, growth forms, common name, herbarium collections and, for the 50 codes renamed since 2019, the 2019 name and the kind of change. The posterior file holds one row per distinct reconstruction sampled for each of 131,999 individuals (1,554,448 rows) and joins the census tables on </w:t>
      </w:r>
      <w:r>
        <w:rPr>
          <w:rStyle w:val="VerbatimChar"/>
        </w:rPr>
        <w:t>treeID</w:t>
      </w:r>
      <w:r>
        <w:t xml:space="preserve"> and </w:t>
      </w:r>
      <w:r>
        <w:rPr>
          <w:rStyle w:val="VerbatimChar"/>
        </w:rPr>
        <w:t>StemPaths</w:t>
      </w:r>
      <w:r>
        <w:t>.</w:t>
      </w:r>
    </w:p>
    <w:p w14:paraId="2CBEEB9B" w14:textId="77777777" w:rsidR="00AB58AE" w:rsidRDefault="00000000">
      <w:pPr>
        <w:pStyle w:val="BodyText"/>
      </w:pPr>
      <w:r>
        <w:rPr>
          <w:b/>
          <w:bCs/>
        </w:rPr>
        <w:t>Sample sizes.</w:t>
      </w:r>
      <w:r>
        <w:t xml:space="preserve"> Individuals with a living stem at 1.3 m ranged from 244,252 (1990) to 203,489 (2022–2023; Figure 1); another 5,884–14,498 individuals per census were alive but broken below 1.3 m, with no stem at breast height (13,536 in 2022–2023). Between consecutive censuses, 19,203–37,186 individuals were recruited and 19,859–41,450 died.</w:t>
      </w:r>
    </w:p>
    <w:p w14:paraId="33616BF5" w14:textId="57D6ED9F" w:rsidR="00F16585" w:rsidRDefault="00000000">
      <w:pPr>
        <w:pStyle w:val="BodyText"/>
      </w:pPr>
      <w:r>
        <w:rPr>
          <w:b/>
          <w:bCs/>
        </w:rPr>
        <w:t>Census 9.</w:t>
      </w:r>
      <w:r>
        <w:t xml:space="preserve"> The individuals of 2022–2023 with a living stem at 1.3 m (4,070 ha</w:t>
      </w:r>
      <w:r>
        <w:rPr>
          <w:vertAlign w:val="superscript"/>
        </w:rPr>
        <w:t>−1</w:t>
      </w:r>
      <w:r>
        <w:t>) belonged to 300 species, 179 genera and 59 families and had a basal area of 31.35 m</w:t>
      </w:r>
      <w:r>
        <w:rPr>
          <w:vertAlign w:val="superscript"/>
        </w:rPr>
        <w:t>2</w:t>
      </w:r>
      <w:r>
        <w:t xml:space="preserve"> ha</w:t>
      </w:r>
      <w:r>
        <w:rPr>
          <w:vertAlign w:val="superscript"/>
        </w:rPr>
        <w:t>−1</w:t>
      </w:r>
      <w:r>
        <w:t xml:space="preserve">, from the diameters as recorded. Of the species, 212 (70.7%) had fewer than 339 individuals (half the mean abundance), 67 had ten or fewer, and 22 were singletons. </w:t>
      </w:r>
      <w:r>
        <w:rPr>
          <w:i/>
          <w:iCs/>
        </w:rPr>
        <w:t>Pombalia prunifolia</w:t>
      </w:r>
      <w:r>
        <w:t xml:space="preserve">, </w:t>
      </w:r>
      <w:r>
        <w:rPr>
          <w:i/>
          <w:iCs/>
        </w:rPr>
        <w:t>Faramea occidentalis</w:t>
      </w:r>
      <w:r>
        <w:t xml:space="preserve"> and </w:t>
      </w:r>
      <w:r>
        <w:rPr>
          <w:i/>
          <w:iCs/>
        </w:rPr>
        <w:t>Trichilia tuberculata</w:t>
      </w:r>
      <w:r>
        <w:t xml:space="preserve"> made up 27.7% of the individuals, and </w:t>
      </w:r>
      <w:r>
        <w:rPr>
          <w:i/>
          <w:iCs/>
        </w:rPr>
        <w:t>Quararibea stenophylla</w:t>
      </w:r>
      <w:r>
        <w:t xml:space="preserve">, </w:t>
      </w:r>
      <w:r>
        <w:rPr>
          <w:i/>
          <w:iCs/>
        </w:rPr>
        <w:t>Prioria copaifera</w:t>
      </w:r>
      <w:r>
        <w:t xml:space="preserve"> and </w:t>
      </w:r>
      <w:r>
        <w:rPr>
          <w:i/>
          <w:iCs/>
        </w:rPr>
        <w:t>Alseis blackiana</w:t>
      </w:r>
      <w:r>
        <w:t xml:space="preserve"> had the largest basal areas. Rubiaceae, Violaceae and Fabaceae had the most individuals, and Malvaceae, Fabaceae and Rubiaceae the largest </w:t>
      </w:r>
      <w:r w:rsidR="00283584">
        <w:t xml:space="preserve">total </w:t>
      </w:r>
      <w:r>
        <w:t>basal areas.</w:t>
      </w:r>
    </w:p>
    <w:p w14:paraId="3B7756E4" w14:textId="77777777" w:rsidR="00AB58AE" w:rsidRDefault="00000000">
      <w:pPr>
        <w:pStyle w:val="BodyText"/>
      </w:pPr>
      <w:r>
        <w:rPr>
          <w:b/>
          <w:bCs/>
        </w:rPr>
        <w:t>Records and status.</w:t>
      </w:r>
      <w:r>
        <w:t xml:space="preserve"> Each row keeps the field record unedited: diameter (</w:t>
      </w:r>
      <w:r>
        <w:rPr>
          <w:rStyle w:val="VerbatimChar"/>
        </w:rPr>
        <w:t>dbh</w:t>
      </w:r>
      <w:r>
        <w:t>, mm), height of measurement (</w:t>
      </w:r>
      <w:r>
        <w:rPr>
          <w:rStyle w:val="VerbatimChar"/>
        </w:rPr>
        <w:t>hom</w:t>
      </w:r>
      <w:r>
        <w:t>, m), date (</w:t>
      </w:r>
      <w:r>
        <w:rPr>
          <w:rStyle w:val="VerbatimChar"/>
        </w:rPr>
        <w:t>ExactDate</w:t>
      </w:r>
      <w:r>
        <w:t>), codes and field status (</w:t>
      </w:r>
      <w:r>
        <w:rPr>
          <w:rStyle w:val="VerbatimChar"/>
        </w:rPr>
        <w:t>DFstatus</w:t>
      </w:r>
      <w:r>
        <w:t xml:space="preserve">); these are empty in a census without a record. </w:t>
      </w:r>
      <w:r>
        <w:rPr>
          <w:rStyle w:val="VerbatimChar"/>
        </w:rPr>
        <w:t>Rstatus</w:t>
      </w:r>
      <w:r>
        <w:t xml:space="preserve"> gives every stem a status in every census (Table 3), </w:t>
      </w:r>
      <w:r>
        <w:rPr>
          <w:rStyle w:val="VerbatimChar"/>
        </w:rPr>
        <w:t>date</w:t>
      </w:r>
      <w:r>
        <w:t xml:space="preserve"> gives every row a date, and </w:t>
      </w:r>
      <w:r>
        <w:rPr>
          <w:rStyle w:val="VerbatimChar"/>
        </w:rPr>
        <w:t>gx</w:t>
      </w:r>
      <w:r>
        <w:t xml:space="preserve"> and </w:t>
      </w:r>
      <w:r>
        <w:rPr>
          <w:rStyle w:val="VerbatimChar"/>
        </w:rPr>
        <w:t>gy</w:t>
      </w:r>
      <w:r>
        <w:t xml:space="preserve"> give one location per individual.</w:t>
      </w:r>
    </w:p>
    <w:p w14:paraId="6C4D4E34" w14:textId="77777777" w:rsidR="00AB58AE" w:rsidRDefault="00000000">
      <w:pPr>
        <w:pStyle w:val="Heading1"/>
      </w:pPr>
      <w:bookmarkStart w:id="17" w:name="_1471c892dc6fdf861f7d8b14b23813665a14d7a"/>
      <w:r>
        <w:t>Summary of Methods</w:t>
      </w:r>
      <w:bookmarkEnd w:id="17"/>
    </w:p>
    <w:p w14:paraId="6CBE17E0" w14:textId="6A33DF1D" w:rsidR="00AB58AE" w:rsidRDefault="00000000">
      <w:pPr>
        <w:pStyle w:val="FirstParagraph"/>
      </w:pPr>
      <w:r>
        <w:rPr>
          <w:b/>
          <w:bCs/>
        </w:rPr>
        <w:t>Site.</w:t>
      </w:r>
      <w:r>
        <w:t xml:space="preserve"> </w:t>
      </w:r>
      <w:r w:rsidR="009A5161">
        <w:t>Barro Colorado Island (</w:t>
      </w:r>
      <w:r>
        <w:t>BCI</w:t>
      </w:r>
      <w:r w:rsidR="009A5161">
        <w:t xml:space="preserve">; </w:t>
      </w:r>
      <w:r>
        <w:t>9.15° N, 79.85° W) is a 15.6-km</w:t>
      </w:r>
      <w:r>
        <w:rPr>
          <w:vertAlign w:val="superscript"/>
        </w:rPr>
        <w:t>2</w:t>
      </w:r>
      <w:r>
        <w:t xml:space="preserve"> 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From 1982 to 2023, annual rainfall averaged 2,621 mm (range 1,699–4,135 mm), 9% of it in the dry season from January to April (Leigh 1999), and the mean air temperature was 25.9 °C (Paton 2026).</w:t>
      </w:r>
    </w:p>
    <w:p w14:paraId="53A6D74C" w14:textId="735F7C60" w:rsidR="00AB58AE" w:rsidRDefault="00000000">
      <w:pPr>
        <w:pStyle w:val="BodyText"/>
      </w:pPr>
      <w:r>
        <w:rPr>
          <w:b/>
          <w:bCs/>
        </w:rPr>
        <w:t>Census protocol.</w:t>
      </w:r>
      <w:r>
        <w:t xml:space="preserve"> The censuses follow Condit (1998) and the ForestGEO standards (Condit et al. 2014). Every free-standing woody stem with a DBH of at least 10 mm is mapped within its 20 × 20 m quadrat, identified and measured at 1.3 m or, where the trunk is buttressed or deformed there, above the irregularity, and the height of measurement is recorded. Each individual carries a numbered tag; since 2010 every stem has also carried its own tag, whereas before 2010 the other stems of an individual were measured untagged. Each census revisits every individual recorded before and adds the stems that have reached 10 mm</w:t>
      </w:r>
      <w:r w:rsidR="000F5399">
        <w:t xml:space="preserve"> (or 1 cm)</w:t>
      </w:r>
      <w:r>
        <w:t>. The plot’s botanists identify the plants in the field.</w:t>
      </w:r>
    </w:p>
    <w:p w14:paraId="14DCEACC" w14:textId="019905A3" w:rsidR="00AB58AE" w:rsidRDefault="00000000">
      <w:pPr>
        <w:pStyle w:val="BodyText"/>
      </w:pPr>
      <w:r>
        <w:rPr>
          <w:b/>
          <w:bCs/>
        </w:rPr>
        <w:t>Stem reconstruction</w:t>
      </w:r>
      <w:r w:rsidR="00A62650">
        <w:rPr>
          <w:b/>
          <w:bCs/>
        </w:rPr>
        <w:t xml:space="preserve"> prior to 2010</w:t>
      </w:r>
      <w:r>
        <w:rPr>
          <w:b/>
          <w:bCs/>
        </w:rPr>
        <w:t>.</w:t>
      </w:r>
      <w:r>
        <w:t xml:space="preserve"> The 327,991 individuals with a single database stem needed no reconstruction. In the other 132,220 individuals, the identities fixed in the field were kept</w:t>
      </w:r>
      <w:r w:rsidR="003169DD">
        <w:t xml:space="preserve"> (i.e., </w:t>
      </w:r>
      <w:r>
        <w:t>every stem tagged from 2010 on</w:t>
      </w:r>
      <w:r w:rsidR="003169DD">
        <w:t>)</w:t>
      </w:r>
      <w:r>
        <w:t xml:space="preserve">. An exact dynamic program then assigned the remaining measurements to stems, finding the most probable stem histories under a model of </w:t>
      </w:r>
      <w:r w:rsidR="000630B9">
        <w:t xml:space="preserve">stem </w:t>
      </w:r>
      <w:r>
        <w:t xml:space="preserve">growth, </w:t>
      </w:r>
      <w:r w:rsidR="000630B9">
        <w:t xml:space="preserve">stem </w:t>
      </w:r>
      <w:r>
        <w:t xml:space="preserve">mortality and </w:t>
      </w:r>
      <w:r w:rsidR="000630B9">
        <w:t xml:space="preserve">stem ingrowth </w:t>
      </w:r>
      <w:r>
        <w:t xml:space="preserve">estimated from the stems tagged in 2010–2023 (two census intervals).</w:t>
      </w:r>
      <w:r w:rsidR="001E0EFD">
        <w:t xml:space="preserve"/>
      </w:r>
      <w:r>
        <w:t xml:space="preserve"> Palm </w:t>
      </w:r>
      <w:r>
        <w:lastRenderedPageBreak/>
        <w:t>clumps, strangler figs and individuals too large for the exact program were solved by a probabilistic matcher under the same model. The reconstruction of each individual was sampled 200 times, and the tables carry the most probable one.</w:t>
      </w:r>
    </w:p>
    <w:p w14:paraId="7A2862EE" w14:textId="77777777" w:rsidR="00AB58AE" w:rsidRDefault="00000000">
      <w:pPr>
        <w:pStyle w:val="Heading1"/>
      </w:pPr>
      <w:bookmarkStart w:id="18" w:name="_65750119bb3c3ff1d065dada769595bc7933c81"/>
      <w:r>
        <w:t>Limitations and Challenges</w:t>
      </w:r>
      <w:bookmarkEnd w:id="18"/>
    </w:p>
    <w:p w14:paraId="7A6847F5" w14:textId="77777777" w:rsidR="00AB58AE" w:rsidRDefault="00000000">
      <w:pPr>
        <w:pStyle w:val="FirstParagraph"/>
      </w:pPr>
      <w:r>
        <w:rPr>
          <w:b/>
          <w:bCs/>
        </w:rPr>
        <w:t>Reconstructed stems.</w:t>
      </w:r>
      <w:r>
        <w:t xml:space="preserve"> Before 2010 the stems of multi-stemmed individuals are inferred, not observed. Individual identity (</w:t>
      </w:r>
      <w:r>
        <w:rPr>
          <w:rStyle w:val="VerbatimChar"/>
        </w:rPr>
        <w:t>treeID</w:t>
      </w:r>
      <w:r>
        <w:t xml:space="preserve">, </w:t>
      </w:r>
      <w:r>
        <w:rPr>
          <w:rStyle w:val="VerbatimChar"/>
        </w:rPr>
        <w:t>tag</w:t>
      </w:r>
      <w:r>
        <w:t xml:space="preserve">) is observed, so analyses that treat an individual as the sum of its stems do not depend on the reconstruction. Stem-level analyses before 2010 should be repeated over draws from the posterior samples, one reconstruction per individual weighted by </w:t>
      </w:r>
      <w:r>
        <w:rPr>
          <w:rStyle w:val="VerbatimChar"/>
        </w:rPr>
        <w:t>path_count</w:t>
      </w:r>
      <w:r>
        <w:t>. The samples of the dynamic program come from the exact posterior under the model; those of the matcher (palm clumps, strangler figs, the largest individuals) are approximate.</w:t>
      </w:r>
    </w:p>
    <w:p w14:paraId="0D9D79D1" w14:textId="77777777" w:rsidR="00AB58AE" w:rsidRDefault="00000000">
      <w:pPr>
        <w:pStyle w:val="BodyText"/>
      </w:pPr>
      <w:r>
        <w:rPr>
          <w:b/>
          <w:bCs/>
        </w:rPr>
        <w:t>Diameter classes.</w:t>
      </w:r>
      <w:r>
        <w:t xml:space="preserve"> In 1982 and 1985 diameters below 55 mm were recorded in 5-mm classes, so the growth of small stems over the first two intervals is coarse.</w:t>
      </w:r>
    </w:p>
    <w:p w14:paraId="6D570B7C" w14:textId="6679EAF2" w:rsidR="00AB58AE" w:rsidRDefault="00000000">
      <w:pPr>
        <w:pStyle w:val="BodyText"/>
      </w:pPr>
      <w:r>
        <w:rPr>
          <w:b/>
          <w:bCs/>
        </w:rPr>
        <w:t>Height of measurement.</w:t>
      </w:r>
      <w:r>
        <w:t xml:space="preserve"> On buttressed or damaged trunks the point of measurement was raised over time; the 1.1% of measurements taken away from 1.3 m are not comparable with those at 1.3 m. For </w:t>
      </w:r>
      <w:r w:rsidR="001D176A">
        <w:t xml:space="preserve">assessments of </w:t>
      </w:r>
      <w:r>
        <w:t>basal area and</w:t>
      </w:r>
      <w:r w:rsidR="001D176A">
        <w:t>/or</w:t>
      </w:r>
      <w:r>
        <w:t xml:space="preserve"> biomass </w:t>
      </w:r>
      <w:r w:rsidR="001D176A">
        <w:t xml:space="preserve">change over time, </w:t>
      </w:r>
      <w:r>
        <w:t>they should be corrected to 1.3 m, for example</w:t>
      </w:r>
      <w:r w:rsidR="00F150EF">
        <w:t>,</w:t>
      </w:r>
      <w:r>
        <w:t xml:space="preserve"> with the taper model of Cushman et al. (2014).</w:t>
      </w:r>
    </w:p>
    <w:p w14:paraId="3F60759B" w14:textId="77777777" w:rsidR="00AB58AE" w:rsidRDefault="00000000">
      <w:pPr>
        <w:pStyle w:val="BodyText"/>
      </w:pPr>
      <w:r>
        <w:rPr>
          <w:b/>
          <w:bCs/>
        </w:rPr>
        <w:t>Missing diameters.</w:t>
      </w:r>
      <w:r>
        <w:t xml:space="preserve"> An alive stem without a diameter is either a missed measurement, which can be interpolated from the stem’s own measurements, or a stump (alive, broken below, with no stem at 1.3 m) or a dead, missing or absent record just before a stump, both to be left out of stocks (Table 3).</w:t>
      </w:r>
    </w:p>
    <w:p w14:paraId="728C81D0" w14:textId="6E37309C" w:rsidR="00AB58AE" w:rsidRDefault="00000000">
      <w:pPr>
        <w:pStyle w:val="BodyText"/>
      </w:pPr>
      <w:r>
        <w:rPr>
          <w:b/>
          <w:bCs/>
        </w:rPr>
        <w:t>Census timing.</w:t>
      </w:r>
      <w:r>
        <w:t xml:space="preserve"> Censuses took up to 19 months, </w:t>
      </w:r>
      <w:r w:rsidR="0018370D">
        <w:t xml:space="preserve">and </w:t>
      </w:r>
      <w:r>
        <w:t xml:space="preserve">intervals differ among quadrats. Intervals should be computed from </w:t>
      </w:r>
      <w:r>
        <w:rPr>
          <w:rStyle w:val="VerbatimChar"/>
        </w:rPr>
        <w:t>date</w:t>
      </w:r>
      <w:r>
        <w:t>, not from census years.</w:t>
      </w:r>
    </w:p>
    <w:p w14:paraId="135D05D8" w14:textId="77777777" w:rsidR="00AB58AE" w:rsidRDefault="00000000">
      <w:pPr>
        <w:pStyle w:val="BodyText"/>
      </w:pPr>
      <w:r>
        <w:rPr>
          <w:b/>
          <w:bCs/>
        </w:rPr>
        <w:t>Recruitment and ingrowth.</w:t>
      </w:r>
      <w:r>
        <w:t xml:space="preserve"> New stems of established individuals (ingrowth) are not new individuals (recruitment) and should be counted separately.</w:t>
      </w:r>
    </w:p>
    <w:p w14:paraId="72B5FDEA" w14:textId="332C3F04" w:rsidR="00AB58AE" w:rsidRDefault="00000000">
      <w:pPr>
        <w:pStyle w:val="BodyText"/>
      </w:pPr>
      <w:r>
        <w:rPr>
          <w:b/>
          <w:bCs/>
        </w:rPr>
        <w:t>Taxonomy.</w:t>
      </w:r>
      <w:r>
        <w:t xml:space="preserve"> Names may change again; species codes are stable within this release, and the names were checked against World Flora Online (WFO 2026; Kindt 2020).</w:t>
      </w:r>
      <w:r w:rsidR="00C56B03">
        <w:t xml:space="preserve"/>
      </w:r>
      <w:r>
        <w:t xml:space="preserve"/>
      </w:r>
    </w:p>
    <w:p w14:paraId="4ADB0107" w14:textId="5650CF26" w:rsidR="00AB58AE" w:rsidRDefault="00000000">
      <w:pPr>
        <w:pStyle w:val="BodyText"/>
      </w:pPr>
      <w:r>
        <w:rPr>
          <w:b/>
          <w:bCs/>
        </w:rPr>
        <w:t>Strangler figs and palms.</w:t>
      </w:r>
      <w:r>
        <w:t xml:space="preserve"> The diameter of strangler figs that envelop their hosts, and that of palms, does not relate to </w:t>
      </w:r>
      <w:r w:rsidR="00505955">
        <w:t>structure</w:t>
      </w:r>
      <w:r w:rsidR="00715083">
        <w:t xml:space="preserve"> or dynamics</w:t>
      </w:r>
      <w:r w:rsidR="00505955">
        <w:t xml:space="preserve"> </w:t>
      </w:r>
      <w:r>
        <w:t>as it does in other individuals (Rutishauser et al. 2020; Piponiot et al. 2024).</w:t>
      </w:r>
    </w:p>
    <w:p w14:paraId="35CE8353" w14:textId="77777777" w:rsidR="00AB58AE" w:rsidRDefault="00000000">
      <w:pPr>
        <w:pStyle w:val="Heading1"/>
      </w:pPr>
      <w:bookmarkStart w:id="19" w:name="_565c1657ff9d6c68b06e8cbe23de9aba2ce88bd"/>
      <w:r>
        <w:t>Scientific Opportunities</w:t>
      </w:r>
      <w:bookmarkEnd w:id="19"/>
    </w:p>
    <w:p w14:paraId="4E90D11B" w14:textId="76A1D187" w:rsidR="00AB58AE" w:rsidRDefault="00000000">
      <w:pPr>
        <w:pStyle w:val="FirstParagraph"/>
      </w:pPr>
      <w:r>
        <w:t xml:space="preserve">The ninth census, after an interval that spans the 2015–2016 El Niño drought, extends tests of directional change in composition, growth and mortality (Feeley et al. 2011; Condit et al. 2017) and of the stability of biomass (Rutishauser et al. 2020; Piponiot et al. 2024). The species table, with growth forms and documented name changes, supports trait-based and phylogenetic analyses of demographic trade-offs (Rüger et al. 2018, 2020) and coexistence (Hubbell et al. 1999; Comita et al. 2010). The posterior samples let the uncertainty of stem identity be carried into estimates of stocks and fluxes, a source of error rarely quantified in plot data. The </w:t>
      </w:r>
      <w:r w:rsidR="00AB1483">
        <w:t xml:space="preserve">provided data </w:t>
      </w:r>
      <w:r>
        <w:t>can also calibrate remote sensing of canopy change and test vegetation models.</w:t>
      </w:r>
    </w:p>
    <w:p>
      <w:pPr>
        <w:pStyle w:val="Heading1"/>
      </w:pPr>
      <w:r>
        <w:t>Tables and Figures</w:t>
      </w:r>
    </w:p>
    <w:p>
      <w:pPr>
        <w:pStyle w:val="TableCaption"/>
        <w:keepNext/>
      </w:pPr>
      <w:r>
        <w:rPr>
          <w:b/>
          <w:bCs/>
        </w:rPr>
        <w:t xml:space="preserve">Table 1. </w:t>
      </w:r>
      <w:r>
        <w:t xml:space="preserve">Columns of the census tables bci.stem1 to bci.stem9: one row per stem and census, 646,813 rows in each table, the same stems in the same order. Type is the R class of the column; empty cells are NA.</w:t>
      </w:r>
    </w:p>
    <w:tbl>
      <w:tblPr>
        <w:tblStyle w:val="Table"/>
        <w:tblW w:w="10080" w:type="dxa"/>
        <w:tblLayout w:type="fixed"/>
        <w:tblLook w:val="0020" w:firstRow="1" w:lastRow="0" w:firstColumn="0" w:lastColumn="0" w:noHBand="0" w:noVBand="0"/>
      </w:tblPr>
      <w:tblGrid>
        <w:gridCol w:w="1650"/>
        <w:gridCol w:w="1150"/>
        <w:gridCol w:w="7280"/>
      </w:tblGrid>
      <w:tr>
        <w:trPr>
          <w:tblHeader/>
          <w:cantSplit/>
        </w:trPr>
        <w:tc>
          <w:tcPr>
            <w:tcW w:w="1650" w:type="dxa"/>
          </w:tcPr>
          <w:p>
            <w:pPr>
              <w:pStyle w:val="Compact"/>
            </w:pPr>
            <w:r>
              <w:t xml:space="preserve">Column</w:t>
            </w:r>
          </w:p>
        </w:tc>
        <w:tc>
          <w:tcPr>
            <w:tcW w:w="1150" w:type="dxa"/>
          </w:tcPr>
          <w:p>
            <w:pPr>
              <w:pStyle w:val="Compact"/>
            </w:pPr>
            <w:r>
              <w:t xml:space="preserve">Type</w:t>
            </w:r>
          </w:p>
        </w:tc>
        <w:tc>
          <w:tcPr>
            <w:tcW w:w="7280" w:type="dxa"/>
          </w:tcPr>
          <w:p>
            <w:pPr>
              <w:pStyle w:val="Compact"/>
            </w:pPr>
            <w:r>
              <w:t xml:space="preserve">Content</w:t>
            </w:r>
          </w:p>
        </w:tc>
      </w:tr>
      <w:tr>
        <w:trPr>
          <w:cantSplit/>
        </w:trPr>
        <w:tc>
          <w:tcPr>
            <w:tcW w:w="1650" w:type="dxa"/>
          </w:tcPr>
          <w:p>
            <w:pPr>
              <w:pStyle w:val="Compact"/>
            </w:pPr>
            <w:r>
              <w:t xml:space="preserve">CensusID</w:t>
            </w:r>
          </w:p>
        </w:tc>
        <w:tc>
          <w:tcPr>
            <w:tcW w:w="1150" w:type="dxa"/>
          </w:tcPr>
          <w:p>
            <w:pPr>
              <w:pStyle w:val="Compact"/>
            </w:pPr>
            <w:r>
              <w:t xml:space="preserve">numeric</w:t>
            </w:r>
          </w:p>
        </w:tc>
        <w:tc>
          <w:tcPr>
            <w:tcW w:w="7280" w:type="dxa"/>
          </w:tcPr>
          <w:p>
            <w:pPr>
              <w:pStyle w:val="Compact"/>
            </w:pPr>
            <w:r>
              <w:t xml:space="preserve">Census, 1–9</w:t>
            </w:r>
          </w:p>
        </w:tc>
      </w:tr>
      <w:tr>
        <w:trPr>
          <w:cantSplit/>
        </w:trPr>
        <w:tc>
          <w:tcPr>
            <w:tcW w:w="1650" w:type="dxa"/>
          </w:tcPr>
          <w:p>
            <w:pPr>
              <w:pStyle w:val="Compact"/>
            </w:pPr>
            <w:r>
              <w:t xml:space="preserve">treeID</w:t>
            </w:r>
          </w:p>
        </w:tc>
        <w:tc>
          <w:tcPr>
            <w:tcW w:w="1150" w:type="dxa"/>
          </w:tcPr>
          <w:p>
            <w:pPr>
              <w:pStyle w:val="Compact"/>
            </w:pPr>
            <w:r>
              <w:t xml:space="preserve">character</w:t>
            </w:r>
          </w:p>
        </w:tc>
        <w:tc>
          <w:tcPr>
            <w:tcW w:w="7280" w:type="dxa"/>
          </w:tcPr>
          <w:p>
            <w:pPr>
              <w:pStyle w:val="Compact"/>
            </w:pPr>
            <w:r>
              <w:t xml:space="preserve">Individual (a tree, shrub, palm, tree fern or strangler fig); the same in every census</w:t>
            </w:r>
          </w:p>
        </w:tc>
      </w:tr>
      <w:tr>
        <w:trPr>
          <w:cantSplit/>
        </w:trPr>
        <w:tc>
          <w:tcPr>
            <w:tcW w:w="1650" w:type="dxa"/>
          </w:tcPr>
          <w:p>
            <w:pPr>
              <w:pStyle w:val="Compact"/>
            </w:pPr>
            <w:r>
              <w:t xml:space="preserve">stemID</w:t>
            </w:r>
          </w:p>
        </w:tc>
        <w:tc>
          <w:tcPr>
            <w:tcW w:w="1150" w:type="dxa"/>
          </w:tcPr>
          <w:p>
            <w:pPr>
              <w:pStyle w:val="Compact"/>
            </w:pPr>
            <w:r>
              <w:t xml:space="preserve">integer</w:t>
            </w:r>
          </w:p>
        </w:tc>
        <w:tc>
          <w:tcPr>
            <w:tcW w:w="7280" w:type="dxa"/>
          </w:tcPr>
          <w:p>
            <w:pPr>
              <w:pStyle w:val="Compact"/>
            </w:pPr>
            <w:r>
              <w:t xml:space="preserve">Stem number within its individual (1, 2, …); treeID and stemID together identify a stem</w:t>
            </w:r>
          </w:p>
        </w:tc>
      </w:tr>
      <w:tr>
        <w:trPr>
          <w:cantSplit/>
        </w:trPr>
        <w:tc>
          <w:tcPr>
            <w:tcW w:w="1650" w:type="dxa"/>
          </w:tcPr>
          <w:p>
            <w:pPr>
              <w:pStyle w:val="Compact"/>
            </w:pPr>
            <w:r>
              <w:t xml:space="preserve">tag</w:t>
            </w:r>
          </w:p>
        </w:tc>
        <w:tc>
          <w:tcPr>
            <w:tcW w:w="1150" w:type="dxa"/>
          </w:tcPr>
          <w:p>
            <w:pPr>
              <w:pStyle w:val="Compact"/>
            </w:pPr>
            <w:r>
              <w:t xml:space="preserve">character</w:t>
            </w:r>
          </w:p>
        </w:tc>
        <w:tc>
          <w:tcPr>
            <w:tcW w:w="7280" w:type="dxa"/>
          </w:tcPr>
          <w:p>
            <w:pPr>
              <w:pStyle w:val="Compact"/>
            </w:pPr>
            <w:r>
              <w:t xml:space="preserve">Field tag of the individual, with leading zeros and sign kept (e.g. 000006, -05599)</w:t>
            </w:r>
          </w:p>
        </w:tc>
      </w:tr>
      <w:tr>
        <w:trPr>
          <w:cantSplit/>
        </w:trPr>
        <w:tc>
          <w:tcPr>
            <w:tcW w:w="1650" w:type="dxa"/>
          </w:tcPr>
          <w:p>
            <w:pPr>
              <w:pStyle w:val="Compact"/>
            </w:pPr>
            <w:r>
              <w:t xml:space="preserve">StemTag</w:t>
            </w:r>
          </w:p>
        </w:tc>
        <w:tc>
          <w:tcPr>
            <w:tcW w:w="1150" w:type="dxa"/>
          </w:tcPr>
          <w:p>
            <w:pPr>
              <w:pStyle w:val="Compact"/>
            </w:pPr>
            <w:r>
              <w:t xml:space="preserve">character</w:t>
            </w:r>
          </w:p>
        </w:tc>
        <w:tc>
          <w:tcPr>
            <w:tcW w:w="7280" w:type="dxa"/>
          </w:tcPr>
          <w:p>
            <w:pPr>
              <w:pStyle w:val="Compact"/>
            </w:pPr>
            <w:r>
              <w:t xml:space="preserve">Field tag of the stem, used since 2010; earlier records may show the tag the stem received later</w:t>
            </w:r>
          </w:p>
        </w:tc>
      </w:tr>
      <w:tr>
        <w:trPr>
          <w:cantSplit/>
        </w:trPr>
        <w:tc>
          <w:tcPr>
            <w:tcW w:w="1650" w:type="dxa"/>
          </w:tcPr>
          <w:p>
            <w:pPr>
              <w:pStyle w:val="Compact"/>
            </w:pPr>
            <w:r>
              <w:t xml:space="preserve">sp</w:t>
            </w:r>
          </w:p>
        </w:tc>
        <w:tc>
          <w:tcPr>
            <w:tcW w:w="1150" w:type="dxa"/>
          </w:tcPr>
          <w:p>
            <w:pPr>
              <w:pStyle w:val="Compact"/>
            </w:pPr>
            <w:r>
              <w:t xml:space="preserve">character</w:t>
            </w:r>
          </w:p>
        </w:tc>
        <w:tc>
          <w:tcPr>
            <w:tcW w:w="7280" w:type="dxa"/>
          </w:tcPr>
          <w:p>
            <w:pPr>
              <w:pStyle w:val="Compact"/>
            </w:pPr>
            <w:r>
              <w:t xml:space="preserve">Species code; joins the species table</w:t>
            </w:r>
          </w:p>
        </w:tc>
      </w:tr>
      <w:tr>
        <w:trPr>
          <w:cantSplit/>
        </w:trPr>
        <w:tc>
          <w:tcPr>
            <w:tcW w:w="1650" w:type="dxa"/>
          </w:tcPr>
          <w:p>
            <w:pPr>
              <w:pStyle w:val="Compact"/>
            </w:pPr>
            <w:r>
              <w:t xml:space="preserve">quadrat</w:t>
            </w:r>
          </w:p>
        </w:tc>
        <w:tc>
          <w:tcPr>
            <w:tcW w:w="1150" w:type="dxa"/>
          </w:tcPr>
          <w:p>
            <w:pPr>
              <w:pStyle w:val="Compact"/>
            </w:pPr>
            <w:r>
              <w:t xml:space="preserve">character</w:t>
            </w:r>
          </w:p>
        </w:tc>
        <w:tc>
          <w:tcPr>
            <w:tcW w:w="7280" w:type="dxa"/>
          </w:tcPr>
          <w:p>
            <w:pPr>
              <w:pStyle w:val="Compact"/>
            </w:pPr>
            <w:r>
              <w:t xml:space="preserve">20 × 20 m quadrat, XXYY: column (gx/20) and row (gy/20)</w:t>
            </w:r>
          </w:p>
        </w:tc>
      </w:tr>
      <w:tr>
        <w:trPr>
          <w:cantSplit/>
        </w:trPr>
        <w:tc>
          <w:tcPr>
            <w:tcW w:w="1650" w:type="dxa"/>
          </w:tcPr>
          <w:p>
            <w:pPr>
              <w:pStyle w:val="Compact"/>
            </w:pPr>
            <w:r>
              <w:t xml:space="preserve">gx</w:t>
            </w:r>
          </w:p>
        </w:tc>
        <w:tc>
          <w:tcPr>
            <w:tcW w:w="1150" w:type="dxa"/>
          </w:tcPr>
          <w:p>
            <w:pPr>
              <w:pStyle w:val="Compact"/>
            </w:pPr>
            <w:r>
              <w:t xml:space="preserve">numeric</w:t>
            </w:r>
          </w:p>
        </w:tc>
        <w:tc>
          <w:tcPr>
            <w:tcW w:w="7280" w:type="dxa"/>
          </w:tcPr>
          <w:p>
            <w:pPr>
              <w:pStyle w:val="Compact"/>
            </w:pPr>
            <w:r>
              <w:t xml:space="preserve">Location of the individual, in m east of the western edge (0–1000); one value per individual</w:t>
            </w:r>
          </w:p>
        </w:tc>
      </w:tr>
      <w:tr>
        <w:trPr>
          <w:cantSplit/>
        </w:trPr>
        <w:tc>
          <w:tcPr>
            <w:tcW w:w="1650" w:type="dxa"/>
          </w:tcPr>
          <w:p>
            <w:pPr>
              <w:pStyle w:val="Compact"/>
            </w:pPr>
            <w:r>
              <w:t xml:space="preserve">gy</w:t>
            </w:r>
          </w:p>
        </w:tc>
        <w:tc>
          <w:tcPr>
            <w:tcW w:w="1150" w:type="dxa"/>
          </w:tcPr>
          <w:p>
            <w:pPr>
              <w:pStyle w:val="Compact"/>
            </w:pPr>
            <w:r>
              <w:t xml:space="preserve">numeric</w:t>
            </w:r>
          </w:p>
        </w:tc>
        <w:tc>
          <w:tcPr>
            <w:tcW w:w="7280" w:type="dxa"/>
          </w:tcPr>
          <w:p>
            <w:pPr>
              <w:pStyle w:val="Compact"/>
            </w:pPr>
            <w:r>
              <w:t xml:space="preserve">Location of the individual, in m north of the southern edge (0–500); one value per individual</w:t>
            </w:r>
          </w:p>
        </w:tc>
      </w:tr>
      <w:tr>
        <w:trPr>
          <w:cantSplit/>
        </w:trPr>
        <w:tc>
          <w:tcPr>
            <w:tcW w:w="1650" w:type="dxa"/>
          </w:tcPr>
          <w:p>
            <w:pPr>
              <w:pStyle w:val="Compact"/>
            </w:pPr>
            <w:r>
              <w:t xml:space="preserve">dbh</w:t>
            </w:r>
          </w:p>
        </w:tc>
        <w:tc>
          <w:tcPr>
            <w:tcW w:w="1150" w:type="dxa"/>
          </w:tcPr>
          <w:p>
            <w:pPr>
              <w:pStyle w:val="Compact"/>
            </w:pPr>
            <w:r>
              <w:t xml:space="preserve">numeric</w:t>
            </w:r>
          </w:p>
        </w:tc>
        <w:tc>
          <w:tcPr>
            <w:tcW w:w="7280" w:type="dxa"/>
          </w:tcPr>
          <w:p>
            <w:pPr>
              <w:pStyle w:val="Compact"/>
            </w:pPr>
            <w:r>
              <w:t xml:space="preserve">Diameter as recorded, in mm, at height hom; empty when not measured</w:t>
            </w:r>
          </w:p>
        </w:tc>
      </w:tr>
      <w:tr>
        <w:trPr>
          <w:cantSplit/>
        </w:trPr>
        <w:tc>
          <w:tcPr>
            <w:tcW w:w="1650" w:type="dxa"/>
          </w:tcPr>
          <w:p>
            <w:pPr>
              <w:pStyle w:val="Compact"/>
            </w:pPr>
            <w:r>
              <w:t xml:space="preserve">hom</w:t>
            </w:r>
          </w:p>
        </w:tc>
        <w:tc>
          <w:tcPr>
            <w:tcW w:w="1150" w:type="dxa"/>
          </w:tcPr>
          <w:p>
            <w:pPr>
              <w:pStyle w:val="Compact"/>
            </w:pPr>
            <w:r>
              <w:t xml:space="preserve">numeric</w:t>
            </w:r>
          </w:p>
        </w:tc>
        <w:tc>
          <w:tcPr>
            <w:tcW w:w="7280" w:type="dxa"/>
          </w:tcPr>
          <w:p>
            <w:pPr>
              <w:pStyle w:val="Compact"/>
            </w:pPr>
            <w:r>
              <w:t xml:space="preserve">Height of measurement as recorded, in m</w:t>
            </w:r>
          </w:p>
        </w:tc>
      </w:tr>
      <w:tr>
        <w:trPr>
          <w:cantSplit/>
        </w:trPr>
        <w:tc>
          <w:tcPr>
            <w:tcW w:w="1650" w:type="dxa"/>
          </w:tcPr>
          <w:p>
            <w:pPr>
              <w:pStyle w:val="Compact"/>
            </w:pPr>
            <w:r>
              <w:t xml:space="preserve">ExactDate</w:t>
            </w:r>
          </w:p>
        </w:tc>
        <w:tc>
          <w:tcPr>
            <w:tcW w:w="1150" w:type="dxa"/>
          </w:tcPr>
          <w:p>
            <w:pPr>
              <w:pStyle w:val="Compact"/>
            </w:pPr>
            <w:r>
              <w:t xml:space="preserve">Date</w:t>
            </w:r>
          </w:p>
        </w:tc>
        <w:tc>
          <w:tcPr>
            <w:tcW w:w="7280" w:type="dxa"/>
          </w:tcPr>
          <w:p>
            <w:pPr>
              <w:pStyle w:val="Compact"/>
            </w:pPr>
            <w:r>
              <w:t xml:space="preserve">Date of the field record; empty without a record</w:t>
            </w:r>
          </w:p>
        </w:tc>
      </w:tr>
      <w:tr>
        <w:trPr>
          <w:cantSplit/>
        </w:trPr>
        <w:tc>
          <w:tcPr>
            <w:tcW w:w="1650" w:type="dxa"/>
          </w:tcPr>
          <w:p>
            <w:pPr>
              <w:pStyle w:val="Compact"/>
            </w:pPr>
            <w:r>
              <w:t xml:space="preserve">date</w:t>
            </w:r>
          </w:p>
        </w:tc>
        <w:tc>
          <w:tcPr>
            <w:tcW w:w="1150" w:type="dxa"/>
          </w:tcPr>
          <w:p>
            <w:pPr>
              <w:pStyle w:val="Compact"/>
            </w:pPr>
            <w:r>
              <w:t xml:space="preserve">numeric</w:t>
            </w:r>
          </w:p>
        </w:tc>
        <w:tc>
          <w:tcPr>
            <w:tcW w:w="7280" w:type="dxa"/>
          </w:tcPr>
          <w:p>
            <w:pPr>
              <w:pStyle w:val="Compact"/>
            </w:pPr>
            <w:r>
              <w:t xml:space="preserve">Date of every row, in days since 1 January 1960: the recorded date, else the most common date of the individual, the quadrat or the census</w:t>
            </w:r>
          </w:p>
        </w:tc>
      </w:tr>
      <w:tr>
        <w:trPr>
          <w:cantSplit/>
        </w:trPr>
        <w:tc>
          <w:tcPr>
            <w:tcW w:w="1650" w:type="dxa"/>
          </w:tcPr>
          <w:p>
            <w:pPr>
              <w:pStyle w:val="Compact"/>
            </w:pPr>
            <w:r>
              <w:t xml:space="preserve">codes</w:t>
            </w:r>
          </w:p>
        </w:tc>
        <w:tc>
          <w:tcPr>
            <w:tcW w:w="1150" w:type="dxa"/>
          </w:tcPr>
          <w:p>
            <w:pPr>
              <w:pStyle w:val="Compact"/>
            </w:pPr>
            <w:r>
              <w:t xml:space="preserve">character</w:t>
            </w:r>
          </w:p>
        </w:tc>
        <w:tc>
          <w:tcPr>
            <w:tcW w:w="7280" w:type="dxa"/>
          </w:tcPr>
          <w:p>
            <w:pPr>
              <w:pStyle w:val="Compact"/>
            </w:pPr>
            <w:r>
              <w:t xml:space="preserve">Field codes as recorded, separated by ;</w:t>
            </w:r>
          </w:p>
        </w:tc>
      </w:tr>
      <w:tr>
        <w:trPr>
          <w:cantSplit/>
        </w:trPr>
        <w:tc>
          <w:tcPr>
            <w:tcW w:w="1650" w:type="dxa"/>
          </w:tcPr>
          <w:p>
            <w:pPr>
              <w:pStyle w:val="Compact"/>
            </w:pPr>
            <w:r>
              <w:t xml:space="preserve">DFstatus</w:t>
            </w:r>
          </w:p>
        </w:tc>
        <w:tc>
          <w:tcPr>
            <w:tcW w:w="1150" w:type="dxa"/>
          </w:tcPr>
          <w:p>
            <w:pPr>
              <w:pStyle w:val="Compact"/>
            </w:pPr>
            <w:r>
              <w:t xml:space="preserve">character</w:t>
            </w:r>
          </w:p>
        </w:tc>
        <w:tc>
          <w:tcPr>
            <w:tcW w:w="7280" w:type="dxa"/>
          </w:tcPr>
          <w:p>
            <w:pPr>
              <w:pStyle w:val="Compact"/>
            </w:pPr>
            <w:r>
              <w:t xml:space="preserve">Field status as recorded: alive, broken below, dead, stem dead, missing; empty without a record</w:t>
            </w:r>
          </w:p>
        </w:tc>
      </w:tr>
      <w:tr>
        <w:trPr>
          <w:cantSplit/>
        </w:trPr>
        <w:tc>
          <w:tcPr>
            <w:tcW w:w="1650" w:type="dxa"/>
          </w:tcPr>
          <w:p>
            <w:pPr>
              <w:pStyle w:val="Compact"/>
            </w:pPr>
            <w:r>
              <w:t xml:space="preserve">Rstatus</w:t>
            </w:r>
          </w:p>
        </w:tc>
        <w:tc>
          <w:tcPr>
            <w:tcW w:w="1150" w:type="dxa"/>
          </w:tcPr>
          <w:p>
            <w:pPr>
              <w:pStyle w:val="Compact"/>
            </w:pPr>
            <w:r>
              <w:t xml:space="preserve">character</w:t>
            </w:r>
          </w:p>
        </w:tc>
        <w:tc>
          <w:tcPr>
            <w:tcW w:w="7280" w:type="dxa"/>
          </w:tcPr>
          <w:p>
            <w:pPr>
              <w:pStyle w:val="Compact"/>
            </w:pPr>
            <w:r>
              <w:t xml:space="preserve">Analytical status: P, A, G or D (Table 3)</w:t>
            </w:r>
          </w:p>
        </w:tc>
      </w:tr>
      <w:tr>
        <w:trPr>
          <w:cantSplit/>
        </w:trPr>
        <w:tc>
          <w:tcPr>
            <w:tcW w:w="1650" w:type="dxa"/>
          </w:tcPr>
          <w:p>
            <w:pPr>
              <w:pStyle w:val="Compact"/>
            </w:pPr>
            <w:r>
              <w:t xml:space="preserve">StemPaths</w:t>
            </w:r>
          </w:p>
        </w:tc>
        <w:tc>
          <w:tcPr>
            <w:tcW w:w="1150" w:type="dxa"/>
          </w:tcPr>
          <w:p>
            <w:pPr>
              <w:pStyle w:val="Compact"/>
            </w:pPr>
            <w:r>
              <w:t xml:space="preserve">integer</w:t>
            </w:r>
          </w:p>
        </w:tc>
        <w:tc>
          <w:tcPr>
            <w:tcW w:w="7280" w:type="dxa"/>
          </w:tcPr>
          <w:p>
            <w:pPr>
              <w:pStyle w:val="Compact"/>
            </w:pPr>
            <w:r>
              <w:t xml:space="preserve">Key of the record in the reconstruction, unique within its individual; the posterior samples list the measured records up to the individual's anchor census (2010 for most individuals); empty for individuals not reconstructed</w:t>
            </w:r>
          </w:p>
        </w:tc>
      </w:tr>
    </w:tbl>
    <w:p>
      <w:pPr>
        <w:pStyle w:val="BodyText"/>
      </w:pPr>
    </w:p>
    <w:p>
      <w:pPr>
        <w:pStyle w:val="TableCaption"/>
        <w:keepNext/>
      </w:pPr>
      <w:r>
        <w:rPr>
          <w:b/>
          <w:bCs/>
        </w:rPr>
        <w:t xml:space="preserve">Table 2. </w:t>
      </w:r>
      <w:r>
        <w:t xml:space="preserve">Columns of the species table bci.spptable: one row per species code (328 rows, uniden included). Type is the R class of the column; empty cells are NA.</w:t>
      </w:r>
    </w:p>
    <w:tbl>
      <w:tblPr>
        <w:tblStyle w:val="Table"/>
        <w:tblW w:w="10080" w:type="dxa"/>
        <w:tblLayout w:type="fixed"/>
        <w:tblLook w:val="0020" w:firstRow="1" w:lastRow="0" w:firstColumn="0" w:lastColumn="0" w:noHBand="0" w:noVBand="0"/>
      </w:tblPr>
      <w:tblGrid>
        <w:gridCol w:w="2700"/>
        <w:gridCol w:w="1150"/>
        <w:gridCol w:w="6230"/>
      </w:tblGrid>
      <w:tr>
        <w:trPr>
          <w:tblHeader/>
          <w:cantSplit/>
        </w:trPr>
        <w:tc>
          <w:tcPr>
            <w:tcW w:w="2700" w:type="dxa"/>
          </w:tcPr>
          <w:p>
            <w:pPr>
              <w:pStyle w:val="Compact"/>
            </w:pPr>
            <w:r>
              <w:t xml:space="preserve">Column</w:t>
            </w:r>
          </w:p>
        </w:tc>
        <w:tc>
          <w:tcPr>
            <w:tcW w:w="1150" w:type="dxa"/>
          </w:tcPr>
          <w:p>
            <w:pPr>
              <w:pStyle w:val="Compact"/>
            </w:pPr>
            <w:r>
              <w:t xml:space="preserve">Type</w:t>
            </w:r>
          </w:p>
        </w:tc>
        <w:tc>
          <w:tcPr>
            <w:tcW w:w="6230" w:type="dxa"/>
          </w:tcPr>
          <w:p>
            <w:pPr>
              <w:pStyle w:val="Compact"/>
            </w:pPr>
            <w:r>
              <w:t xml:space="preserve">Content</w:t>
            </w:r>
          </w:p>
        </w:tc>
      </w:tr>
      <w:tr>
        <w:trPr>
          <w:cantSplit/>
        </w:trPr>
        <w:tc>
          <w:tcPr>
            <w:tcW w:w="2700" w:type="dxa"/>
          </w:tcPr>
          <w:p>
            <w:pPr>
              <w:pStyle w:val="Compact"/>
            </w:pPr>
            <w:r>
              <w:t xml:space="preserve">sp</w:t>
            </w:r>
          </w:p>
        </w:tc>
        <w:tc>
          <w:tcPr>
            <w:tcW w:w="1150" w:type="dxa"/>
          </w:tcPr>
          <w:p>
            <w:pPr>
              <w:pStyle w:val="Compact"/>
            </w:pPr>
            <w:r>
              <w:t xml:space="preserve">character</w:t>
            </w:r>
          </w:p>
        </w:tc>
        <w:tc>
          <w:tcPr>
            <w:tcW w:w="6230" w:type="dxa"/>
          </w:tcPr>
          <w:p>
            <w:pPr>
              <w:pStyle w:val="Compact"/>
            </w:pPr>
            <w:r>
              <w:t xml:space="preserve">Species code; joins the census tables</w:t>
            </w:r>
          </w:p>
        </w:tc>
      </w:tr>
      <w:tr>
        <w:trPr>
          <w:cantSplit/>
        </w:trPr>
        <w:tc>
          <w:tcPr>
            <w:tcW w:w="2700" w:type="dxa"/>
          </w:tcPr>
          <w:p>
            <w:pPr>
              <w:pStyle w:val="Compact"/>
            </w:pPr>
            <w:r>
              <w:t xml:space="preserve">Order</w:t>
            </w:r>
          </w:p>
        </w:tc>
        <w:tc>
          <w:tcPr>
            <w:tcW w:w="1150" w:type="dxa"/>
          </w:tcPr>
          <w:p>
            <w:pPr>
              <w:pStyle w:val="Compact"/>
            </w:pPr>
            <w:r>
              <w:t xml:space="preserve">character</w:t>
            </w:r>
          </w:p>
        </w:tc>
        <w:tc>
          <w:tcPr>
            <w:tcW w:w="6230" w:type="dxa"/>
          </w:tcPr>
          <w:p>
            <w:pPr>
              <w:pStyle w:val="Compact"/>
            </w:pPr>
            <w:r>
              <w:t xml:space="preserve">Order</w:t>
            </w:r>
          </w:p>
        </w:tc>
      </w:tr>
      <w:tr>
        <w:trPr>
          <w:cantSplit/>
        </w:trPr>
        <w:tc>
          <w:tcPr>
            <w:tcW w:w="2700" w:type="dxa"/>
          </w:tcPr>
          <w:p>
            <w:pPr>
              <w:pStyle w:val="Compact"/>
            </w:pPr>
            <w:r>
              <w:t xml:space="preserve">Family</w:t>
            </w:r>
          </w:p>
        </w:tc>
        <w:tc>
          <w:tcPr>
            <w:tcW w:w="1150" w:type="dxa"/>
          </w:tcPr>
          <w:p>
            <w:pPr>
              <w:pStyle w:val="Compact"/>
            </w:pPr>
            <w:r>
              <w:t xml:space="preserve">character</w:t>
            </w:r>
          </w:p>
        </w:tc>
        <w:tc>
          <w:tcPr>
            <w:tcW w:w="6230" w:type="dxa"/>
          </w:tcPr>
          <w:p>
            <w:pPr>
              <w:pStyle w:val="Compact"/>
            </w:pPr>
            <w:r>
              <w:t xml:space="preserve">Family</w:t>
            </w:r>
          </w:p>
        </w:tc>
      </w:tr>
      <w:tr>
        <w:trPr>
          <w:cantSplit/>
        </w:trPr>
        <w:tc>
          <w:tcPr>
            <w:tcW w:w="2700" w:type="dxa"/>
          </w:tcPr>
          <w:p>
            <w:pPr>
              <w:pStyle w:val="Compact"/>
            </w:pPr>
            <w:r>
              <w:t xml:space="preserve">Genus</w:t>
            </w:r>
          </w:p>
        </w:tc>
        <w:tc>
          <w:tcPr>
            <w:tcW w:w="1150" w:type="dxa"/>
          </w:tcPr>
          <w:p>
            <w:pPr>
              <w:pStyle w:val="Compact"/>
            </w:pPr>
            <w:r>
              <w:t xml:space="preserve">character</w:t>
            </w:r>
          </w:p>
        </w:tc>
        <w:tc>
          <w:tcPr>
            <w:tcW w:w="6230" w:type="dxa"/>
          </w:tcPr>
          <w:p>
            <w:pPr>
              <w:pStyle w:val="Compact"/>
            </w:pPr>
            <w:r>
              <w:t xml:space="preserve">Genus</w:t>
            </w:r>
          </w:p>
        </w:tc>
      </w:tr>
      <w:tr>
        <w:trPr>
          <w:cantSplit/>
        </w:trPr>
        <w:tc>
          <w:tcPr>
            <w:tcW w:w="2700" w:type="dxa"/>
          </w:tcPr>
          <w:p>
            <w:pPr>
              <w:pStyle w:val="Compact"/>
            </w:pPr>
            <w:r>
              <w:t xml:space="preserve">SpeciesName</w:t>
            </w:r>
          </w:p>
        </w:tc>
        <w:tc>
          <w:tcPr>
            <w:tcW w:w="1150" w:type="dxa"/>
          </w:tcPr>
          <w:p>
            <w:pPr>
              <w:pStyle w:val="Compact"/>
            </w:pPr>
            <w:r>
              <w:t xml:space="preserve">character</w:t>
            </w:r>
          </w:p>
        </w:tc>
        <w:tc>
          <w:tcPr>
            <w:tcW w:w="6230" w:type="dxa"/>
          </w:tcPr>
          <w:p>
            <w:pPr>
              <w:pStyle w:val="Compact"/>
            </w:pPr>
            <w:r>
              <w:t xml:space="preserve">Species epithet; for a morphospecies, its label</w:t>
            </w:r>
          </w:p>
        </w:tc>
      </w:tr>
      <w:tr>
        <w:trPr>
          <w:cantSplit/>
        </w:trPr>
        <w:tc>
          <w:tcPr>
            <w:tcW w:w="2700" w:type="dxa"/>
          </w:tcPr>
          <w:p>
            <w:pPr>
              <w:pStyle w:val="Compact"/>
            </w:pPr>
            <w:r>
              <w:t xml:space="preserve">Latin</w:t>
            </w:r>
          </w:p>
        </w:tc>
        <w:tc>
          <w:tcPr>
            <w:tcW w:w="1150" w:type="dxa"/>
          </w:tcPr>
          <w:p>
            <w:pPr>
              <w:pStyle w:val="Compact"/>
            </w:pPr>
            <w:r>
              <w:t xml:space="preserve">character</w:t>
            </w:r>
          </w:p>
        </w:tc>
        <w:tc>
          <w:tcPr>
            <w:tcW w:w="6230" w:type="dxa"/>
          </w:tcPr>
          <w:p>
            <w:pPr>
              <w:pStyle w:val="Compact"/>
            </w:pPr>
            <w:r>
              <w:t xml:space="preserve">Scientific name: genus and epithet, then the infraspecific name when there is one</w:t>
            </w:r>
          </w:p>
        </w:tc>
      </w:tr>
      <w:tr>
        <w:trPr>
          <w:cantSplit/>
        </w:trPr>
        <w:tc>
          <w:tcPr>
            <w:tcW w:w="2700" w:type="dxa"/>
          </w:tcPr>
          <w:p>
            <w:pPr>
              <w:pStyle w:val="Compact"/>
            </w:pPr>
            <w:r>
              <w:t xml:space="preserve">InfraspecificRank</w:t>
            </w:r>
          </w:p>
        </w:tc>
        <w:tc>
          <w:tcPr>
            <w:tcW w:w="1150" w:type="dxa"/>
          </w:tcPr>
          <w:p>
            <w:pPr>
              <w:pStyle w:val="Compact"/>
            </w:pPr>
            <w:r>
              <w:t xml:space="preserve">character</w:t>
            </w:r>
          </w:p>
        </w:tc>
        <w:tc>
          <w:tcPr>
            <w:tcW w:w="6230" w:type="dxa"/>
          </w:tcPr>
          <w:p>
            <w:pPr>
              <w:pStyle w:val="Compact"/>
            </w:pPr>
            <w:r>
              <w:t xml:space="preserve">Rank below species (var. or subsp.); empty when none</w:t>
            </w:r>
          </w:p>
        </w:tc>
      </w:tr>
      <w:tr>
        <w:trPr>
          <w:cantSplit/>
        </w:trPr>
        <w:tc>
          <w:tcPr>
            <w:tcW w:w="2700" w:type="dxa"/>
          </w:tcPr>
          <w:p>
            <w:pPr>
              <w:pStyle w:val="Compact"/>
            </w:pPr>
            <w:r>
              <w:t xml:space="preserve">InfraspecificEpithet</w:t>
            </w:r>
          </w:p>
        </w:tc>
        <w:tc>
          <w:tcPr>
            <w:tcW w:w="1150" w:type="dxa"/>
          </w:tcPr>
          <w:p>
            <w:pPr>
              <w:pStyle w:val="Compact"/>
            </w:pPr>
            <w:r>
              <w:t xml:space="preserve">character</w:t>
            </w:r>
          </w:p>
        </w:tc>
        <w:tc>
          <w:tcPr>
            <w:tcW w:w="6230" w:type="dxa"/>
          </w:tcPr>
          <w:p>
            <w:pPr>
              <w:pStyle w:val="Compact"/>
            </w:pPr>
            <w:r>
              <w:t xml:space="preserve">Epithet below species; empty when none</w:t>
            </w:r>
          </w:p>
        </w:tc>
      </w:tr>
      <w:tr>
        <w:trPr>
          <w:cantSplit/>
        </w:trPr>
        <w:tc>
          <w:tcPr>
            <w:tcW w:w="2700" w:type="dxa"/>
          </w:tcPr>
          <w:p>
            <w:pPr>
              <w:pStyle w:val="Compact"/>
            </w:pPr>
            <w:r>
              <w:t xml:space="preserve">Authority</w:t>
            </w:r>
          </w:p>
        </w:tc>
        <w:tc>
          <w:tcPr>
            <w:tcW w:w="1150" w:type="dxa"/>
          </w:tcPr>
          <w:p>
            <w:pPr>
              <w:pStyle w:val="Compact"/>
            </w:pPr>
            <w:r>
              <w:t xml:space="preserve">character</w:t>
            </w:r>
          </w:p>
        </w:tc>
        <w:tc>
          <w:tcPr>
            <w:tcW w:w="6230" w:type="dxa"/>
          </w:tcPr>
          <w:p>
            <w:pPr>
              <w:pStyle w:val="Compact"/>
            </w:pPr>
            <w:r>
              <w:t xml:space="preserve">Authors of the name</w:t>
            </w:r>
          </w:p>
        </w:tc>
      </w:tr>
      <w:tr>
        <w:trPr>
          <w:cantSplit/>
        </w:trPr>
        <w:tc>
          <w:tcPr>
            <w:tcW w:w="2700" w:type="dxa"/>
          </w:tcPr>
          <w:p>
            <w:pPr>
              <w:pStyle w:val="Compact"/>
            </w:pPr>
            <w:r>
              <w:t xml:space="preserve">Synonyms</w:t>
            </w:r>
          </w:p>
        </w:tc>
        <w:tc>
          <w:tcPr>
            <w:tcW w:w="1150" w:type="dxa"/>
          </w:tcPr>
          <w:p>
            <w:pPr>
              <w:pStyle w:val="Compact"/>
            </w:pPr>
            <w:r>
              <w:t xml:space="preserve">character</w:t>
            </w:r>
          </w:p>
        </w:tc>
        <w:tc>
          <w:tcPr>
            <w:tcW w:w="6230" w:type="dxa"/>
          </w:tcPr>
          <w:p>
            <w:pPr>
              <w:pStyle w:val="Compact"/>
            </w:pPr>
            <w:r>
              <w:t xml:space="preserve">Synonyms and earlier names, separated by commas</w:t>
            </w:r>
          </w:p>
        </w:tc>
      </w:tr>
      <w:tr>
        <w:trPr>
          <w:cantSplit/>
        </w:trPr>
        <w:tc>
          <w:tcPr>
            <w:tcW w:w="2700" w:type="dxa"/>
          </w:tcPr>
          <w:p>
            <w:pPr>
              <w:pStyle w:val="Compact"/>
            </w:pPr>
            <w:r>
              <w:t xml:space="preserve">Lifeform_RFoster</w:t>
            </w:r>
          </w:p>
        </w:tc>
        <w:tc>
          <w:tcPr>
            <w:tcW w:w="1150" w:type="dxa"/>
          </w:tcPr>
          <w:p>
            <w:pPr>
              <w:pStyle w:val="Compact"/>
            </w:pPr>
            <w:r>
              <w:t xml:space="preserve">character</w:t>
            </w:r>
          </w:p>
        </w:tc>
        <w:tc>
          <w:tcPr>
            <w:tcW w:w="6230" w:type="dxa"/>
          </w:tcPr>
          <w:p>
            <w:pPr>
              <w:pStyle w:val="Compact"/>
            </w:pPr>
            <w:r>
              <w:t xml:space="preserve">Growth form after R. B. Foster</w:t>
            </w:r>
          </w:p>
        </w:tc>
      </w:tr>
      <w:tr>
        <w:trPr>
          <w:cantSplit/>
        </w:trPr>
        <w:tc>
          <w:tcPr>
            <w:tcW w:w="2700" w:type="dxa"/>
          </w:tcPr>
          <w:p>
            <w:pPr>
              <w:pStyle w:val="Compact"/>
            </w:pPr>
            <w:r>
              <w:t xml:space="preserve">Lifeform_RPerez_SAguilar</w:t>
            </w:r>
          </w:p>
        </w:tc>
        <w:tc>
          <w:tcPr>
            <w:tcW w:w="1150" w:type="dxa"/>
          </w:tcPr>
          <w:p>
            <w:pPr>
              <w:pStyle w:val="Compact"/>
            </w:pPr>
            <w:r>
              <w:t xml:space="preserve">character</w:t>
            </w:r>
          </w:p>
        </w:tc>
        <w:tc>
          <w:tcPr>
            <w:tcW w:w="6230" w:type="dxa"/>
          </w:tcPr>
          <w:p>
            <w:pPr>
              <w:pStyle w:val="Compact"/>
            </w:pPr>
            <w:r>
              <w:t xml:space="preserve">Growth form and height class after R. Pérez and S. Aguilar (in Spanish)</w:t>
            </w:r>
          </w:p>
        </w:tc>
      </w:tr>
      <w:tr>
        <w:trPr>
          <w:cantSplit/>
        </w:trPr>
        <w:tc>
          <w:tcPr>
            <w:tcW w:w="2700" w:type="dxa"/>
          </w:tcPr>
          <w:p>
            <w:pPr>
              <w:pStyle w:val="Compact"/>
            </w:pPr>
            <w:r>
              <w:t xml:space="preserve">CommonName</w:t>
            </w:r>
          </w:p>
        </w:tc>
        <w:tc>
          <w:tcPr>
            <w:tcW w:w="1150" w:type="dxa"/>
          </w:tcPr>
          <w:p>
            <w:pPr>
              <w:pStyle w:val="Compact"/>
            </w:pPr>
            <w:r>
              <w:t xml:space="preserve">character</w:t>
            </w:r>
          </w:p>
        </w:tc>
        <w:tc>
          <w:tcPr>
            <w:tcW w:w="6230" w:type="dxa"/>
          </w:tcPr>
          <w:p>
            <w:pPr>
              <w:pStyle w:val="Compact"/>
            </w:pPr>
            <w:r>
              <w:t xml:space="preserve">Common names</w:t>
            </w:r>
          </w:p>
        </w:tc>
      </w:tr>
      <w:tr>
        <w:trPr>
          <w:cantSplit/>
        </w:trPr>
        <w:tc>
          <w:tcPr>
            <w:tcW w:w="2700" w:type="dxa"/>
          </w:tcPr>
          <w:p>
            <w:pPr>
              <w:pStyle w:val="Compact"/>
            </w:pPr>
            <w:r>
              <w:t xml:space="preserve">Herbarium</w:t>
            </w:r>
          </w:p>
        </w:tc>
        <w:tc>
          <w:tcPr>
            <w:tcW w:w="1150" w:type="dxa"/>
          </w:tcPr>
          <w:p>
            <w:pPr>
              <w:pStyle w:val="Compact"/>
            </w:pPr>
            <w:r>
              <w:t xml:space="preserve">character</w:t>
            </w:r>
          </w:p>
        </w:tc>
        <w:tc>
          <w:tcPr>
            <w:tcW w:w="6230" w:type="dxa"/>
          </w:tcPr>
          <w:p>
            <w:pPr>
              <w:pStyle w:val="Compact"/>
            </w:pPr>
            <w:r>
              <w:t xml:space="preserve">Herbarium collections</w:t>
            </w:r>
          </w:p>
        </w:tc>
      </w:tr>
      <w:tr>
        <w:trPr>
          <w:cantSplit/>
        </w:trPr>
        <w:tc>
          <w:tcPr>
            <w:tcW w:w="2700" w:type="dxa"/>
          </w:tcPr>
          <w:p>
            <w:pPr>
              <w:pStyle w:val="Compact"/>
            </w:pPr>
            <w:r>
              <w:t xml:space="preserve">NameCondit2019</w:t>
            </w:r>
          </w:p>
        </w:tc>
        <w:tc>
          <w:tcPr>
            <w:tcW w:w="1150" w:type="dxa"/>
          </w:tcPr>
          <w:p>
            <w:pPr>
              <w:pStyle w:val="Compact"/>
            </w:pPr>
            <w:r>
              <w:t xml:space="preserve">character</w:t>
            </w:r>
          </w:p>
        </w:tc>
        <w:tc>
          <w:tcPr>
            <w:tcW w:w="6230" w:type="dxa"/>
          </w:tcPr>
          <w:p>
            <w:pPr>
              <w:pStyle w:val="Compact"/>
            </w:pPr>
            <w:r>
              <w:t xml:space="preserve">Name of the code in Condit et al. (2019a, 2019b), only when it differs from Latin</w:t>
            </w:r>
          </w:p>
        </w:tc>
      </w:tr>
      <w:tr>
        <w:trPr>
          <w:cantSplit/>
        </w:trPr>
        <w:tc>
          <w:tcPr>
            <w:tcW w:w="2700" w:type="dxa"/>
          </w:tcPr>
          <w:p>
            <w:pPr>
              <w:pStyle w:val="Compact"/>
            </w:pPr>
            <w:r>
              <w:t xml:space="preserve">NameChange</w:t>
            </w:r>
          </w:p>
        </w:tc>
        <w:tc>
          <w:tcPr>
            <w:tcW w:w="1150" w:type="dxa"/>
          </w:tcPr>
          <w:p>
            <w:pPr>
              <w:pStyle w:val="Compact"/>
            </w:pPr>
            <w:r>
              <w:t xml:space="preserve">character</w:t>
            </w:r>
          </w:p>
        </w:tc>
        <w:tc>
          <w:tcPr>
            <w:tcW w:w="6230" w:type="dxa"/>
          </w:tcPr>
          <w:p>
            <w:pPr>
              <w:pStyle w:val="Compact"/>
            </w:pPr>
            <w:r>
              <w:t xml:space="preserve">Kind of change from that name</w:t>
            </w:r>
          </w:p>
        </w:tc>
      </w:tr>
      <w:tr>
        <w:trPr>
          <w:cantSplit/>
        </w:trPr>
        <w:tc>
          <w:tcPr>
            <w:tcW w:w="2700" w:type="dxa"/>
          </w:tcPr>
          <w:p>
            <w:pPr>
              <w:pStyle w:val="Compact"/>
            </w:pPr>
            <w:r>
              <w:t xml:space="preserve">Notes</w:t>
            </w:r>
          </w:p>
        </w:tc>
        <w:tc>
          <w:tcPr>
            <w:tcW w:w="1150" w:type="dxa"/>
          </w:tcPr>
          <w:p>
            <w:pPr>
              <w:pStyle w:val="Compact"/>
            </w:pPr>
            <w:r>
              <w:t xml:space="preserve">character</w:t>
            </w:r>
          </w:p>
        </w:tc>
        <w:tc>
          <w:tcPr>
            <w:tcW w:w="6230" w:type="dxa"/>
          </w:tcPr>
          <w:p>
            <w:pPr>
              <w:pStyle w:val="Compact"/>
            </w:pPr>
            <w:r>
              <w:t xml:space="preserve">What no other column says, e.g. that uniden is not a taxon</w:t>
            </w:r>
          </w:p>
        </w:tc>
      </w:tr>
    </w:tbl>
    <w:p>
      <w:pPr>
        <w:pStyle w:val="BodyText"/>
      </w:pPr>
    </w:p>
    <w:p>
      <w:pPr>
        <w:pStyle w:val="TableCaption"/>
        <w:keepNext/>
      </w:pPr>
      <w:r>
        <w:rPr>
          <w:b/>
          <w:bCs/>
        </w:rPr>
        <w:t xml:space="preserve">Table 3. </w:t>
      </w:r>
      <w:r>
        <w:t xml:space="preserve">Analytical status of a stem in a census (Rstatus). Evidence of life is an alive record, a broken-below record (with a diameter, a measured resprout; without one, a stump: the stem broke below 1.3 m and is alive, with no stem at breast height), or a diameter on a missing or status-less record. A dead record is dead or stem dead.</w:t>
      </w:r>
    </w:p>
    <w:tbl>
      <w:tblPr>
        <w:tblStyle w:val="Table"/>
        <w:tblW w:w="10080" w:type="dxa"/>
        <w:tblLayout w:type="fixed"/>
        <w:tblLook w:val="0020" w:firstRow="1" w:lastRow="0" w:firstColumn="0" w:lastColumn="0" w:noHBand="0" w:noVBand="0"/>
      </w:tblPr>
      <w:tblGrid>
        <w:gridCol w:w="800"/>
        <w:gridCol w:w="1300"/>
        <w:gridCol w:w="7980"/>
      </w:tblGrid>
      <w:tr>
        <w:trPr>
          <w:tblHeader/>
          <w:cantSplit/>
        </w:trPr>
        <w:tc>
          <w:tcPr>
            <w:tcW w:w="800" w:type="dxa"/>
          </w:tcPr>
          <w:p>
            <w:pPr>
              <w:pStyle w:val="Compact"/>
            </w:pPr>
            <w:r>
              <w:t xml:space="preserve">Code</w:t>
            </w:r>
          </w:p>
        </w:tc>
        <w:tc>
          <w:tcPr>
            <w:tcW w:w="1300" w:type="dxa"/>
          </w:tcPr>
          <w:p>
            <w:pPr>
              <w:pStyle w:val="Compact"/>
            </w:pPr>
            <w:r>
              <w:t xml:space="preserve">Meaning</w:t>
            </w:r>
          </w:p>
        </w:tc>
        <w:tc>
          <w:tcPr>
            <w:tcW w:w="7980" w:type="dxa"/>
          </w:tcPr>
          <w:p>
            <w:pPr>
              <w:pStyle w:val="Compact"/>
            </w:pPr>
            <w:r>
              <w:t xml:space="preserve">Rule</w:t>
            </w:r>
          </w:p>
        </w:tc>
      </w:tr>
      <w:tr>
        <w:trPr>
          <w:cantSplit/>
        </w:trPr>
        <w:tc>
          <w:tcPr>
            <w:tcW w:w="800" w:type="dxa"/>
          </w:tcPr>
          <w:p>
            <w:pPr>
              <w:pStyle w:val="Compact"/>
            </w:pPr>
            <w:r>
              <w:t xml:space="preserve">P</w:t>
            </w:r>
          </w:p>
        </w:tc>
        <w:tc>
          <w:tcPr>
            <w:tcW w:w="1300" w:type="dxa"/>
          </w:tcPr>
          <w:p>
            <w:pPr>
              <w:pStyle w:val="Compact"/>
            </w:pPr>
            <w:r>
              <w:t xml:space="preserve">prior</w:t>
            </w:r>
          </w:p>
        </w:tc>
        <w:tc>
          <w:tcPr>
            <w:tcW w:w="7980" w:type="dxa"/>
          </w:tcPr>
          <w:p>
            <w:pPr>
              <w:pStyle w:val="Compact"/>
            </w:pPr>
            <w:r>
              <w:t xml:space="preserve">Before the stem's first record. A stem with only missing records is P in every census</w:t>
            </w:r>
          </w:p>
        </w:tc>
      </w:tr>
      <w:tr>
        <w:trPr>
          <w:cantSplit/>
        </w:trPr>
        <w:tc>
          <w:tcPr>
            <w:tcW w:w="800" w:type="dxa"/>
          </w:tcPr>
          <w:p>
            <w:pPr>
              <w:pStyle w:val="Compact"/>
            </w:pPr>
            <w:r>
              <w:t xml:space="preserve">A</w:t>
            </w:r>
          </w:p>
        </w:tc>
        <w:tc>
          <w:tcPr>
            <w:tcW w:w="1300" w:type="dxa"/>
          </w:tcPr>
          <w:p>
            <w:pPr>
              <w:pStyle w:val="Compact"/>
            </w:pPr>
            <w:r>
              <w:t xml:space="preserve">alive</w:t>
            </w:r>
          </w:p>
        </w:tc>
        <w:tc>
          <w:tcPr>
            <w:tcW w:w="7980" w:type="dxa"/>
          </w:tcPr>
          <w:p>
            <w:pPr>
              <w:pStyle w:val="Compact"/>
            </w:pPr>
            <w:r>
              <w:t xml:space="preserve">From the first record to the last evidence of life (an alive or broken-below record, or a diameter), also in censuses without a record or with a dead record in between. An alive cell without a diameter is a missed measurement; a stump, broken below 1.3 m and alive with no stem at breast height; or a dead, missing or absent record just before a stump</w:t>
            </w:r>
          </w:p>
        </w:tc>
      </w:tr>
      <w:tr>
        <w:trPr>
          <w:cantSplit/>
        </w:trPr>
        <w:tc>
          <w:tcPr>
            <w:tcW w:w="800" w:type="dxa"/>
          </w:tcPr>
          <w:p>
            <w:pPr>
              <w:pStyle w:val="Compact"/>
            </w:pPr>
            <w:r>
              <w:t xml:space="preserve">G</w:t>
            </w:r>
          </w:p>
        </w:tc>
        <w:tc>
          <w:tcPr>
            <w:tcW w:w="1300" w:type="dxa"/>
          </w:tcPr>
          <w:p>
            <w:pPr>
              <w:pStyle w:val="Compact"/>
            </w:pPr>
            <w:r>
              <w:t xml:space="preserve">dead stem</w:t>
            </w:r>
          </w:p>
        </w:tc>
        <w:tc>
          <w:tcPr>
            <w:tcW w:w="7980" w:type="dxa"/>
          </w:tcPr>
          <w:p>
            <w:pPr>
              <w:pStyle w:val="Compact"/>
            </w:pPr>
            <w:r>
              <w:t xml:space="preserve">Dead, while another stem of its individual is A in that census or later</w:t>
            </w:r>
          </w:p>
        </w:tc>
      </w:tr>
      <w:tr>
        <w:trPr>
          <w:cantSplit/>
        </w:trPr>
        <w:tc>
          <w:tcPr>
            <w:tcW w:w="800" w:type="dxa"/>
          </w:tcPr>
          <w:p>
            <w:pPr>
              <w:pStyle w:val="Compact"/>
            </w:pPr>
            <w:r>
              <w:t xml:space="preserve">D</w:t>
            </w:r>
          </w:p>
        </w:tc>
        <w:tc>
          <w:tcPr>
            <w:tcW w:w="1300" w:type="dxa"/>
          </w:tcPr>
          <w:p>
            <w:pPr>
              <w:pStyle w:val="Compact"/>
            </w:pPr>
            <w:r>
              <w:t xml:space="preserve">dead individual</w:t>
            </w:r>
          </w:p>
        </w:tc>
        <w:tc>
          <w:tcPr>
            <w:tcW w:w="7980" w:type="dxa"/>
          </w:tcPr>
          <w:p>
            <w:pPr>
              <w:pStyle w:val="Compact"/>
            </w:pPr>
            <w:r>
              <w:t xml:space="preserve">Dead, and every stem of its individual dead</w:t>
            </w:r>
          </w:p>
        </w:tc>
      </w:tr>
    </w:tbl>
    <w:p>
      <w:pPr>
        <w:pStyle w:val="BodyText"/>
      </w:pPr>
    </w:p>
    <w:p>
      <w:pPr>
        <w:pStyle w:val="CaptionedFigure"/>
        <w:keepNext/>
      </w:pPr>
      <w:r>
        <w:drawing>
          <wp:inline distT="0" distB="0" distL="0" distR="0">
            <wp:extent cx="5943600" cy="5864352"/>
            <wp:effectExtent l="0" t="0" r="0" b="0"/>
            <wp:docPr id="1001" name="Figure 1" descr="Standing individuals with a living stem at 1.3 m, alive but broken below 1.3 m, and dead, in each census of the BCI 50-ha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_tree-dynamics.png"/>
                    <pic:cNvPicPr/>
                  </pic:nvPicPr>
                  <pic:blipFill>
                    <a:blip r:embed="rIdFig1"/>
                    <a:stretch>
                      <a:fillRect/>
                    </a:stretch>
                  </pic:blipFill>
                  <pic:spPr bwMode="auto">
                    <a:xfrm>
                      <a:off x="0" y="0"/>
                      <a:ext cx="5943600" cy="5864352"/>
                    </a:xfrm>
                    <a:prstGeom prst="rect">
                      <a:avLst/>
                    </a:prstGeom>
                  </pic:spPr>
                </pic:pic>
              </a:graphicData>
            </a:graphic>
          </wp:inline>
        </w:drawing>
      </w:r>
    </w:p>
    <w:p>
      <w:pPr>
        <w:pStyle w:val="ImageCaption"/>
      </w:pPr>
      <w:r>
        <w:rPr>
          <w:b/>
          <w:bCs/>
        </w:rPr>
        <w:t xml:space="preserve">Figure 1. </w:t>
      </w:r>
      <w:r>
        <w:t xml:space="preserve">Standing individuals of the Barro Colorado Island 50-ha plot through nine censuses, 1982–2023. An individual is one free-standing woody plant (a tree, shrub, palm, tree fern or strangler fig), whatever its number of stems. In each census, every individual recorded alive up to then is in one of three groups, from the census tables: with a living stem at 1.3 m, that is, a stem with Rstatus A on a record that is not a stump (above zero; total written above the line; these are the individuals counted in a census); alive without a living stem at 1.3 m (grey, next to zero): broken below 1.3 m, with a record whose DFstatus is broken below and that has no diameter (a stump, which the field crew recorded alive), or, for a few individuals, missing or recorded dead in that census and alive in a later one; and dead (pale colours, cumulative): no living stem at 1.3 m and no broken-below record in that census or in any later one. Blue: the 235,336 individuals of census 1; orange: individuals first recorded alive after census 1. Percentages: share of the individuals of the same group, recorded alive up to that census, that have a living stem at 1.3 m (above zero) or are dead (below zero); the rest of each group is in the grey band, whose number of individuals is written in it; percentages are rounded to 0.1%, so the three shares of a group add up to 100% within 0.1%. In 2022–2023, 203,489 individuals had a living stem at 1.3 m (73,445 of census 1, 31.2%; 130,044 new, 57.9%), 13,536 were broken below (3,880 of census 1, 9,656 new) and 242,921 were dead (158,011 of census 1, 67.1%; 84,910 new, 37.8%). From census 2 to 8, the grey band holds 5,968–14,646 individuals, 88–99% of them broken below. In the census tables, the stump records of 13,536 of the 13,536 broken-below individuals of 2022–2023 are coded A (alive, without a diameter). Shaded vertical bands: period in which 95% of the records of each census were taken (2.5% to 97.5% quantiles of the record dates); each census is placed at its median record date. 265 individuals with only dead or missing records (first recorded dead in 2022–2023) are not shown. The groups are those of bci_individuals() in code/load-bci-tables.R.</w:t>
      </w:r>
    </w:p>
    <w:p w14:paraId="289CD6A9" w14:textId="53C14F86" w:rsidR="00AB58AE" w:rsidRDefault="00000000">
      <w:pPr>
        <w:pStyle w:val="Heading1"/>
      </w:pPr>
      <w:bookmarkStart w:id="20" w:name="_references"/>
      <w:r>
        <w:t>References</w:t>
      </w:r>
      <w:bookmarkEnd w:id="20"/>
    </w:p>
    <w:p w14:paraId="23E3D19C" w14:textId="77777777" w:rsidR="00AB58AE" w:rsidRDefault="00000000">
      <w:pPr>
        <w:pStyle w:val="FirstParagraph"/>
      </w:pPr>
      <w:r>
        <w:t xml:space="preserve">Anderson-Teixeira, K. J., S. J. Davies, A. C. Bennett, E. B. Gonzalez-Akre, H. C. Muller-Landau, S. J. Wright, K. Abu Salim, et al. 2015. “CTFS-ForestGEO: A Worldwide Network Monitoring Forests in an Era of Global Change.” </w:t>
      </w:r>
      <w:r>
        <w:rPr>
          <w:i/>
          <w:iCs/>
        </w:rPr>
        <w:t>Global Change Biology</w:t>
      </w:r>
      <w:r>
        <w:t xml:space="preserve"> 21: 528–549. </w:t>
      </w:r>
      <w:hyperlink r:id="rId10">
        <w:r w:rsidR="00AB58AE">
          <w:rPr>
            <w:rStyle w:val="Hyperlink"/>
          </w:rPr>
          <w:t>https://doi.org/10.1111/gcb.12712</w:t>
        </w:r>
      </w:hyperlink>
    </w:p>
    <w:p w14:paraId="75ED1AB2" w14:textId="77777777" w:rsidR="00AB58AE" w:rsidRDefault="00000000">
      <w:pPr>
        <w:pStyle w:val="BodyText"/>
      </w:pPr>
      <w:r>
        <w:t xml:space="preserve">Chave, J., R. Condit, S. Lao, J. P. Caspersen, R. B. Foster, and S. P. Hubbell. 2003. “Spatial and Temporal Variation of Biomass in a Tropical Forest: Results from a Large Census Plot in Panama.” </w:t>
      </w:r>
      <w:r>
        <w:rPr>
          <w:i/>
          <w:iCs/>
        </w:rPr>
        <w:t>Journal of Ecology</w:t>
      </w:r>
      <w:r>
        <w:t xml:space="preserve"> 91: 240–252. </w:t>
      </w:r>
      <w:hyperlink r:id="rId11">
        <w:r w:rsidR="00AB58AE">
          <w:rPr>
            <w:rStyle w:val="Hyperlink"/>
          </w:rPr>
          <w:t>https://doi.org/10.1046/j.1365-2745.2003.00757.x</w:t>
        </w:r>
      </w:hyperlink>
    </w:p>
    <w:p w14:paraId="24261461" w14:textId="77777777" w:rsidR="00AB58AE" w:rsidRDefault="00000000">
      <w:pPr>
        <w:pStyle w:val="BodyText"/>
      </w:pPr>
      <w:r>
        <w:t xml:space="preserve">Comita, L. S., H. C. Muller-Landau, S. Aguilar, and S. P. Hubbell. 2010. “Asymmetric Density Dependence Shapes Species Abundances in a Tropical Tree Community.” </w:t>
      </w:r>
      <w:r>
        <w:rPr>
          <w:i/>
          <w:iCs/>
        </w:rPr>
        <w:t>Science</w:t>
      </w:r>
      <w:r>
        <w:t xml:space="preserve"> 329: 330–332. </w:t>
      </w:r>
      <w:hyperlink r:id="rId12">
        <w:r w:rsidR="00AB58AE">
          <w:rPr>
            <w:rStyle w:val="Hyperlink"/>
          </w:rPr>
          <w:t>https://doi.org/10.1126/science.1190772</w:t>
        </w:r>
      </w:hyperlink>
    </w:p>
    <w:p w14:paraId="63E88E80" w14:textId="77777777" w:rsidR="00AB58AE" w:rsidRDefault="00000000">
      <w:pPr>
        <w:pStyle w:val="BodyText"/>
      </w:pPr>
      <w:r>
        <w:t xml:space="preserve">Condit, R. 1998. </w:t>
      </w:r>
      <w:r>
        <w:rPr>
          <w:i/>
          <w:iCs/>
        </w:rPr>
        <w:t>Tropical Forest Census Plots: Methods and Results from Barro Colorado Island, Panama and a Comparison with Other Plots</w:t>
      </w:r>
      <w:r>
        <w:t xml:space="preserve">. Berlin: Springer-Verlag, and Georgetown, Texas: R. G. Landes Company. </w:t>
      </w:r>
      <w:hyperlink r:id="rId13">
        <w:r w:rsidR="00AB58AE">
          <w:rPr>
            <w:rStyle w:val="Hyperlink"/>
          </w:rPr>
          <w:t>https://doi.org/10.1007/978-3-662-03664-8</w:t>
        </w:r>
      </w:hyperlink>
    </w:p>
    <w:p w14:paraId="6BAFA65B" w14:textId="77777777" w:rsidR="00AB58AE" w:rsidRDefault="00000000">
      <w:pPr>
        <w:pStyle w:val="BodyText"/>
      </w:pPr>
      <w:r>
        <w:t xml:space="preserve">Condit, R., R. A. Chisholm, and S. P. Hubbell. 2012. “Thirty Years of Forest Census at Barro Colorado and the Importance of Immigration in Maintaining Diversity.” </w:t>
      </w:r>
      <w:r>
        <w:rPr>
          <w:i/>
          <w:iCs/>
        </w:rPr>
        <w:t>PLoS ONE</w:t>
      </w:r>
      <w:r>
        <w:t xml:space="preserve"> 7: e49826. </w:t>
      </w:r>
      <w:hyperlink r:id="rId14">
        <w:r w:rsidR="00AB58AE">
          <w:rPr>
            <w:rStyle w:val="Hyperlink"/>
          </w:rPr>
          <w:t>https://doi.org/10.1371/journal.pone.0049826</w:t>
        </w:r>
      </w:hyperlink>
    </w:p>
    <w:p w14:paraId="4C8DD370" w14:textId="77777777" w:rsidR="00AB58AE" w:rsidRDefault="00000000">
      <w:pPr>
        <w:pStyle w:val="BodyText"/>
      </w:pPr>
      <w:r>
        <w:t xml:space="preserve">Condit, R., S. Lao, A. Singh, S. Esufali, and S. Dolins. 2014. “Data and Database Standards for Permanent Forest Plots in a Global Network.” </w:t>
      </w:r>
      <w:r>
        <w:rPr>
          <w:i/>
          <w:iCs/>
        </w:rPr>
        <w:t>Forest Ecology and Management</w:t>
      </w:r>
      <w:r>
        <w:t xml:space="preserve"> 316: 21–31. </w:t>
      </w:r>
      <w:hyperlink r:id="rId15">
        <w:r w:rsidR="00AB58AE">
          <w:rPr>
            <w:rStyle w:val="Hyperlink"/>
          </w:rPr>
          <w:t>https://doi.org/10.1016/j.foreco.2013.09.011</w:t>
        </w:r>
      </w:hyperlink>
    </w:p>
    <w:p w14:paraId="77F55C8E" w14:textId="77777777" w:rsidR="00AB58AE" w:rsidRDefault="00000000">
      <w:pPr>
        <w:pStyle w:val="BodyText"/>
      </w:pPr>
      <w:r>
        <w:t xml:space="preserve">Condit, R., R. Pérez, S. Lao, S. Aguilar, and S. P. Hubbell. 2017. “Demographic Trends and Climate over 35 Years in the Barro Colorado 50 Ha Plot.” </w:t>
      </w:r>
      <w:r>
        <w:rPr>
          <w:i/>
          <w:iCs/>
        </w:rPr>
        <w:t>Forest Ecosystems</w:t>
      </w:r>
      <w:r>
        <w:t xml:space="preserve"> 4: 17. </w:t>
      </w:r>
      <w:hyperlink r:id="rId16">
        <w:r w:rsidR="00AB58AE">
          <w:rPr>
            <w:rStyle w:val="Hyperlink"/>
          </w:rPr>
          <w:t>https://doi.org/10.1186/s40663-017-0103-1</w:t>
        </w:r>
      </w:hyperlink>
    </w:p>
    <w:p w14:paraId="1AECB0DE" w14:textId="77777777" w:rsidR="00AB58AE" w:rsidRDefault="00000000">
      <w:pPr>
        <w:pStyle w:val="BodyText"/>
      </w:pPr>
      <w:r>
        <w:lastRenderedPageBreak/>
        <w:t xml:space="preserve">Condit, R., R. Pérez, S. Aguilar, S. Lao, R. Foster, and S. P. Hubbell. 2019a. “Complete Data from the Barro Colorado 50-Ha Plot: 423617 Trees, 35 Years.” Dryad, dataset. </w:t>
      </w:r>
      <w:hyperlink r:id="rId17">
        <w:r w:rsidR="00AB58AE">
          <w:rPr>
            <w:rStyle w:val="Hyperlink"/>
          </w:rPr>
          <w:t>https://doi.org/10.15146/5xcp-0d46</w:t>
        </w:r>
      </w:hyperlink>
    </w:p>
    <w:p w14:paraId="054A031A" w14:textId="77777777" w:rsidR="00AB58AE" w:rsidRDefault="00000000">
      <w:pPr>
        <w:pStyle w:val="BodyText"/>
      </w:pPr>
      <w:r>
        <w:t xml:space="preserve">Condit, R., R. Pérez, S. Aguilar, S. Lao, R. Foster, and S. P. Hubbell. 2019b. “BCI 50-Ha Plot Taxonomy.” Dryad, dataset. </w:t>
      </w:r>
      <w:hyperlink r:id="rId18">
        <w:r w:rsidR="00AB58AE">
          <w:rPr>
            <w:rStyle w:val="Hyperlink"/>
          </w:rPr>
          <w:t>https://doi.org/10.15146/R3FH61</w:t>
        </w:r>
      </w:hyperlink>
    </w:p>
    <w:p w14:paraId="0365B6BE" w14:textId="77777777" w:rsidR="00AB58AE" w:rsidRDefault="00000000">
      <w:pPr>
        <w:pStyle w:val="BodyText"/>
      </w:pPr>
      <w:r>
        <w:t xml:space="preserve">Cushman, K. C., H. C. Muller-Landau, R. S. Condit, and S. P. Hubbell. 2014. “Improving Estimates of Biomass Change in Buttressed Trees Using Tree Taper Models.” </w:t>
      </w:r>
      <w:r>
        <w:rPr>
          <w:i/>
          <w:iCs/>
        </w:rPr>
        <w:t>Methods in Ecology and Evolution</w:t>
      </w:r>
      <w:r>
        <w:t xml:space="preserve"> 5: 573–582. </w:t>
      </w:r>
      <w:hyperlink r:id="rId19">
        <w:r w:rsidR="00AB58AE">
          <w:rPr>
            <w:rStyle w:val="Hyperlink"/>
          </w:rPr>
          <w:t>https://doi.org/10.1111/2041-210X.12187</w:t>
        </w:r>
      </w:hyperlink>
    </w:p>
    <w:p w14:paraId="702056A3" w14:textId="77777777" w:rsidR="00AB58AE" w:rsidRDefault="00000000">
      <w:pPr>
        <w:pStyle w:val="BodyText"/>
      </w:pPr>
      <w:r>
        <w:t xml:space="preserve">Davies, S. J., I. Abiem, K. Abu Salim, S. Aguilar, D. Allen, A. Alonso, K. Anderson-Teixeira, et al. 2021. “ForestGEO: Understanding Forest Diversity and Dynamics through a Global Observatory Network.” </w:t>
      </w:r>
      <w:r>
        <w:rPr>
          <w:i/>
          <w:iCs/>
        </w:rPr>
        <w:t>Biological Conservation</w:t>
      </w:r>
      <w:r>
        <w:t xml:space="preserve"> 253: 108907. </w:t>
      </w:r>
      <w:hyperlink r:id="rId20">
        <w:r w:rsidR="00AB58AE">
          <w:rPr>
            <w:rStyle w:val="Hyperlink"/>
          </w:rPr>
          <w:t>https://doi.org/10.1016/j.biocon.2020.108907</w:t>
        </w:r>
      </w:hyperlink>
    </w:p>
    <w:p w14:paraId="23A88D39" w14:textId="77777777" w:rsidR="00AB58AE" w:rsidRDefault="00000000">
      <w:pPr>
        <w:pStyle w:val="BodyText"/>
      </w:pPr>
      <w:r>
        <w:t xml:space="preserve">Feeley, K. J., S. J. Davies, R. Pérez, S. P. Hubbell, and R. B. Foster. 2011. “Directional Changes in the Species Composition of a Tropical Forest.” </w:t>
      </w:r>
      <w:r>
        <w:rPr>
          <w:i/>
          <w:iCs/>
        </w:rPr>
        <w:t>Ecology</w:t>
      </w:r>
      <w:r>
        <w:t xml:space="preserve"> 92: 871–882. </w:t>
      </w:r>
      <w:hyperlink r:id="rId21">
        <w:r w:rsidR="00AB58AE">
          <w:rPr>
            <w:rStyle w:val="Hyperlink"/>
          </w:rPr>
          <w:t>https://doi.org/10.1890/10-0724.1</w:t>
        </w:r>
      </w:hyperlink>
    </w:p>
    <w:p w14:paraId="143E8DAA" w14:textId="77777777" w:rsidR="00AB58AE" w:rsidRDefault="00000000">
      <w:pPr>
        <w:pStyle w:val="BodyText"/>
      </w:pPr>
      <w:r>
        <w:t xml:space="preserve">Harms, K. E., R. Condit, S. P. Hubbell, and R. B. Foster. 2001. “Habitat Associations of Trees and Shrubs in a 50-Ha Neotropical Forest Plot.” </w:t>
      </w:r>
      <w:r>
        <w:rPr>
          <w:i/>
          <w:iCs/>
        </w:rPr>
        <w:t>Journal of Ecology</w:t>
      </w:r>
      <w:r>
        <w:t xml:space="preserve"> 89: 947–959. </w:t>
      </w:r>
      <w:hyperlink r:id="rId22">
        <w:r w:rsidR="00AB58AE">
          <w:rPr>
            <w:rStyle w:val="Hyperlink"/>
          </w:rPr>
          <w:t>https://doi.org/10.1046/j.0022-0477.2001.00615.x</w:t>
        </w:r>
      </w:hyperlink>
    </w:p>
    <w:p w14:paraId="3ECD70F3" w14:textId="77777777" w:rsidR="00AB58AE" w:rsidRDefault="00000000">
      <w:pPr>
        <w:pStyle w:val="BodyText"/>
      </w:pPr>
      <w:r>
        <w:t xml:space="preserve">Hubbell, S. P., R. Condit, and R. B. Foster. 1990. “Presence and Absence of Density Dependence in a Neotropical Tree Community.” </w:t>
      </w:r>
      <w:r>
        <w:rPr>
          <w:i/>
          <w:iCs/>
        </w:rPr>
        <w:t>Philosophical Transactions of the Royal Society of London, Series B</w:t>
      </w:r>
      <w:r>
        <w:t xml:space="preserve"> 330: 269–281. </w:t>
      </w:r>
      <w:hyperlink r:id="rId23">
        <w:r w:rsidR="00AB58AE">
          <w:rPr>
            <w:rStyle w:val="Hyperlink"/>
          </w:rPr>
          <w:t>https://doi.org/10.1098/rstb.1990.0198</w:t>
        </w:r>
      </w:hyperlink>
    </w:p>
    <w:p w14:paraId="6A72EAF9" w14:textId="77777777" w:rsidR="00AB58AE" w:rsidRDefault="00000000">
      <w:pPr>
        <w:pStyle w:val="BodyText"/>
      </w:pPr>
      <w:r>
        <w:t xml:space="preserve">Hubbell, S. P., and R. B. Foster. 1983. “Diversity of Canopy Trees in a Neotropical Forest and Implications for Conservation.” In </w:t>
      </w:r>
      <w:r>
        <w:rPr>
          <w:i/>
          <w:iCs/>
        </w:rPr>
        <w:t>Tropical Rain Forest: Ecology and Management</w:t>
      </w:r>
      <w:r>
        <w:t>, edited by S. L. Sutton, T. C. Whitmore, and A. C. Chadwick, 25–41. Oxford: Blackwell Scientific Publications.</w:t>
      </w:r>
    </w:p>
    <w:p w14:paraId="55AD4459" w14:textId="77777777" w:rsidR="00AB58AE" w:rsidRDefault="00000000">
      <w:pPr>
        <w:pStyle w:val="BodyText"/>
      </w:pPr>
      <w:r>
        <w:t xml:space="preserve">Hubbell, S. P., R. B. Foster, S. T. O’Brien, K. E. Harms, R. Condit, B. Wechsler, S. J. Wright, and S. Loo de Lao. 1999. “Light-Gap Disturbances, Recruitment Limitation, and Tree Diversity in a Neotropical Forest.” </w:t>
      </w:r>
      <w:r>
        <w:rPr>
          <w:i/>
          <w:iCs/>
        </w:rPr>
        <w:t>Science</w:t>
      </w:r>
      <w:r>
        <w:t xml:space="preserve"> 283: 554–557. </w:t>
      </w:r>
      <w:hyperlink r:id="rId24">
        <w:r w:rsidR="00AB58AE">
          <w:rPr>
            <w:rStyle w:val="Hyperlink"/>
          </w:rPr>
          <w:t>https://doi.org/10.1126/science.283.5401.554</w:t>
        </w:r>
      </w:hyperlink>
    </w:p>
    <w:p w14:paraId="7323E7C4" w14:textId="77777777" w:rsidR="00AB58AE" w:rsidRDefault="00000000">
      <w:pPr>
        <w:pStyle w:val="BodyText"/>
      </w:pPr>
      <w:r>
        <w:t xml:space="preserve">Hubbell, S. P., R. B. Foster, and I. Rubinoff. 2024. “Early History of the Barro Colorado Island Forest Dynamics Project.” In </w:t>
      </w:r>
      <w:r>
        <w:rPr>
          <w:i/>
          <w:iCs/>
        </w:rPr>
        <w:t>The First 100 Years of Research on Barro Colorado: Plant and Ecosystem Science</w:t>
      </w:r>
      <w:r>
        <w:t xml:space="preserve">, edited by H. C. Muller-Landau and S. J. Wright. Washington, DC: Smithsonian Institution Scholarly Press. </w:t>
      </w:r>
      <w:hyperlink r:id="rId25">
        <w:r w:rsidR="00AB58AE">
          <w:rPr>
            <w:rStyle w:val="Hyperlink"/>
          </w:rPr>
          <w:t>https://doi.org/10.5479/si.26809612</w:t>
        </w:r>
      </w:hyperlink>
    </w:p>
    <w:p w14:paraId="437F3773" w14:textId="77777777" w:rsidR="00AB58AE" w:rsidRDefault="00000000">
      <w:pPr>
        <w:pStyle w:val="BodyText"/>
      </w:pPr>
      <w:r>
        <w:t xml:space="preserve">Kindt, R. 2020. “WorldFlora: An R Package for Exact and Fuzzy Matching of Plant Names against the World Flora Online Taxonomic Backbone Data.” </w:t>
      </w:r>
      <w:r>
        <w:rPr>
          <w:i/>
          <w:iCs/>
        </w:rPr>
        <w:t>Applications in Plant Sciences</w:t>
      </w:r>
      <w:r>
        <w:t xml:space="preserve"> 8: e11388. </w:t>
      </w:r>
      <w:hyperlink r:id="rId26">
        <w:r w:rsidR="00AB58AE">
          <w:rPr>
            <w:rStyle w:val="Hyperlink"/>
          </w:rPr>
          <w:t>https://doi.org/10.1002/aps3.11388</w:t>
        </w:r>
      </w:hyperlink>
    </w:p>
    <w:p w14:paraId="027F0A2D" w14:textId="77777777" w:rsidR="00AB58AE" w:rsidRDefault="00000000">
      <w:pPr>
        <w:pStyle w:val="BodyText"/>
      </w:pPr>
      <w:r>
        <w:t xml:space="preserve">Leigh, E. G., Jr. 1999. </w:t>
      </w:r>
      <w:r>
        <w:rPr>
          <w:i/>
          <w:iCs/>
        </w:rPr>
        <w:t>Tropical Forest Ecology: A View from Barro Colorado Island</w:t>
      </w:r>
      <w:r>
        <w:t>. New York: Oxford University Press.</w:t>
      </w:r>
    </w:p>
    <w:p w14:paraId="5EB61A31" w14:textId="77777777" w:rsidR="00AB58AE" w:rsidRDefault="00000000">
      <w:pPr>
        <w:pStyle w:val="BodyText"/>
      </w:pPr>
      <w:r>
        <w:t xml:space="preserve">Muller-Landau, H. C., and S. J. Wright, eds. 2024. </w:t>
      </w:r>
      <w:r>
        <w:rPr>
          <w:i/>
          <w:iCs/>
        </w:rPr>
        <w:t>The First 100 Years of Research on Barro Colorado: Plant and Ecosystem Science</w:t>
      </w:r>
      <w:r>
        <w:t xml:space="preserve">. 2 vols. Washington, DC: Smithsonian Institution Scholarly Press. </w:t>
      </w:r>
      <w:hyperlink r:id="rId27">
        <w:r w:rsidR="00AB58AE">
          <w:rPr>
            <w:rStyle w:val="Hyperlink"/>
          </w:rPr>
          <w:t>https://doi.org/10.5479/si.26048527</w:t>
        </w:r>
      </w:hyperlink>
    </w:p>
    <w:p w14:paraId="0B17AC56" w14:textId="77777777" w:rsidR="00AB58AE" w:rsidRDefault="00000000">
      <w:pPr>
        <w:pStyle w:val="BodyText"/>
      </w:pPr>
      <w:r>
        <w:t xml:space="preserve">Paton, S. 2026. “Monthly Summary_BCI, Horizontal.” Smithsonian Tropical Research Institute, Physical Monitoring Program. Smithsonian Research Data Repository. </w:t>
      </w:r>
      <w:hyperlink r:id="rId28">
        <w:r w:rsidR="00AB58AE">
          <w:rPr>
            <w:rStyle w:val="Hyperlink"/>
          </w:rPr>
          <w:t>https://doi.org/10.60635/C3992K</w:t>
        </w:r>
      </w:hyperlink>
    </w:p>
    <w:p w14:paraId="263B2441" w14:textId="77777777" w:rsidR="00AB58AE" w:rsidRDefault="00000000">
      <w:pPr>
        <w:pStyle w:val="BodyText"/>
      </w:pPr>
      <w:r>
        <w:lastRenderedPageBreak/>
        <w:t xml:space="preserve">Piponiot, C., K. J. Anderson-Teixeira, S. J. Davies, D. Allen, N. A. Bourg, D. F. R. P. Burslem, D. Cárdenas, et al. 2022. “Distribution of Biomass Dynamics in Relation to Tree Size in Forests across the World.” </w:t>
      </w:r>
      <w:r>
        <w:rPr>
          <w:i/>
          <w:iCs/>
        </w:rPr>
        <w:t>New Phytologist</w:t>
      </w:r>
      <w:r>
        <w:t xml:space="preserve"> 234: 1664–1677. </w:t>
      </w:r>
      <w:hyperlink r:id="rId29">
        <w:r w:rsidR="00AB58AE">
          <w:rPr>
            <w:rStyle w:val="Hyperlink"/>
          </w:rPr>
          <w:t>https://doi.org/10.1111/nph.17995</w:t>
        </w:r>
      </w:hyperlink>
    </w:p>
    <w:p w14:paraId="45EA9041" w14:textId="77777777" w:rsidR="00AB58AE" w:rsidRDefault="00000000">
      <w:pPr>
        <w:pStyle w:val="BodyText"/>
      </w:pPr>
      <w:r>
        <w:t xml:space="preserve">Piponiot, C., R. Condit, S. P. Hubbell, R. Pérez, S. Lao, S. Aguilar, and H. C. Muller-Landau. 2024. “Woody Biomass Stocks and Fluxes in the Barro Colorado Island 50-ha Plot.” In </w:t>
      </w:r>
      <w:r>
        <w:rPr>
          <w:i/>
          <w:iCs/>
        </w:rPr>
        <w:t>The First 100 Years of Research on Barro Colorado: Plant and Ecosystem Science</w:t>
      </w:r>
      <w:r>
        <w:t xml:space="preserve">, edited by H. C. Muller-Landau and S. J. Wright. Washington, DC: Smithsonian Institution Scholarly Press. </w:t>
      </w:r>
      <w:hyperlink r:id="rId30">
        <w:r w:rsidR="00AB58AE">
          <w:rPr>
            <w:rStyle w:val="Hyperlink"/>
          </w:rPr>
          <w:t>https://doi.org/10.5479/si.26882404</w:t>
        </w:r>
      </w:hyperlink>
    </w:p>
    <w:p w14:paraId="52ACE1C2" w14:textId="77777777" w:rsidR="00AB58AE" w:rsidRDefault="00000000">
      <w:pPr>
        <w:pStyle w:val="BodyText"/>
      </w:pPr>
      <w:r>
        <w:t xml:space="preserve">Rüger, N., L. S. Comita, R. Condit, D. Purves, B. Rosenbaum, M. D. Visser, S. J. Wright, and C. Wirth. 2018. “Beyond the Fast–Slow Continuum: Demographic Dimensions Structuring a Tropical Tree Community.” </w:t>
      </w:r>
      <w:r>
        <w:rPr>
          <w:i/>
          <w:iCs/>
        </w:rPr>
        <w:t>Ecology Letters</w:t>
      </w:r>
      <w:r>
        <w:t xml:space="preserve"> 21: 1075–1084. </w:t>
      </w:r>
      <w:hyperlink r:id="rId31">
        <w:r w:rsidR="00AB58AE">
          <w:rPr>
            <w:rStyle w:val="Hyperlink"/>
          </w:rPr>
          <w:t>https://doi.org/10.1111/ele.12974</w:t>
        </w:r>
      </w:hyperlink>
    </w:p>
    <w:p w14:paraId="4D5DA8A4" w14:textId="77777777" w:rsidR="00AB58AE" w:rsidRDefault="00000000">
      <w:pPr>
        <w:pStyle w:val="BodyText"/>
      </w:pPr>
      <w:r>
        <w:t xml:space="preserve">Rüger, N., R. Condit, D. H. Dent, S. J. DeWalt, S. P. Hubbell, J. W. Lichstein, O. R. Lopez, C. Wirth, and C. E. Farrior. 2020. “Demographic Trade-Offs Predict Tropical Forest Dynamics.” </w:t>
      </w:r>
      <w:r>
        <w:rPr>
          <w:i/>
          <w:iCs/>
        </w:rPr>
        <w:t>Science</w:t>
      </w:r>
      <w:r>
        <w:t xml:space="preserve"> 368: 165–168. </w:t>
      </w:r>
      <w:hyperlink r:id="rId32">
        <w:r w:rsidR="00AB58AE">
          <w:rPr>
            <w:rStyle w:val="Hyperlink"/>
          </w:rPr>
          <w:t>https://doi.org/10.1126/science.aaz4797</w:t>
        </w:r>
      </w:hyperlink>
    </w:p>
    <w:p w14:paraId="1D1B7B44" w14:textId="77777777" w:rsidR="00AB58AE" w:rsidRDefault="00000000">
      <w:pPr>
        <w:pStyle w:val="BodyText"/>
      </w:pPr>
      <w:r>
        <w:t xml:space="preserve">Rutishauser, E., S. J. Wright, R. Condit, S. P. Hubbell, S. J. Davies, and H. C. Muller-Landau. 2020. “Testing for Changes in Biomass Dynamics in Large-Scale Forest Datasets.” </w:t>
      </w:r>
      <w:r>
        <w:rPr>
          <w:i/>
          <w:iCs/>
        </w:rPr>
        <w:t>Global Change Biology</w:t>
      </w:r>
      <w:r>
        <w:t xml:space="preserve"> 26: 1485–1498. </w:t>
      </w:r>
      <w:hyperlink r:id="rId33">
        <w:r w:rsidR="00AB58AE">
          <w:rPr>
            <w:rStyle w:val="Hyperlink"/>
          </w:rPr>
          <w:t>https://doi.org/10.1111/gcb.14833</w:t>
        </w:r>
      </w:hyperlink>
    </w:p>
    <w:p w14:paraId="42549175" w14:textId="77777777" w:rsidR="00AB58AE" w:rsidRDefault="00000000">
      <w:pPr>
        <w:pStyle w:val="BodyText"/>
      </w:pPr>
      <w:r>
        <w:t xml:space="preserve">WFO (World Flora Online Consortium). 2026. “World Flora Online Plant List, June 2026” (version 2026-06). Zenodo. </w:t>
      </w:r>
      <w:hyperlink r:id="rId34">
        <w:r w:rsidR="00AB58AE">
          <w:rPr>
            <w:rStyle w:val="Hyperlink"/>
          </w:rPr>
          <w:t>https://doi.org/10.5281/zenodo.20782718</w:t>
        </w:r>
      </w:hyperlink>
    </w:p>
    <w:sectPr w:rsidR="00AB58AE">
      <w:footnotePr>
        <w:numRestart w:val="eachSect"/>
      </w:footnotePr>
      <w:pgSz w:w="12240" w:h="15840"/>
      <w:pgMar w:top="1080" w:right="1080" w:bottom="108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Medina-Vega, Jose A." w:date="2026-10-28T17:45:00Z" w:initials="MVJA">
    <w:p w14:paraId="05166F06" w14:textId="77777777" w:rsidR="00FC36A1" w:rsidRDefault="00A43804" w:rsidP="00FC36A1">
      <w:r>
        <w:rPr>
          <w:rStyle w:val="CommentReference"/>
        </w:rPr>
        <w:annotationRef/>
      </w:r>
      <w:r w:rsidR="00FC36A1">
        <w:rPr>
          <w:sz w:val="20"/>
          <w:szCs w:val="20"/>
        </w:rPr>
        <w:t>Two valid BCI grants are not in this list: DEB-0948585 (EAGER: The 2010 Recensus of the BCI 50 Hectare Plot, 2010–2012; cited in Condit et al. 2012, PLoS ONE, and Condit et al. 2017, Forest Ecosystems) and DEB-0823728 (continuation of DEB-0640386 at UCLA, 2007–2014; cited in Comita et al. 2010, Science).</w:t>
      </w:r>
    </w:p>
  </w:comment>
  <w:comment w:id="3" w:author="Medina-Vega, Jose A." w:date="2026-10-28T17:46:00Z" w:initials="MVJA">
    <w:p w14:paraId="6A3499FF" w14:textId="05B76EE1" w:rsidR="00A43804" w:rsidRDefault="00A43804" w:rsidP="00A43804">
      <w:r>
        <w:rPr>
          <w:rStyle w:val="CommentReference"/>
        </w:rPr>
        <w:annotationRef/>
      </w:r>
      <w:r>
        <w:rPr>
          <w:sz w:val="20"/>
          <w:szCs w:val="20"/>
        </w:rPr>
        <w:t>Not a valid NSF number: it has 8 digits (NSF award numbers have 7). Likely correct: DEB-0075102, "Long-Term Studies of Small-Sapling Community Dynamics in Relation to Light Gaps in a Neotropical Forest", S. P. Hubbell, Univ. of Georgia, 2000–2006 (NSF Award API, award 0075102). Cited as DEB-0075102 in Comita et al. 2010, Science 329: 330.</w:t>
      </w:r>
    </w:p>
  </w:comment>
  <w:comment w:id="4" w:author="Medina-Vega, Jose A." w:date="2026-10-28T17:46:00Z" w:initials="MVJA">
    <w:p w14:paraId="56158CED" w14:textId="77777777" w:rsidR="00A43804" w:rsidRDefault="00A43804" w:rsidP="00A43804">
      <w:r>
        <w:rPr>
          <w:rStyle w:val="CommentReference"/>
        </w:rPr>
        <w:annotationRef/>
      </w:r>
      <w:r>
        <w:rPr>
          <w:sz w:val="20"/>
          <w:szCs w:val="20"/>
        </w:rPr>
        <w:t>No NSF record for this number. Likely correct: DEB-9909947, "The Dynamics of a Neotropical Forest: The Year 2000 Recensus", S. P. Hubbell, Univ. of Georgia, 2000–2003 (NSF Award API, award 9909947). Cited as 9909947 in Condit et al. 2017, Forest Ecosystems 4: 17.</w:t>
      </w:r>
    </w:p>
  </w:comment>
  <w:comment w:id="5" w:author="Medina-Vega, Jose A." w:date="2026-10-28T17:46:00Z" w:initials="MVJA">
    <w:p w14:paraId="64BCB075" w14:textId="77777777" w:rsidR="00FC36A1" w:rsidRDefault="00A43804" w:rsidP="00FC36A1">
      <w:r>
        <w:rPr>
          <w:rStyle w:val="CommentReference"/>
        </w:rPr>
        <w:annotationRef/>
      </w:r>
      <w:r w:rsidR="00FC36A1">
        <w:rPr>
          <w:sz w:val="20"/>
          <w:szCs w:val="20"/>
        </w:rPr>
        <w:t>No NSF record for this number. Possibly DEB-9221032, "Do Mammals and Insects Control Tropical Forest Diversity? A Community-level Experimental Test", S. P. Hubbell, Princeton, 1993–1996. We need to confirm this with S. P. Hubbell I think.</w:t>
      </w:r>
    </w:p>
  </w:comment>
  <w:comment w:id="6" w:author="Medina-Vega, Jose A." w:date="2026-10-28T17:47:00Z" w:initials="MVJA">
    <w:p w14:paraId="6EBAF5FB" w14:textId="6B13AE17" w:rsidR="00A43804" w:rsidRDefault="00A43804" w:rsidP="00A43804">
      <w:r>
        <w:rPr>
          <w:rStyle w:val="CommentReference"/>
        </w:rPr>
        <w:annotationRef/>
      </w:r>
      <w:r>
        <w:rPr>
          <w:sz w:val="20"/>
          <w:szCs w:val="20"/>
        </w:rPr>
        <w:t>Valid NSF award, but its title is "Impact of Logging on the Demography and Population Genetics of Mahogany in Bolivia" (Princeton, 1991–1994), not a BCI project. It is in ForestGEO's official BCI statement; confirm it belongs here.</w:t>
      </w:r>
    </w:p>
  </w:comment>
  <w:comment w:id="7" w:author="Medina-Vega, Jose A." w:date="2026-10-28T17:48:00Z" w:initials="MVJA">
    <w:p w14:paraId="20BFD570" w14:textId="77777777" w:rsidR="00A43804" w:rsidRDefault="00A43804" w:rsidP="00A43804">
      <w:r>
        <w:rPr>
          <w:rStyle w:val="CommentReference"/>
        </w:rPr>
        <w:annotationRef/>
      </w:r>
      <w:r>
        <w:rPr>
          <w:sz w:val="20"/>
          <w:szCs w:val="20"/>
        </w:rPr>
        <w:t>New sentence. Based on Hubbell, Foster and Rubinoff 2024 (The First 100 Years of Research on Barro Colorado, pp. 47–53): NSF was the primary funder of the 1995–2010 censuses and the Smithsonian took over after 2010. Please confirm.</w:t>
      </w:r>
    </w:p>
  </w:comment>
  <w:comment w:id="8" w:author="Medina-Vega, Jose A." w:date="2026-10-28T17:49:00Z" w:initials="MVJA">
    <w:p w14:paraId="2DA51C2B" w14:textId="77777777" w:rsidR="00A43804" w:rsidRDefault="00A43804" w:rsidP="00A43804">
      <w:r>
        <w:rPr>
          <w:rStyle w:val="CommentReference"/>
        </w:rPr>
        <w:annotationRef/>
      </w:r>
      <w:r>
        <w:rPr>
          <w:sz w:val="20"/>
          <w:szCs w:val="20"/>
        </w:rPr>
        <w:t>New. HSBC Climate Partnership (2007–2011) is credited in Comita et al. 2010 and Condit et al. 2012; the Smithsonian Institution Global Earth Observatories in Condit et al. 2012. Neither is in ForestGEO's official BCI statement.</w:t>
      </w:r>
    </w:p>
  </w:comment>
  <w:comment w:id="9" w:author="Medina-Vega, Jose A." w:date="2026-10-28T17:50:00Z" w:initials="MVJA">
    <w:p w14:paraId="531C0E7A" w14:textId="77777777" w:rsidR="00A43804" w:rsidRDefault="00A43804" w:rsidP="00A43804">
      <w:r>
        <w:rPr>
          <w:rStyle w:val="CommentReference"/>
        </w:rPr>
        <w:annotationRef/>
      </w:r>
      <w:r>
        <w:rPr>
          <w:sz w:val="20"/>
          <w:szCs w:val="20"/>
        </w:rPr>
        <w:t>Not in ForestGEO's official BCI statement; it funds the ForestGEO network (Davies et al. 2021, Biological Conservation). Confirm it supported the BCI census</w:t>
      </w:r>
    </w:p>
  </w:comment>
  <w:comment w:id="10" w:author="Medina-Vega, Jose A." w:date="2026-10-28T17:55:00Z" w:initials="MVJA">
    <w:p w14:paraId="5A6983C1" w14:textId="77777777" w:rsidR="0076633F" w:rsidRDefault="0076633F" w:rsidP="0076633F">
      <w:r>
        <w:rPr>
          <w:rStyle w:val="CommentReference"/>
        </w:rPr>
        <w:annotationRef/>
      </w:r>
      <w:r>
        <w:rPr>
          <w:sz w:val="20"/>
          <w:szCs w:val="20"/>
        </w:rPr>
        <w:t>Early field leaders named in Hubbell, Foster and Rubinoff 2024 (Herre: plot set-up; Klahn: to mid-1985; Williams: 1985 census and 1986–1989 canopy census; Batista: 1990 crew). Klahn and Williams are also thanked in Hubbell et al. 1999.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5166F06" w15:done="0"/>
  <w15:commentEx w15:paraId="6A3499FF" w15:done="0"/>
  <w15:commentEx w15:paraId="56158CED" w15:done="0"/>
  <w15:commentEx w15:paraId="64BCB075" w15:done="0"/>
  <w15:commentEx w15:paraId="6EBAF5FB" w15:done="0"/>
  <w15:commentEx w15:paraId="20BFD570" w15:done="0"/>
  <w15:commentEx w15:paraId="2DA51C2B" w15:done="0"/>
  <w15:commentEx w15:paraId="531C0E7A" w15:done="0"/>
  <w15:commentEx w15:paraId="5A6983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C29DD75" w16cex:dateUtc="2026-10-28T22:45:00Z"/>
  <w16cex:commentExtensible w16cex:durableId="7BD8ED60" w16cex:dateUtc="2026-10-28T22:46:00Z"/>
  <w16cex:commentExtensible w16cex:durableId="4267A731" w16cex:dateUtc="2026-10-28T22:46:00Z"/>
  <w16cex:commentExtensible w16cex:durableId="7C2B3CCC" w16cex:dateUtc="2026-10-28T22:46:00Z"/>
  <w16cex:commentExtensible w16cex:durableId="3E4884E3" w16cex:dateUtc="2026-10-28T22:47:00Z"/>
  <w16cex:commentExtensible w16cex:durableId="2579778C" w16cex:dateUtc="2026-10-28T22:48:00Z"/>
  <w16cex:commentExtensible w16cex:durableId="609BBAD1" w16cex:dateUtc="2026-10-28T22:49:00Z"/>
  <w16cex:commentExtensible w16cex:durableId="03F5C8B8" w16cex:dateUtc="2026-10-28T22:50:00Z"/>
  <w16cex:commentExtensible w16cex:durableId="51FDC530" w16cex:dateUtc="2026-10-28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5166F06" w16cid:durableId="7C29DD75"/>
  <w16cid:commentId w16cid:paraId="6A3499FF" w16cid:durableId="7BD8ED60"/>
  <w16cid:commentId w16cid:paraId="56158CED" w16cid:durableId="4267A731"/>
  <w16cid:commentId w16cid:paraId="64BCB075" w16cid:durableId="7C2B3CCC"/>
  <w16cid:commentId w16cid:paraId="6EBAF5FB" w16cid:durableId="3E4884E3"/>
  <w16cid:commentId w16cid:paraId="20BFD570" w16cid:durableId="2579778C"/>
  <w16cid:commentId w16cid:paraId="2DA51C2B" w16cid:durableId="609BBAD1"/>
  <w16cid:commentId w16cid:paraId="531C0E7A" w16cid:durableId="03F5C8B8"/>
  <w16cid:commentId w16cid:paraId="5A6983C1" w16cid:durableId="51FDC5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DEC8A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44379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dina-Vega, Jose A.">
    <w15:presenceInfo w15:providerId="AD" w15:userId="S::MedinaJA@SI.EDU::bd646014-5776-41b9-a618-7314365c7ee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58AE"/>
    <w:rsid w:val="000079C4"/>
    <w:rsid w:val="000340CD"/>
    <w:rsid w:val="00037083"/>
    <w:rsid w:val="0005118C"/>
    <w:rsid w:val="000630B9"/>
    <w:rsid w:val="000B1568"/>
    <w:rsid w:val="000F5399"/>
    <w:rsid w:val="00170A75"/>
    <w:rsid w:val="00177134"/>
    <w:rsid w:val="0018370D"/>
    <w:rsid w:val="00184C2C"/>
    <w:rsid w:val="0019013E"/>
    <w:rsid w:val="00193045"/>
    <w:rsid w:val="00195ACF"/>
    <w:rsid w:val="001A2753"/>
    <w:rsid w:val="001A60F4"/>
    <w:rsid w:val="001A7FAE"/>
    <w:rsid w:val="001D176A"/>
    <w:rsid w:val="001D2739"/>
    <w:rsid w:val="001E0EFD"/>
    <w:rsid w:val="00204CB2"/>
    <w:rsid w:val="0021226C"/>
    <w:rsid w:val="00253BEB"/>
    <w:rsid w:val="002650A3"/>
    <w:rsid w:val="00283584"/>
    <w:rsid w:val="00293ACA"/>
    <w:rsid w:val="00294218"/>
    <w:rsid w:val="00294AA5"/>
    <w:rsid w:val="002B0492"/>
    <w:rsid w:val="00301B22"/>
    <w:rsid w:val="003034EA"/>
    <w:rsid w:val="003151DD"/>
    <w:rsid w:val="003169DD"/>
    <w:rsid w:val="00344B88"/>
    <w:rsid w:val="0038747B"/>
    <w:rsid w:val="003A50F4"/>
    <w:rsid w:val="00413010"/>
    <w:rsid w:val="0042671B"/>
    <w:rsid w:val="0042712D"/>
    <w:rsid w:val="00432DE8"/>
    <w:rsid w:val="0044585A"/>
    <w:rsid w:val="00491F83"/>
    <w:rsid w:val="00505955"/>
    <w:rsid w:val="00512BED"/>
    <w:rsid w:val="005350DB"/>
    <w:rsid w:val="0053745E"/>
    <w:rsid w:val="00541154"/>
    <w:rsid w:val="005537CB"/>
    <w:rsid w:val="00595D4B"/>
    <w:rsid w:val="005B1CB7"/>
    <w:rsid w:val="005C095B"/>
    <w:rsid w:val="005E6D32"/>
    <w:rsid w:val="005E74BA"/>
    <w:rsid w:val="006022E4"/>
    <w:rsid w:val="00627394"/>
    <w:rsid w:val="00644792"/>
    <w:rsid w:val="006749DF"/>
    <w:rsid w:val="006B1DDF"/>
    <w:rsid w:val="006C030D"/>
    <w:rsid w:val="006C04C0"/>
    <w:rsid w:val="006E1CE2"/>
    <w:rsid w:val="006F46C7"/>
    <w:rsid w:val="00715083"/>
    <w:rsid w:val="007376C9"/>
    <w:rsid w:val="0075528B"/>
    <w:rsid w:val="0076633F"/>
    <w:rsid w:val="007715EE"/>
    <w:rsid w:val="007916E8"/>
    <w:rsid w:val="00797B30"/>
    <w:rsid w:val="007A7F3C"/>
    <w:rsid w:val="007B1BAF"/>
    <w:rsid w:val="007D7DCA"/>
    <w:rsid w:val="0082756E"/>
    <w:rsid w:val="008618D8"/>
    <w:rsid w:val="008740D1"/>
    <w:rsid w:val="008A211E"/>
    <w:rsid w:val="008D039E"/>
    <w:rsid w:val="008D11EA"/>
    <w:rsid w:val="008F41AD"/>
    <w:rsid w:val="009000C5"/>
    <w:rsid w:val="00921518"/>
    <w:rsid w:val="00950EFC"/>
    <w:rsid w:val="0098129E"/>
    <w:rsid w:val="009A5161"/>
    <w:rsid w:val="009B5745"/>
    <w:rsid w:val="009D0D59"/>
    <w:rsid w:val="00A0297E"/>
    <w:rsid w:val="00A307FD"/>
    <w:rsid w:val="00A43804"/>
    <w:rsid w:val="00A54628"/>
    <w:rsid w:val="00A54913"/>
    <w:rsid w:val="00A62650"/>
    <w:rsid w:val="00A77777"/>
    <w:rsid w:val="00AA062C"/>
    <w:rsid w:val="00AA23A8"/>
    <w:rsid w:val="00AB1483"/>
    <w:rsid w:val="00AB58AE"/>
    <w:rsid w:val="00AD0BCD"/>
    <w:rsid w:val="00AF1113"/>
    <w:rsid w:val="00AF535F"/>
    <w:rsid w:val="00B056D0"/>
    <w:rsid w:val="00B13733"/>
    <w:rsid w:val="00B44592"/>
    <w:rsid w:val="00B70EE0"/>
    <w:rsid w:val="00BD6B67"/>
    <w:rsid w:val="00BF5AC0"/>
    <w:rsid w:val="00C06D2B"/>
    <w:rsid w:val="00C17250"/>
    <w:rsid w:val="00C26B2B"/>
    <w:rsid w:val="00C5004E"/>
    <w:rsid w:val="00C5442B"/>
    <w:rsid w:val="00C56B03"/>
    <w:rsid w:val="00C647EB"/>
    <w:rsid w:val="00CB1472"/>
    <w:rsid w:val="00CD0FE5"/>
    <w:rsid w:val="00CF3D8A"/>
    <w:rsid w:val="00CF4D55"/>
    <w:rsid w:val="00D0244D"/>
    <w:rsid w:val="00D5631F"/>
    <w:rsid w:val="00D65B7F"/>
    <w:rsid w:val="00D917F1"/>
    <w:rsid w:val="00D94036"/>
    <w:rsid w:val="00D959D1"/>
    <w:rsid w:val="00DB127E"/>
    <w:rsid w:val="00E93B0B"/>
    <w:rsid w:val="00E9663F"/>
    <w:rsid w:val="00ED761D"/>
    <w:rsid w:val="00EE5FFA"/>
    <w:rsid w:val="00F150EF"/>
    <w:rsid w:val="00F1571E"/>
    <w:rsid w:val="00F16585"/>
    <w:rsid w:val="00F325F9"/>
    <w:rsid w:val="00F408BF"/>
    <w:rsid w:val="00F4345E"/>
    <w:rsid w:val="00F524A3"/>
    <w:rsid w:val="00F93368"/>
    <w:rsid w:val="00FA1564"/>
    <w:rsid w:val="00FC36A1"/>
    <w:rsid w:val="00FD29F5"/>
    <w:rsid w:val="00FD5122"/>
    <w:rsid w:val="00FF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3842F"/>
  <w15:docId w15:val="{0BCCC7C7-33A6-FD46-B5D0-E2E86B3D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b/>
      <w:bCs/>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line="240" w:lineRule="auto"/>
      <w:contextualSpacing/>
    </w:pPr>
    <w:rPr>
      <w:b/>
      <w:bCs/>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bl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cs="Courier New"/>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cs="Courier New"/>
      <w:b/>
      <w:color w:val="007020"/>
      <w:sz w:val="20"/>
    </w:rPr>
  </w:style>
  <w:style w:type="character" w:customStyle="1" w:styleId="DataTypeTok">
    <w:name w:val="DataTypeTok"/>
    <w:basedOn w:val="VerbatimChar"/>
    <w:rPr>
      <w:rFonts w:ascii="Courier New" w:hAnsi="Courier New" w:cs="Courier New"/>
      <w:color w:val="902000"/>
      <w:sz w:val="20"/>
    </w:rPr>
  </w:style>
  <w:style w:type="character" w:customStyle="1" w:styleId="DecValTok">
    <w:name w:val="DecValTok"/>
    <w:basedOn w:val="VerbatimChar"/>
    <w:rPr>
      <w:rFonts w:ascii="Courier New" w:hAnsi="Courier New" w:cs="Courier New"/>
      <w:color w:val="40A070"/>
      <w:sz w:val="20"/>
    </w:rPr>
  </w:style>
  <w:style w:type="character" w:customStyle="1" w:styleId="BaseNTok">
    <w:name w:val="BaseNTok"/>
    <w:basedOn w:val="VerbatimChar"/>
    <w:rPr>
      <w:rFonts w:ascii="Courier New" w:hAnsi="Courier New" w:cs="Courier New"/>
      <w:color w:val="40A070"/>
      <w:sz w:val="20"/>
    </w:rPr>
  </w:style>
  <w:style w:type="character" w:customStyle="1" w:styleId="FloatTok">
    <w:name w:val="FloatTok"/>
    <w:basedOn w:val="VerbatimChar"/>
    <w:rPr>
      <w:rFonts w:ascii="Courier New" w:hAnsi="Courier New" w:cs="Courier New"/>
      <w:color w:val="40A070"/>
      <w:sz w:val="20"/>
    </w:rPr>
  </w:style>
  <w:style w:type="character" w:customStyle="1" w:styleId="ConstantTok">
    <w:name w:val="ConstantTok"/>
    <w:basedOn w:val="VerbatimChar"/>
    <w:rPr>
      <w:rFonts w:ascii="Courier New" w:hAnsi="Courier New" w:cs="Courier New"/>
      <w:color w:val="880000"/>
      <w:sz w:val="20"/>
    </w:rPr>
  </w:style>
  <w:style w:type="character" w:customStyle="1" w:styleId="CharTok">
    <w:name w:val="CharTok"/>
    <w:basedOn w:val="VerbatimChar"/>
    <w:rPr>
      <w:rFonts w:ascii="Courier New" w:hAnsi="Courier New" w:cs="Courier New"/>
      <w:color w:val="4070A0"/>
      <w:sz w:val="20"/>
    </w:rPr>
  </w:style>
  <w:style w:type="character" w:customStyle="1" w:styleId="SpecialCharTok">
    <w:name w:val="SpecialCharTok"/>
    <w:basedOn w:val="VerbatimChar"/>
    <w:rPr>
      <w:rFonts w:ascii="Courier New" w:hAnsi="Courier New" w:cs="Courier New"/>
      <w:color w:val="4070A0"/>
      <w:sz w:val="20"/>
    </w:rPr>
  </w:style>
  <w:style w:type="character" w:customStyle="1" w:styleId="StringTok">
    <w:name w:val="StringTok"/>
    <w:basedOn w:val="VerbatimChar"/>
    <w:rPr>
      <w:rFonts w:ascii="Courier New" w:hAnsi="Courier New" w:cs="Courier New"/>
      <w:color w:val="4070A0"/>
      <w:sz w:val="20"/>
    </w:rPr>
  </w:style>
  <w:style w:type="character" w:customStyle="1" w:styleId="VerbatimStringTok">
    <w:name w:val="VerbatimStringTok"/>
    <w:basedOn w:val="VerbatimChar"/>
    <w:rPr>
      <w:rFonts w:ascii="Courier New" w:hAnsi="Courier New" w:cs="Courier New"/>
      <w:color w:val="4070A0"/>
      <w:sz w:val="20"/>
    </w:rPr>
  </w:style>
  <w:style w:type="character" w:customStyle="1" w:styleId="SpecialStringTok">
    <w:name w:val="SpecialStringTok"/>
    <w:basedOn w:val="VerbatimChar"/>
    <w:rPr>
      <w:rFonts w:ascii="Courier New" w:hAnsi="Courier New" w:cs="Courier New"/>
      <w:color w:val="BB6688"/>
      <w:sz w:val="20"/>
    </w:rPr>
  </w:style>
  <w:style w:type="character" w:customStyle="1" w:styleId="ImportTok">
    <w:name w:val="ImportTok"/>
    <w:basedOn w:val="VerbatimChar"/>
    <w:rPr>
      <w:rFonts w:ascii="Courier New" w:hAnsi="Courier New" w:cs="Courier New"/>
      <w:b/>
      <w:color w:val="008000"/>
      <w:sz w:val="20"/>
    </w:rPr>
  </w:style>
  <w:style w:type="character" w:customStyle="1" w:styleId="CommentTok">
    <w:name w:val="CommentTok"/>
    <w:basedOn w:val="VerbatimChar"/>
    <w:rPr>
      <w:rFonts w:ascii="Courier New" w:hAnsi="Courier New" w:cs="Courier New"/>
      <w:i/>
      <w:color w:val="60A0B0"/>
      <w:sz w:val="20"/>
    </w:rPr>
  </w:style>
  <w:style w:type="character" w:customStyle="1" w:styleId="DocumentationTok">
    <w:name w:val="DocumentationTok"/>
    <w:basedOn w:val="VerbatimChar"/>
    <w:rPr>
      <w:rFonts w:ascii="Courier New" w:hAnsi="Courier New" w:cs="Courier New"/>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color w:val="007020"/>
      <w:sz w:val="20"/>
    </w:rPr>
  </w:style>
  <w:style w:type="character" w:customStyle="1" w:styleId="FunctionTok">
    <w:name w:val="FunctionTok"/>
    <w:basedOn w:val="VerbatimChar"/>
    <w:rPr>
      <w:rFonts w:ascii="Courier New" w:hAnsi="Courier New" w:cs="Courier New"/>
      <w:color w:val="06287E"/>
      <w:sz w:val="20"/>
    </w:rPr>
  </w:style>
  <w:style w:type="character" w:customStyle="1" w:styleId="VariableTok">
    <w:name w:val="VariableTok"/>
    <w:basedOn w:val="VerbatimChar"/>
    <w:rPr>
      <w:rFonts w:ascii="Courier New" w:hAnsi="Courier New" w:cs="Courier New"/>
      <w:color w:val="19177C"/>
      <w:sz w:val="20"/>
    </w:rPr>
  </w:style>
  <w:style w:type="character" w:customStyle="1" w:styleId="ControlFlowTok">
    <w:name w:val="ControlFlowTok"/>
    <w:basedOn w:val="VerbatimChar"/>
    <w:rPr>
      <w:rFonts w:ascii="Courier New" w:hAnsi="Courier New" w:cs="Courier New"/>
      <w:b/>
      <w:color w:val="007020"/>
      <w:sz w:val="20"/>
    </w:rPr>
  </w:style>
  <w:style w:type="character" w:customStyle="1" w:styleId="OperatorTok">
    <w:name w:val="OperatorTok"/>
    <w:basedOn w:val="VerbatimChar"/>
    <w:rPr>
      <w:rFonts w:ascii="Courier New" w:hAnsi="Courier New" w:cs="Courier New"/>
      <w:color w:val="666666"/>
      <w:sz w:val="20"/>
    </w:rPr>
  </w:style>
  <w:style w:type="character" w:customStyle="1" w:styleId="BuiltInTok">
    <w:name w:val="BuiltInTok"/>
    <w:basedOn w:val="VerbatimChar"/>
    <w:rPr>
      <w:rFonts w:ascii="Courier New" w:hAnsi="Courier New" w:cs="Courier New"/>
      <w:color w:val="008000"/>
      <w:sz w:val="20"/>
    </w:rPr>
  </w:style>
  <w:style w:type="character" w:customStyle="1" w:styleId="ExtensionTok">
    <w:name w:val="ExtensionTok"/>
    <w:basedOn w:val="VerbatimChar"/>
    <w:rPr>
      <w:rFonts w:ascii="Courier New" w:hAnsi="Courier New" w:cs="Courier New"/>
      <w:sz w:val="20"/>
    </w:rPr>
  </w:style>
  <w:style w:type="character" w:customStyle="1" w:styleId="PreprocessorTok">
    <w:name w:val="PreprocessorTok"/>
    <w:basedOn w:val="VerbatimChar"/>
    <w:rPr>
      <w:rFonts w:ascii="Courier New" w:hAnsi="Courier New" w:cs="Courier New"/>
      <w:color w:val="BC7A00"/>
      <w:sz w:val="20"/>
    </w:rPr>
  </w:style>
  <w:style w:type="character" w:customStyle="1" w:styleId="AttributeTok">
    <w:name w:val="AttributeTok"/>
    <w:basedOn w:val="VerbatimChar"/>
    <w:rPr>
      <w:rFonts w:ascii="Courier New" w:hAnsi="Courier New" w:cs="Courier New"/>
      <w:color w:val="7D9029"/>
      <w:sz w:val="20"/>
    </w:rPr>
  </w:style>
  <w:style w:type="character" w:customStyle="1" w:styleId="RegionMarkerTok">
    <w:name w:val="RegionMarkerTok"/>
    <w:basedOn w:val="VerbatimChar"/>
    <w:rPr>
      <w:rFonts w:ascii="Courier New" w:hAnsi="Courier New" w:cs="Courier New"/>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color w:val="FF0000"/>
      <w:sz w:val="20"/>
    </w:rPr>
  </w:style>
  <w:style w:type="character" w:customStyle="1" w:styleId="ErrorTok">
    <w:name w:val="ErrorTok"/>
    <w:basedOn w:val="VerbatimChar"/>
    <w:rPr>
      <w:rFonts w:ascii="Courier New" w:hAnsi="Courier New" w:cs="Courier New"/>
      <w:b/>
      <w:color w:val="FF0000"/>
      <w:sz w:val="20"/>
    </w:rPr>
  </w:style>
  <w:style w:type="character" w:customStyle="1" w:styleId="NormalTok">
    <w:name w:val="NormalTok"/>
    <w:basedOn w:val="VerbatimChar"/>
    <w:rPr>
      <w:rFonts w:ascii="Courier New" w:hAnsi="Courier New" w:cs="Courier New"/>
      <w:sz w:val="20"/>
    </w:rPr>
  </w:style>
  <w:style w:type="paragraph" w:styleId="Revision">
    <w:name w:val="Revision"/>
    <w:hidden/>
    <w:rsid w:val="00CF4D55"/>
    <w:pPr>
      <w:spacing w:after="0" w:line="240" w:lineRule="auto"/>
    </w:pPr>
  </w:style>
  <w:style w:type="character" w:styleId="CommentReference">
    <w:name w:val="annotation reference"/>
    <w:basedOn w:val="DefaultParagraphFont"/>
    <w:rsid w:val="00F408BF"/>
    <w:rPr>
      <w:sz w:val="16"/>
      <w:szCs w:val="16"/>
    </w:rPr>
  </w:style>
  <w:style w:type="paragraph" w:styleId="CommentText">
    <w:name w:val="annotation text"/>
    <w:basedOn w:val="Normal"/>
    <w:link w:val="CommentTextChar"/>
    <w:rsid w:val="00F408BF"/>
    <w:pPr>
      <w:spacing w:line="240" w:lineRule="auto"/>
    </w:pPr>
    <w:rPr>
      <w:sz w:val="20"/>
      <w:szCs w:val="20"/>
    </w:rPr>
  </w:style>
  <w:style w:type="character" w:customStyle="1" w:styleId="CommentTextChar">
    <w:name w:val="Comment Text Char"/>
    <w:basedOn w:val="DefaultParagraphFont"/>
    <w:link w:val="CommentText"/>
    <w:rsid w:val="00F408BF"/>
    <w:rPr>
      <w:sz w:val="20"/>
      <w:szCs w:val="20"/>
    </w:rPr>
  </w:style>
  <w:style w:type="paragraph" w:styleId="CommentSubject">
    <w:name w:val="annotation subject"/>
    <w:basedOn w:val="CommentText"/>
    <w:next w:val="CommentText"/>
    <w:link w:val="CommentSubjectChar"/>
    <w:rsid w:val="00F408BF"/>
    <w:rPr>
      <w:b/>
      <w:bCs/>
    </w:rPr>
  </w:style>
  <w:style w:type="character" w:customStyle="1" w:styleId="CommentSubjectChar">
    <w:name w:val="Comment Subject Char"/>
    <w:basedOn w:val="CommentTextChar"/>
    <w:link w:val="CommentSubject"/>
    <w:rsid w:val="00F408BF"/>
    <w:rPr>
      <w:b/>
      <w:bCs/>
      <w:sz w:val="20"/>
      <w:szCs w:val="20"/>
    </w:rPr>
  </w:style>
  <w:style w:type="character" w:styleId="FollowedHyperlink">
    <w:name w:val="FollowedHyperlink"/>
    <w:basedOn w:val="DefaultParagraphFont"/>
    <w:rsid w:val="007D7D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662-03664-8" TargetMode="External"/><Relationship Id="rId18" Type="http://schemas.openxmlformats.org/officeDocument/2006/relationships/hyperlink" Target="https://doi.org/10.15146/R3FH61" TargetMode="External"/><Relationship Id="rId26" Type="http://schemas.openxmlformats.org/officeDocument/2006/relationships/hyperlink" Target="https://doi.org/10.1002/aps3.11388" TargetMode="External"/><Relationship Id="rId21" Type="http://schemas.openxmlformats.org/officeDocument/2006/relationships/hyperlink" Target="https://doi.org/10.1890/10-0724.1" TargetMode="External"/><Relationship Id="rId34" Type="http://schemas.openxmlformats.org/officeDocument/2006/relationships/hyperlink" Target="https://doi.org/10.5281/zenodo.20782718" TargetMode="External"/><Relationship Id="rId7" Type="http://schemas.microsoft.com/office/2016/09/relationships/commentsIds" Target="commentsIds.xml"/><Relationship Id="rId12" Type="http://schemas.openxmlformats.org/officeDocument/2006/relationships/hyperlink" Target="https://doi.org/10.1126/science.1190772" TargetMode="External"/><Relationship Id="rId17" Type="http://schemas.openxmlformats.org/officeDocument/2006/relationships/hyperlink" Target="https://doi.org/10.15146/5xcp-0d46" TargetMode="External"/><Relationship Id="rId25" Type="http://schemas.openxmlformats.org/officeDocument/2006/relationships/hyperlink" Target="https://doi.org/10.5479/si.26809612" TargetMode="External"/><Relationship Id="rId33" Type="http://schemas.openxmlformats.org/officeDocument/2006/relationships/hyperlink" Target="https://doi.org/10.1111/gcb.14833" TargetMode="External"/><Relationship Id="rId2" Type="http://schemas.openxmlformats.org/officeDocument/2006/relationships/styles" Target="styles.xml"/><Relationship Id="rId16" Type="http://schemas.openxmlformats.org/officeDocument/2006/relationships/hyperlink" Target="https://doi.org/10.1186/s40663-017-0103-1" TargetMode="External"/><Relationship Id="rId20" Type="http://schemas.openxmlformats.org/officeDocument/2006/relationships/hyperlink" Target="https://doi.org/10.1016/j.biocon.2020.108907" TargetMode="External"/><Relationship Id="rId29" Type="http://schemas.openxmlformats.org/officeDocument/2006/relationships/hyperlink" Target="https://doi.org/10.1111/nph.17995"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46/j.1365-2745.2003.00757.x" TargetMode="External"/><Relationship Id="rId24" Type="http://schemas.openxmlformats.org/officeDocument/2006/relationships/hyperlink" Target="https://doi.org/10.1126/science.283.5401.554" TargetMode="External"/><Relationship Id="rId32" Type="http://schemas.openxmlformats.org/officeDocument/2006/relationships/hyperlink" Target="https://doi.org/10.1126/science.aaz4797" TargetMode="External"/><Relationship Id="rId37"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doi.org/10.1016/j.foreco.2013.09.011" TargetMode="External"/><Relationship Id="rId23" Type="http://schemas.openxmlformats.org/officeDocument/2006/relationships/hyperlink" Target="https://doi.org/10.1098/rstb.1990.0198" TargetMode="External"/><Relationship Id="rId28" Type="http://schemas.openxmlformats.org/officeDocument/2006/relationships/hyperlink" Target="https://doi.org/10.60635/C3992K" TargetMode="External"/><Relationship Id="rId36" Type="http://schemas.microsoft.com/office/2011/relationships/people" Target="people.xml"/><Relationship Id="rId10" Type="http://schemas.openxmlformats.org/officeDocument/2006/relationships/hyperlink" Target="https://doi.org/10.1111/gcb.12712" TargetMode="External"/><Relationship Id="rId19" Type="http://schemas.openxmlformats.org/officeDocument/2006/relationships/hyperlink" Target="https://doi.org/10.1111/2041-210X.12187" TargetMode="External"/><Relationship Id="rId31" Type="http://schemas.openxmlformats.org/officeDocument/2006/relationships/hyperlink" Target="https://doi.org/10.1111/ele.12974" TargetMode="External"/><Relationship Id="rId4" Type="http://schemas.openxmlformats.org/officeDocument/2006/relationships/webSettings" Target="webSettings.xml"/><Relationship Id="rId9" Type="http://schemas.openxmlformats.org/officeDocument/2006/relationships/hyperlink" Target="https://github.com/jamedina09/BCI50ha_StemReconstruction_Rtables" TargetMode="External"/><Relationship Id="rId14" Type="http://schemas.openxmlformats.org/officeDocument/2006/relationships/hyperlink" Target="https://doi.org/10.1371/journal.pone.0049826" TargetMode="External"/><Relationship Id="rId22" Type="http://schemas.openxmlformats.org/officeDocument/2006/relationships/hyperlink" Target="https://doi.org/10.1046/j.0022-0477.2001.00615.x" TargetMode="External"/><Relationship Id="rId27" Type="http://schemas.openxmlformats.org/officeDocument/2006/relationships/hyperlink" Target="https://doi.org/10.5479/si.26048527" TargetMode="External"/><Relationship Id="rId30" Type="http://schemas.openxmlformats.org/officeDocument/2006/relationships/hyperlink" Target="https://doi.org/10.5479/si.26882404" TargetMode="External"/><Relationship Id="rId35"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 Id="rIdFig1" Type="http://schemas.openxmlformats.org/officeDocument/2006/relationships/image" Target="media/figure-1_tree-dynamic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7684</Words>
  <Characters>43800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Medina-Vega, Jose A.</dc:creator>
  <cp:keywords/>
  <cp:lastModifiedBy>Medina-Vega, Jose A.</cp:lastModifiedBy>
  <cp:revision>88</cp:revision>
  <dcterms:created xsi:type="dcterms:W3CDTF">2026-10-28T17:56:00Z</dcterms:created>
  <dcterms:modified xsi:type="dcterms:W3CDTF">2026-10-28T23:24:00Z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id="j2WYCzdC"/&gt;&lt;style id="http://www.zotero.org/styles/ecology-letters"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