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Ex2.xml" ContentType="application/vnd.ms-office.chartex+xml"/>
  <Override PartName="/word/charts/style5.xml" ContentType="application/vnd.ms-office.chartstyle+xml"/>
  <Override PartName="/word/charts/colors5.xml" ContentType="application/vnd.ms-office.chartcolorstyle+xml"/>
  <Override PartName="/word/charts/chart4.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7E1C6" w14:textId="707A0E34" w:rsidR="00416C0A" w:rsidRDefault="00A80EB0" w:rsidP="00A80EB0">
      <w:pPr>
        <w:jc w:val="center"/>
        <w:rPr>
          <w:rFonts w:ascii="Tahoma" w:hAnsi="Tahoma" w:cs="Tahoma"/>
          <w:b/>
          <w:bCs/>
        </w:rPr>
      </w:pPr>
      <w:bookmarkStart w:id="0" w:name="OLE_LINK3"/>
      <w:bookmarkStart w:id="1" w:name="OLE_LINK4"/>
      <w:bookmarkStart w:id="2" w:name="OLE_LINK1"/>
      <w:bookmarkStart w:id="3" w:name="_Hlk182980175"/>
      <w:bookmarkStart w:id="4" w:name="OLE_LINK2"/>
      <w:bookmarkEnd w:id="3"/>
      <w:r w:rsidRPr="00A80EB0">
        <w:rPr>
          <w:rFonts w:ascii="Tahoma" w:hAnsi="Tahoma" w:cs="Tahoma"/>
          <w:b/>
          <w:bCs/>
        </w:rPr>
        <w:t>Good Times Restaurants Inc (Ticker: GTIM)</w:t>
      </w:r>
    </w:p>
    <w:p w14:paraId="7FD537E9" w14:textId="3DC19489" w:rsidR="005C5C6F" w:rsidRPr="00501758" w:rsidRDefault="00501758" w:rsidP="00501758">
      <w:pPr>
        <w:jc w:val="both"/>
        <w:rPr>
          <w:rFonts w:ascii="Tahoma" w:hAnsi="Tahoma" w:cs="Tahoma"/>
          <w:b/>
          <w:bCs/>
          <w:i/>
          <w:iCs/>
        </w:rPr>
      </w:pPr>
      <w:r w:rsidRPr="00501758">
        <w:rPr>
          <w:rFonts w:ascii="Tahoma" w:hAnsi="Tahoma" w:cs="Tahoma"/>
          <w:b/>
          <w:bCs/>
          <w:i/>
          <w:iCs/>
        </w:rPr>
        <w:t>My current stance on GTIM is neutral. While there is potential for upside if management successfully stabilizes same-store sales trends and executes a strategic turnaround, the company’s persistent operational inefficiencies and competitive pressures leave its long-term prospects uncertain. With valuation sensitivities tied closely to upcoming results and institutional behavior, I believe the risk-reward balance remains evenly poised at this time.</w:t>
      </w:r>
    </w:p>
    <w:p w14:paraId="67B69A33" w14:textId="2144B835" w:rsidR="005C5C6F" w:rsidRDefault="005C5C6F" w:rsidP="005C5C6F">
      <w:pPr>
        <w:rPr>
          <w:rFonts w:ascii="Tahoma" w:hAnsi="Tahoma" w:cs="Tahoma"/>
          <w:b/>
          <w:bCs/>
        </w:rPr>
      </w:pPr>
      <w:r>
        <w:rPr>
          <w:rFonts w:ascii="Tahoma" w:hAnsi="Tahoma" w:cs="Tahoma"/>
          <w:b/>
          <w:bCs/>
        </w:rPr>
        <w:t>Key Bullets</w:t>
      </w:r>
    </w:p>
    <w:p w14:paraId="28083AD8" w14:textId="574CAF11" w:rsidR="00331EE1" w:rsidRDefault="00331EE1" w:rsidP="00331EE1">
      <w:pPr>
        <w:pStyle w:val="ListParagraph"/>
        <w:numPr>
          <w:ilvl w:val="0"/>
          <w:numId w:val="24"/>
        </w:numPr>
        <w:jc w:val="both"/>
        <w:rPr>
          <w:rFonts w:ascii="Tahoma" w:hAnsi="Tahoma" w:cs="Tahoma"/>
          <w:sz w:val="20"/>
          <w:szCs w:val="20"/>
        </w:rPr>
      </w:pPr>
      <w:r w:rsidRPr="00331EE1">
        <w:rPr>
          <w:rFonts w:ascii="Tahoma" w:hAnsi="Tahoma" w:cs="Tahoma"/>
          <w:b/>
          <w:bCs/>
          <w:sz w:val="20"/>
          <w:szCs w:val="20"/>
        </w:rPr>
        <w:t>GTIM’s 2021 tender offer, priced at $4.50 per share, implies a market capitalization of $44.7M using today’s shares outstanding. </w:t>
      </w:r>
      <w:r w:rsidRPr="00331EE1">
        <w:rPr>
          <w:rFonts w:ascii="Tahoma" w:hAnsi="Tahoma" w:cs="Tahoma"/>
          <w:sz w:val="20"/>
          <w:szCs w:val="20"/>
        </w:rPr>
        <w:t>With the current market cap at only $28.5M, this reflects a destruction of ~$16M in shareholder value, underscoring the failure of management’s capital allocation strategy.</w:t>
      </w:r>
    </w:p>
    <w:p w14:paraId="769E6D2B" w14:textId="7C97A27D" w:rsidR="00616E61" w:rsidRPr="00331EE1" w:rsidRDefault="00616E61" w:rsidP="00331EE1">
      <w:pPr>
        <w:pStyle w:val="ListParagraph"/>
        <w:numPr>
          <w:ilvl w:val="0"/>
          <w:numId w:val="24"/>
        </w:numPr>
        <w:jc w:val="both"/>
        <w:rPr>
          <w:rFonts w:ascii="Tahoma" w:hAnsi="Tahoma" w:cs="Tahoma"/>
          <w:sz w:val="20"/>
          <w:szCs w:val="20"/>
        </w:rPr>
      </w:pPr>
      <w:r w:rsidRPr="00616E61">
        <w:rPr>
          <w:rFonts w:ascii="Tahoma" w:hAnsi="Tahoma" w:cs="Tahoma"/>
          <w:b/>
          <w:bCs/>
          <w:sz w:val="20"/>
          <w:szCs w:val="20"/>
        </w:rPr>
        <w:t>The $6.5M earmarked for the tender offer represented a significant opportunity cost</w:t>
      </w:r>
      <w:r w:rsidRPr="00616E61">
        <w:rPr>
          <w:rFonts w:ascii="Tahoma" w:hAnsi="Tahoma" w:cs="Tahoma"/>
          <w:sz w:val="20"/>
          <w:szCs w:val="20"/>
        </w:rPr>
        <w:t>, as these funds could have been used to expand Bad Daddy’s Burger Bar, invest in automation, or rebrand Good Times Burgers. Instead, management prioritized a short-term boost to the stock price, which ultimately failed, leading to a </w:t>
      </w:r>
      <w:r w:rsidRPr="00616E61">
        <w:rPr>
          <w:rFonts w:ascii="Tahoma" w:hAnsi="Tahoma" w:cs="Tahoma"/>
          <w:b/>
          <w:bCs/>
          <w:sz w:val="20"/>
          <w:szCs w:val="20"/>
        </w:rPr>
        <w:t>50% decline in market cap</w:t>
      </w:r>
      <w:r w:rsidRPr="00616E61">
        <w:rPr>
          <w:rFonts w:ascii="Tahoma" w:hAnsi="Tahoma" w:cs="Tahoma"/>
          <w:sz w:val="20"/>
          <w:szCs w:val="20"/>
        </w:rPr>
        <w:t> and eroding shareholder trust.</w:t>
      </w:r>
    </w:p>
    <w:p w14:paraId="5EC62A50" w14:textId="52065570" w:rsidR="00331EE1" w:rsidRPr="00331EE1" w:rsidRDefault="00331EE1" w:rsidP="00331EE1">
      <w:pPr>
        <w:pStyle w:val="ListParagraph"/>
        <w:numPr>
          <w:ilvl w:val="0"/>
          <w:numId w:val="24"/>
        </w:numPr>
        <w:jc w:val="both"/>
        <w:rPr>
          <w:rFonts w:ascii="Tahoma" w:hAnsi="Tahoma" w:cs="Tahoma"/>
          <w:sz w:val="20"/>
          <w:szCs w:val="20"/>
        </w:rPr>
      </w:pPr>
      <w:r w:rsidRPr="00331EE1">
        <w:rPr>
          <w:rFonts w:ascii="Tahoma" w:hAnsi="Tahoma" w:cs="Tahoma"/>
          <w:b/>
          <w:bCs/>
          <w:sz w:val="20"/>
          <w:szCs w:val="20"/>
        </w:rPr>
        <w:t>GTIM's turnaround strategy should focus on divesting all Good Times Burgers units,</w:t>
      </w:r>
      <w:r w:rsidRPr="00331EE1">
        <w:rPr>
          <w:rFonts w:ascii="Tahoma" w:hAnsi="Tahoma" w:cs="Tahoma"/>
          <w:sz w:val="20"/>
          <w:szCs w:val="20"/>
        </w:rPr>
        <w:t xml:space="preserve"> allowing the company to allocate resources to Bad Daddy’s Burger Bar, the clear driver of growth and profitability.</w:t>
      </w:r>
    </w:p>
    <w:p w14:paraId="73522197" w14:textId="4718B708" w:rsidR="00331EE1" w:rsidRPr="00331EE1" w:rsidRDefault="00331EE1" w:rsidP="00331EE1">
      <w:pPr>
        <w:pStyle w:val="ListParagraph"/>
        <w:numPr>
          <w:ilvl w:val="0"/>
          <w:numId w:val="24"/>
        </w:numPr>
        <w:jc w:val="both"/>
        <w:rPr>
          <w:rFonts w:ascii="Tahoma" w:hAnsi="Tahoma" w:cs="Tahoma"/>
          <w:sz w:val="20"/>
          <w:szCs w:val="20"/>
        </w:rPr>
      </w:pPr>
      <w:r w:rsidRPr="00331EE1">
        <w:rPr>
          <w:rFonts w:ascii="Tahoma" w:hAnsi="Tahoma" w:cs="Tahoma"/>
          <w:b/>
          <w:bCs/>
          <w:sz w:val="20"/>
          <w:szCs w:val="20"/>
        </w:rPr>
        <w:t>Management’s poor capital allocation and operational</w:t>
      </w:r>
      <w:r w:rsidRPr="00331EE1">
        <w:rPr>
          <w:rFonts w:ascii="Tahoma" w:hAnsi="Tahoma" w:cs="Tahoma"/>
          <w:sz w:val="20"/>
          <w:szCs w:val="20"/>
        </w:rPr>
        <w:t xml:space="preserve"> inefficiencies have resulted in significant investor losses, requiring $3.20 of shareholder capital to generate $1 in operating losses.</w:t>
      </w:r>
    </w:p>
    <w:p w14:paraId="30DF9897" w14:textId="3E8A6291" w:rsidR="00331EE1" w:rsidRPr="00331EE1" w:rsidRDefault="00331EE1" w:rsidP="00331EE1">
      <w:pPr>
        <w:pStyle w:val="ListParagraph"/>
        <w:numPr>
          <w:ilvl w:val="0"/>
          <w:numId w:val="24"/>
        </w:numPr>
        <w:jc w:val="both"/>
        <w:rPr>
          <w:rFonts w:ascii="Tahoma" w:hAnsi="Tahoma" w:cs="Tahoma"/>
          <w:sz w:val="20"/>
          <w:szCs w:val="20"/>
        </w:rPr>
      </w:pPr>
      <w:r w:rsidRPr="00331EE1">
        <w:rPr>
          <w:rFonts w:ascii="Tahoma" w:hAnsi="Tahoma" w:cs="Tahoma"/>
          <w:b/>
          <w:bCs/>
          <w:sz w:val="20"/>
          <w:szCs w:val="20"/>
        </w:rPr>
        <w:t>Bad Daddy’s Burger Bar offers a path forward</w:t>
      </w:r>
      <w:r w:rsidRPr="00331EE1">
        <w:rPr>
          <w:rFonts w:ascii="Tahoma" w:hAnsi="Tahoma" w:cs="Tahoma"/>
          <w:sz w:val="20"/>
          <w:szCs w:val="20"/>
        </w:rPr>
        <w:t>, with a proven record of growth and unit-level profitability, but success hinges on strategic expansion and operational optimization.</w:t>
      </w:r>
    </w:p>
    <w:p w14:paraId="0CEDA091" w14:textId="1DF72E22" w:rsidR="00331EE1" w:rsidRPr="00331EE1" w:rsidRDefault="00331EE1" w:rsidP="00331EE1">
      <w:pPr>
        <w:pStyle w:val="ListParagraph"/>
        <w:numPr>
          <w:ilvl w:val="0"/>
          <w:numId w:val="24"/>
        </w:numPr>
        <w:jc w:val="both"/>
        <w:rPr>
          <w:rFonts w:ascii="Tahoma" w:hAnsi="Tahoma" w:cs="Tahoma"/>
          <w:sz w:val="20"/>
          <w:szCs w:val="20"/>
        </w:rPr>
      </w:pPr>
      <w:r w:rsidRPr="00331EE1">
        <w:rPr>
          <w:rFonts w:ascii="Tahoma" w:hAnsi="Tahoma" w:cs="Tahoma"/>
          <w:b/>
          <w:bCs/>
          <w:sz w:val="20"/>
          <w:szCs w:val="20"/>
        </w:rPr>
        <w:t>Institutional holder concentration poses significant risks</w:t>
      </w:r>
      <w:r w:rsidRPr="00331EE1">
        <w:rPr>
          <w:rFonts w:ascii="Tahoma" w:hAnsi="Tahoma" w:cs="Tahoma"/>
          <w:sz w:val="20"/>
          <w:szCs w:val="20"/>
        </w:rPr>
        <w:t>, with 8.8% of outstanding shares held by institutions. Any major liquidation could trigger a 20–40% price decline due to GTIM's illiquidity and low trading volume (~9.8K shares/day).</w:t>
      </w:r>
    </w:p>
    <w:p w14:paraId="3BD80C4E" w14:textId="77777777" w:rsidR="002D79B1" w:rsidRDefault="00331EE1" w:rsidP="00616E61">
      <w:pPr>
        <w:pStyle w:val="ListParagraph"/>
        <w:numPr>
          <w:ilvl w:val="0"/>
          <w:numId w:val="24"/>
        </w:numPr>
        <w:jc w:val="both"/>
        <w:rPr>
          <w:rFonts w:ascii="Tahoma" w:hAnsi="Tahoma" w:cs="Tahoma"/>
          <w:sz w:val="20"/>
          <w:szCs w:val="20"/>
        </w:rPr>
      </w:pPr>
      <w:r w:rsidRPr="00331EE1">
        <w:rPr>
          <w:rFonts w:ascii="Tahoma" w:hAnsi="Tahoma" w:cs="Tahoma"/>
          <w:b/>
          <w:bCs/>
          <w:sz w:val="20"/>
          <w:szCs w:val="20"/>
        </w:rPr>
        <w:t>Without decisive action,</w:t>
      </w:r>
      <w:r w:rsidRPr="00331EE1">
        <w:rPr>
          <w:rFonts w:ascii="Tahoma" w:hAnsi="Tahoma" w:cs="Tahoma"/>
          <w:sz w:val="20"/>
          <w:szCs w:val="20"/>
        </w:rPr>
        <w:t xml:space="preserve"> GTIM risks further stagnation and potential declines below $2 per share as institutional ownership erodes and operational inefficiencies persist.</w:t>
      </w:r>
    </w:p>
    <w:p w14:paraId="0A784CB2" w14:textId="77777777" w:rsidR="002D79B1" w:rsidRPr="002D79B1" w:rsidRDefault="002D79B1" w:rsidP="00616E61">
      <w:pPr>
        <w:pStyle w:val="ListParagraph"/>
        <w:numPr>
          <w:ilvl w:val="0"/>
          <w:numId w:val="24"/>
        </w:numPr>
        <w:jc w:val="both"/>
        <w:rPr>
          <w:rFonts w:ascii="Tahoma" w:hAnsi="Tahoma" w:cs="Tahoma"/>
          <w:sz w:val="20"/>
          <w:szCs w:val="20"/>
        </w:rPr>
      </w:pPr>
      <w:r w:rsidRPr="002D79B1">
        <w:rPr>
          <w:rFonts w:ascii="Tahoma" w:hAnsi="Tahoma" w:cs="Tahoma"/>
          <w:b/>
          <w:bCs/>
          <w:sz w:val="20"/>
          <w:szCs w:val="20"/>
        </w:rPr>
        <w:t xml:space="preserve">GTIM must act decisively to avoid stagnation and further market cap decline. </w:t>
      </w:r>
      <w:r w:rsidRPr="002D79B1">
        <w:rPr>
          <w:rFonts w:ascii="Tahoma" w:hAnsi="Tahoma" w:cs="Tahoma"/>
          <w:sz w:val="20"/>
          <w:szCs w:val="20"/>
        </w:rPr>
        <w:t>Management should either divest Good Times Burgers and focus resources on Bad Daddy’s Burger Bar, the clear growth driver, or explore strategic alternatives, including a potential sale of the entire company to maximize shareholder value.</w:t>
      </w:r>
    </w:p>
    <w:p w14:paraId="0AD9DDA7" w14:textId="77777777" w:rsidR="002D79B1" w:rsidRPr="002D79B1" w:rsidRDefault="002D79B1" w:rsidP="002D79B1">
      <w:pPr>
        <w:pStyle w:val="ListParagraph"/>
        <w:jc w:val="both"/>
        <w:rPr>
          <w:rFonts w:ascii="Tahoma" w:hAnsi="Tahoma" w:cs="Tahoma"/>
          <w:sz w:val="20"/>
          <w:szCs w:val="20"/>
        </w:rPr>
      </w:pPr>
    </w:p>
    <w:p w14:paraId="57F0844C" w14:textId="4422EC8E" w:rsidR="001D17B3" w:rsidRPr="002D79B1" w:rsidRDefault="001D17B3" w:rsidP="002D79B1">
      <w:pPr>
        <w:jc w:val="both"/>
        <w:rPr>
          <w:rFonts w:ascii="Tahoma" w:hAnsi="Tahoma" w:cs="Tahoma"/>
          <w:sz w:val="20"/>
          <w:szCs w:val="20"/>
        </w:rPr>
      </w:pPr>
      <w:r w:rsidRPr="002D79B1">
        <w:rPr>
          <w:rFonts w:ascii="Tahoma" w:hAnsi="Tahoma" w:cs="Tahoma"/>
          <w:b/>
          <w:bCs/>
          <w:sz w:val="20"/>
          <w:szCs w:val="20"/>
        </w:rPr>
        <w:t>Introduction: A Tale of Two Sheep</w:t>
      </w:r>
    </w:p>
    <w:p w14:paraId="41104574" w14:textId="77777777" w:rsidR="001D17B3" w:rsidRPr="001D17B3" w:rsidRDefault="001D17B3" w:rsidP="001D17B3">
      <w:pPr>
        <w:jc w:val="both"/>
        <w:rPr>
          <w:rFonts w:ascii="Tahoma" w:hAnsi="Tahoma" w:cs="Tahoma"/>
          <w:sz w:val="20"/>
          <w:szCs w:val="20"/>
        </w:rPr>
      </w:pPr>
      <w:r w:rsidRPr="001D17B3">
        <w:rPr>
          <w:rFonts w:ascii="Tahoma" w:hAnsi="Tahoma" w:cs="Tahoma"/>
          <w:sz w:val="20"/>
          <w:szCs w:val="20"/>
        </w:rPr>
        <w:t>There was once a shepherd with two sheep. One was spotted, drawing curious glances with its bold and unpredictable nature. The other was solid-colored, steady and reliable, grazing the same patch of grass each day. Together, they balanced each other—one brought intrigue, the other stability.</w:t>
      </w:r>
    </w:p>
    <w:p w14:paraId="284557EC" w14:textId="15233DFB" w:rsidR="001D17B3" w:rsidRPr="001D17B3" w:rsidRDefault="001D17B3" w:rsidP="001D17B3">
      <w:pPr>
        <w:jc w:val="both"/>
        <w:rPr>
          <w:rFonts w:ascii="Tahoma" w:hAnsi="Tahoma" w:cs="Tahoma"/>
          <w:sz w:val="20"/>
          <w:szCs w:val="20"/>
        </w:rPr>
      </w:pPr>
      <w:r w:rsidRPr="001D17B3">
        <w:rPr>
          <w:rFonts w:ascii="Tahoma" w:hAnsi="Tahoma" w:cs="Tahoma"/>
          <w:sz w:val="20"/>
          <w:szCs w:val="20"/>
        </w:rPr>
        <w:t xml:space="preserve">Bad Daddy’s Burger Bar is the spotted sheep, daring and eye-catching with its eclectic menu and trendy vibes. Good Times Burgers, however, is the solid sheep, offering consistency and dependability. While this balance has worked in the past, the spotted sheep now stands out as the true asset for growth, while the </w:t>
      </w:r>
      <w:r w:rsidRPr="001D17B3">
        <w:rPr>
          <w:rFonts w:ascii="Tahoma" w:hAnsi="Tahoma" w:cs="Tahoma"/>
          <w:sz w:val="20"/>
          <w:szCs w:val="20"/>
        </w:rPr>
        <w:lastRenderedPageBreak/>
        <w:t>solid one struggles to find its place in a changing market.</w:t>
      </w:r>
      <w:r w:rsidR="00616E61">
        <w:rPr>
          <w:rFonts w:ascii="Tahoma" w:hAnsi="Tahoma" w:cs="Tahoma"/>
          <w:sz w:val="20"/>
          <w:szCs w:val="20"/>
        </w:rPr>
        <w:t xml:space="preserve">  </w:t>
      </w:r>
      <w:r w:rsidR="00616E61" w:rsidRPr="00616E61">
        <w:rPr>
          <w:rFonts w:ascii="Tahoma" w:hAnsi="Tahoma" w:cs="Tahoma"/>
          <w:sz w:val="20"/>
          <w:szCs w:val="20"/>
        </w:rPr>
        <w:t>As the shepherd evaluates these two sheep, GTIM must decide whether it can continue to support both brands or focus its resources on the one with the greatest growth potential.</w:t>
      </w:r>
    </w:p>
    <w:p w14:paraId="074AB7FA" w14:textId="77777777" w:rsidR="001D17B3" w:rsidRPr="001D17B3" w:rsidRDefault="001D17B3" w:rsidP="001D17B3">
      <w:pPr>
        <w:jc w:val="both"/>
        <w:rPr>
          <w:rFonts w:ascii="Tahoma" w:hAnsi="Tahoma" w:cs="Tahoma"/>
          <w:b/>
          <w:bCs/>
          <w:i/>
          <w:iCs/>
          <w:sz w:val="20"/>
          <w:szCs w:val="20"/>
        </w:rPr>
      </w:pPr>
      <w:r w:rsidRPr="001D17B3">
        <w:rPr>
          <w:rFonts w:ascii="Tahoma" w:hAnsi="Tahoma" w:cs="Tahoma"/>
          <w:b/>
          <w:bCs/>
          <w:i/>
          <w:iCs/>
          <w:sz w:val="20"/>
          <w:szCs w:val="20"/>
        </w:rPr>
        <w:t>Punchline: GTIM faces stagnation, with limited upside of ±10% and a significant risk of falling below $2 per share if management fails to address operational inefficiencies and institutional ownership erosion.</w:t>
      </w:r>
    </w:p>
    <w:p w14:paraId="1CE6C34B" w14:textId="61EE5CC6" w:rsidR="00A80EB0" w:rsidRPr="00FD01F0" w:rsidRDefault="00FD01F0" w:rsidP="00272C18">
      <w:pPr>
        <w:jc w:val="both"/>
        <w:rPr>
          <w:rFonts w:ascii="Tahoma" w:hAnsi="Tahoma" w:cs="Tahoma"/>
          <w:b/>
          <w:bCs/>
          <w:sz w:val="20"/>
          <w:szCs w:val="20"/>
        </w:rPr>
      </w:pPr>
      <w:r w:rsidRPr="00FD01F0">
        <w:rPr>
          <w:rFonts w:ascii="Tahoma" w:hAnsi="Tahoma" w:cs="Tahoma"/>
          <w:b/>
          <w:bCs/>
          <w:sz w:val="20"/>
          <w:szCs w:val="20"/>
        </w:rPr>
        <w:t xml:space="preserve">Quick </w:t>
      </w:r>
      <w:r w:rsidR="00A80EB0" w:rsidRPr="00FD01F0">
        <w:rPr>
          <w:rFonts w:ascii="Tahoma" w:hAnsi="Tahoma" w:cs="Tahoma"/>
          <w:b/>
          <w:bCs/>
          <w:sz w:val="20"/>
          <w:szCs w:val="20"/>
        </w:rPr>
        <w:t>Overview</w:t>
      </w:r>
    </w:p>
    <w:p w14:paraId="12E93581" w14:textId="77777777" w:rsidR="00616E61" w:rsidRPr="00616E61" w:rsidRDefault="00616E61" w:rsidP="00616E61">
      <w:pPr>
        <w:contextualSpacing/>
        <w:rPr>
          <w:rFonts w:ascii="Tahoma" w:hAnsi="Tahoma" w:cs="Tahoma"/>
          <w:sz w:val="20"/>
          <w:szCs w:val="20"/>
        </w:rPr>
      </w:pPr>
      <w:r w:rsidRPr="00616E61">
        <w:rPr>
          <w:rFonts w:ascii="Tahoma" w:hAnsi="Tahoma" w:cs="Tahoma"/>
          <w:sz w:val="20"/>
          <w:szCs w:val="20"/>
        </w:rPr>
        <w:t>GTIM is a Nevada corporation (est. October 6, 1996) that owns and operates two restaurant concepts:</w:t>
      </w:r>
    </w:p>
    <w:p w14:paraId="17B64346" w14:textId="77777777" w:rsidR="00616E61" w:rsidRPr="00616E61" w:rsidRDefault="00616E61" w:rsidP="00616E61">
      <w:pPr>
        <w:numPr>
          <w:ilvl w:val="0"/>
          <w:numId w:val="25"/>
        </w:numPr>
        <w:contextualSpacing/>
        <w:rPr>
          <w:rFonts w:ascii="Tahoma" w:hAnsi="Tahoma" w:cs="Tahoma"/>
          <w:sz w:val="20"/>
          <w:szCs w:val="20"/>
        </w:rPr>
      </w:pPr>
      <w:r w:rsidRPr="00616E61">
        <w:rPr>
          <w:rFonts w:ascii="Tahoma" w:hAnsi="Tahoma" w:cs="Tahoma"/>
          <w:b/>
          <w:bCs/>
          <w:sz w:val="20"/>
          <w:szCs w:val="20"/>
        </w:rPr>
        <w:t>Good Times Burgers &amp; Frozen Custard</w:t>
      </w:r>
      <w:r w:rsidRPr="00616E61">
        <w:rPr>
          <w:rFonts w:ascii="Tahoma" w:hAnsi="Tahoma" w:cs="Tahoma"/>
          <w:sz w:val="20"/>
          <w:szCs w:val="20"/>
        </w:rPr>
        <w:t>: A quick-service restaurant (QSR) focused on convenience, offering drive-thru and walk-up service. The menu emphasizes 100% all-natural burgers and chicken, catering to customers seeking quality with speed. Despite its historical reliability, this brand has struggled to compete in an increasingly saturated and discount-driven QSR market.</w:t>
      </w:r>
    </w:p>
    <w:p w14:paraId="463F8AC1" w14:textId="77777777" w:rsidR="00616E61" w:rsidRPr="00616E61" w:rsidRDefault="00616E61" w:rsidP="00616E61">
      <w:pPr>
        <w:numPr>
          <w:ilvl w:val="0"/>
          <w:numId w:val="25"/>
        </w:numPr>
        <w:contextualSpacing/>
        <w:rPr>
          <w:rFonts w:ascii="Tahoma" w:hAnsi="Tahoma" w:cs="Tahoma"/>
          <w:sz w:val="20"/>
          <w:szCs w:val="20"/>
        </w:rPr>
      </w:pPr>
      <w:r w:rsidRPr="00616E61">
        <w:rPr>
          <w:rFonts w:ascii="Tahoma" w:hAnsi="Tahoma" w:cs="Tahoma"/>
          <w:b/>
          <w:bCs/>
          <w:sz w:val="20"/>
          <w:szCs w:val="20"/>
        </w:rPr>
        <w:t>Bad Daddy’s Burger Bar</w:t>
      </w:r>
      <w:r w:rsidRPr="00616E61">
        <w:rPr>
          <w:rFonts w:ascii="Tahoma" w:hAnsi="Tahoma" w:cs="Tahoma"/>
          <w:sz w:val="20"/>
          <w:szCs w:val="20"/>
        </w:rPr>
        <w:t>: A casual dining concept emphasizing dine-in experiences, hospitality, and an eclectic menu. Its trendy, high-quality concept has allowed it to achieve consistent growth and strong unit-level profitability, positioning it as GTIM’s primary driver of value.</w:t>
      </w:r>
    </w:p>
    <w:p w14:paraId="39414DEC" w14:textId="77777777" w:rsidR="00FD01F0" w:rsidRDefault="00FD01F0" w:rsidP="00A80EB0">
      <w:pPr>
        <w:contextualSpacing/>
        <w:rPr>
          <w:rFonts w:ascii="Tahoma" w:hAnsi="Tahoma" w:cs="Tahoma"/>
          <w:sz w:val="20"/>
          <w:szCs w:val="20"/>
        </w:rPr>
      </w:pPr>
    </w:p>
    <w:p w14:paraId="7589079D" w14:textId="77777777" w:rsidR="001D17B3" w:rsidRPr="001D17B3" w:rsidRDefault="001D17B3" w:rsidP="001D17B3">
      <w:pPr>
        <w:contextualSpacing/>
        <w:jc w:val="both"/>
        <w:rPr>
          <w:rFonts w:ascii="Tahoma" w:hAnsi="Tahoma" w:cs="Tahoma"/>
          <w:b/>
          <w:bCs/>
          <w:sz w:val="20"/>
          <w:szCs w:val="20"/>
        </w:rPr>
      </w:pPr>
      <w:r w:rsidRPr="001D17B3">
        <w:rPr>
          <w:rFonts w:ascii="Tahoma" w:hAnsi="Tahoma" w:cs="Tahoma"/>
          <w:b/>
          <w:bCs/>
          <w:sz w:val="20"/>
          <w:szCs w:val="20"/>
        </w:rPr>
        <w:t>Management: From Growth to Retrenchment</w:t>
      </w:r>
    </w:p>
    <w:p w14:paraId="24F60461" w14:textId="77777777" w:rsidR="001D17B3" w:rsidRDefault="001D17B3" w:rsidP="001D17B3">
      <w:pPr>
        <w:contextualSpacing/>
        <w:jc w:val="both"/>
        <w:rPr>
          <w:rFonts w:ascii="Tahoma" w:hAnsi="Tahoma" w:cs="Tahoma"/>
          <w:sz w:val="20"/>
          <w:szCs w:val="20"/>
        </w:rPr>
      </w:pPr>
      <w:r w:rsidRPr="001D17B3">
        <w:rPr>
          <w:rFonts w:ascii="Tahoma" w:hAnsi="Tahoma" w:cs="Tahoma"/>
          <w:sz w:val="20"/>
          <w:szCs w:val="20"/>
        </w:rPr>
        <w:t>Under former CEO Boyd Hoback, GTIM pursued aggressive growth. The company established a $9M credit facility with Cadence Bank (2016), later expanding it to $12M (2017). However, this bullish strategy faltered, leading to Hoback’s resignation (2019). CFO-turned-CEO Ryan Zink shifted focus to financial discipline, reducing the credit facility to $11M in 2021 and planning to lower it further to $8M.</w:t>
      </w:r>
    </w:p>
    <w:p w14:paraId="6AFAEE9D" w14:textId="77777777" w:rsidR="001D17B3" w:rsidRPr="001D17B3" w:rsidRDefault="001D17B3" w:rsidP="001D17B3">
      <w:pPr>
        <w:contextualSpacing/>
        <w:jc w:val="both"/>
        <w:rPr>
          <w:rFonts w:ascii="Tahoma" w:hAnsi="Tahoma" w:cs="Tahoma"/>
          <w:sz w:val="20"/>
          <w:szCs w:val="20"/>
        </w:rPr>
      </w:pPr>
    </w:p>
    <w:p w14:paraId="0D12B7C3" w14:textId="77777777" w:rsidR="001D17B3" w:rsidRPr="001D17B3" w:rsidRDefault="001D17B3" w:rsidP="001D17B3">
      <w:pPr>
        <w:contextualSpacing/>
        <w:jc w:val="both"/>
        <w:rPr>
          <w:rFonts w:ascii="Tahoma" w:hAnsi="Tahoma" w:cs="Tahoma"/>
          <w:sz w:val="20"/>
          <w:szCs w:val="20"/>
        </w:rPr>
      </w:pPr>
      <w:r w:rsidRPr="001D17B3">
        <w:rPr>
          <w:rFonts w:ascii="Tahoma" w:hAnsi="Tahoma" w:cs="Tahoma"/>
          <w:sz w:val="20"/>
          <w:szCs w:val="20"/>
        </w:rPr>
        <w:t>In 2021, management initiated a tender offer to repurchase 1.4M shares at $4.60 per share. However, this action fell short, with only 333,241 shares tendered (~2.6% of outstanding shares) at a cost of $1.5M. With GTIM’s share price now at $2.65, the tender offer looks like a strategic misstep, prioritizing short-term optics over long-term value creation.</w:t>
      </w:r>
    </w:p>
    <w:p w14:paraId="3B89A31C" w14:textId="77777777" w:rsidR="008E7356" w:rsidRDefault="008E7356" w:rsidP="008E7356">
      <w:pPr>
        <w:contextualSpacing/>
        <w:jc w:val="both"/>
        <w:rPr>
          <w:rFonts w:ascii="Tahoma" w:hAnsi="Tahoma" w:cs="Tahoma"/>
          <w:sz w:val="20"/>
          <w:szCs w:val="20"/>
        </w:rPr>
      </w:pPr>
    </w:p>
    <w:p w14:paraId="61BC1E0F" w14:textId="77777777" w:rsidR="001D17B3" w:rsidRPr="001D17B3" w:rsidRDefault="001D17B3" w:rsidP="001D17B3">
      <w:pPr>
        <w:contextualSpacing/>
        <w:jc w:val="both"/>
        <w:rPr>
          <w:rFonts w:ascii="Tahoma" w:hAnsi="Tahoma" w:cs="Tahoma"/>
          <w:b/>
          <w:bCs/>
          <w:sz w:val="20"/>
          <w:szCs w:val="20"/>
        </w:rPr>
      </w:pPr>
      <w:r w:rsidRPr="001D17B3">
        <w:rPr>
          <w:rFonts w:ascii="Tahoma" w:hAnsi="Tahoma" w:cs="Tahoma"/>
          <w:b/>
          <w:bCs/>
          <w:sz w:val="20"/>
          <w:szCs w:val="20"/>
        </w:rPr>
        <w:t>The Missteps: Management’s Queen on g7</w:t>
      </w:r>
    </w:p>
    <w:p w14:paraId="08DA220F" w14:textId="77777777" w:rsidR="001D17B3" w:rsidRPr="001D17B3" w:rsidRDefault="001D17B3" w:rsidP="001D17B3">
      <w:pPr>
        <w:contextualSpacing/>
        <w:jc w:val="both"/>
        <w:rPr>
          <w:rFonts w:ascii="Tahoma" w:hAnsi="Tahoma" w:cs="Tahoma"/>
          <w:sz w:val="20"/>
          <w:szCs w:val="20"/>
        </w:rPr>
      </w:pPr>
      <w:r w:rsidRPr="001D17B3">
        <w:rPr>
          <w:rFonts w:ascii="Tahoma" w:hAnsi="Tahoma" w:cs="Tahoma"/>
          <w:sz w:val="20"/>
          <w:szCs w:val="20"/>
        </w:rPr>
        <w:t>Management’s 2021 tender offer is akin to moving a chess queen to g7 with an opponent’s knight on f4—reckless and self-destructive. The decision to repurchase shares at a ~100% premium diverted $1.5M that could have been used for:</w:t>
      </w:r>
    </w:p>
    <w:p w14:paraId="33594F8C" w14:textId="77777777" w:rsidR="001D17B3" w:rsidRPr="001D17B3" w:rsidRDefault="001D17B3" w:rsidP="001D17B3">
      <w:pPr>
        <w:numPr>
          <w:ilvl w:val="0"/>
          <w:numId w:val="23"/>
        </w:numPr>
        <w:contextualSpacing/>
        <w:jc w:val="both"/>
        <w:rPr>
          <w:rFonts w:ascii="Tahoma" w:hAnsi="Tahoma" w:cs="Tahoma"/>
          <w:sz w:val="20"/>
          <w:szCs w:val="20"/>
        </w:rPr>
      </w:pPr>
      <w:r w:rsidRPr="001D17B3">
        <w:rPr>
          <w:rFonts w:ascii="Tahoma" w:hAnsi="Tahoma" w:cs="Tahoma"/>
          <w:sz w:val="20"/>
          <w:szCs w:val="20"/>
        </w:rPr>
        <w:t>Expanding Bad Daddy’s: Average unit revenue of $2.3M-$2.5M suggests that even one new location could deliver sustainable returns.</w:t>
      </w:r>
    </w:p>
    <w:p w14:paraId="044D8D3F" w14:textId="64505D10" w:rsidR="001D17B3" w:rsidRPr="001D17B3" w:rsidRDefault="001D17B3" w:rsidP="001D17B3">
      <w:pPr>
        <w:numPr>
          <w:ilvl w:val="0"/>
          <w:numId w:val="23"/>
        </w:numPr>
        <w:contextualSpacing/>
        <w:jc w:val="both"/>
        <w:rPr>
          <w:rFonts w:ascii="Tahoma" w:hAnsi="Tahoma" w:cs="Tahoma"/>
          <w:sz w:val="20"/>
          <w:szCs w:val="20"/>
        </w:rPr>
      </w:pPr>
      <w:r w:rsidRPr="001D17B3">
        <w:rPr>
          <w:rFonts w:ascii="Tahoma" w:hAnsi="Tahoma" w:cs="Tahoma"/>
          <w:sz w:val="20"/>
          <w:szCs w:val="20"/>
        </w:rPr>
        <w:t>Investing in Technology: Enhancements in</w:t>
      </w:r>
      <w:r>
        <w:rPr>
          <w:rFonts w:ascii="Tahoma" w:hAnsi="Tahoma" w:cs="Tahoma"/>
          <w:sz w:val="20"/>
          <w:szCs w:val="20"/>
        </w:rPr>
        <w:t xml:space="preserve"> </w:t>
      </w:r>
      <w:r w:rsidRPr="001D17B3">
        <w:rPr>
          <w:rFonts w:ascii="Tahoma" w:hAnsi="Tahoma" w:cs="Tahoma"/>
          <w:sz w:val="20"/>
          <w:szCs w:val="20"/>
        </w:rPr>
        <w:t>automation could reduce labor costs and improve operational efficiency.</w:t>
      </w:r>
    </w:p>
    <w:p w14:paraId="2E306621" w14:textId="77777777" w:rsidR="001D17B3" w:rsidRDefault="001D17B3" w:rsidP="001D17B3">
      <w:pPr>
        <w:numPr>
          <w:ilvl w:val="0"/>
          <w:numId w:val="23"/>
        </w:numPr>
        <w:contextualSpacing/>
        <w:jc w:val="both"/>
        <w:rPr>
          <w:rFonts w:ascii="Tahoma" w:hAnsi="Tahoma" w:cs="Tahoma"/>
          <w:sz w:val="20"/>
          <w:szCs w:val="20"/>
        </w:rPr>
      </w:pPr>
      <w:r w:rsidRPr="001D17B3">
        <w:rPr>
          <w:rFonts w:ascii="Tahoma" w:hAnsi="Tahoma" w:cs="Tahoma"/>
          <w:sz w:val="20"/>
          <w:szCs w:val="20"/>
        </w:rPr>
        <w:t>Rebranding Good Times Burgers: Strategic marketing or menu innovation might have revitalized the struggling QSR concept.</w:t>
      </w:r>
    </w:p>
    <w:p w14:paraId="783D518A" w14:textId="77777777" w:rsidR="002D79B1" w:rsidRPr="001D17B3" w:rsidRDefault="002D79B1" w:rsidP="002D79B1">
      <w:pPr>
        <w:ind w:left="720"/>
        <w:contextualSpacing/>
        <w:jc w:val="both"/>
        <w:rPr>
          <w:rFonts w:ascii="Tahoma" w:hAnsi="Tahoma" w:cs="Tahoma"/>
          <w:sz w:val="20"/>
          <w:szCs w:val="20"/>
        </w:rPr>
      </w:pPr>
    </w:p>
    <w:p w14:paraId="11CADB54" w14:textId="5F833850" w:rsidR="001D17B3" w:rsidRPr="001D17B3" w:rsidRDefault="001D17B3" w:rsidP="001D17B3">
      <w:pPr>
        <w:contextualSpacing/>
        <w:jc w:val="both"/>
        <w:rPr>
          <w:rFonts w:ascii="Tahoma" w:hAnsi="Tahoma" w:cs="Tahoma"/>
          <w:sz w:val="20"/>
          <w:szCs w:val="20"/>
        </w:rPr>
      </w:pPr>
      <w:r w:rsidRPr="001D17B3">
        <w:rPr>
          <w:rFonts w:ascii="Tahoma" w:hAnsi="Tahoma" w:cs="Tahoma"/>
          <w:sz w:val="20"/>
          <w:szCs w:val="20"/>
        </w:rPr>
        <w:t>By prioritizing short-term share buybacks, GTIM missed opportunities to build shareholder value.</w:t>
      </w:r>
      <w:r w:rsidR="002D79B1">
        <w:rPr>
          <w:rFonts w:ascii="Tahoma" w:hAnsi="Tahoma" w:cs="Tahoma"/>
          <w:sz w:val="20"/>
          <w:szCs w:val="20"/>
        </w:rPr>
        <w:t xml:space="preserve">  </w:t>
      </w:r>
      <w:r w:rsidR="002D79B1" w:rsidRPr="002D79B1">
        <w:rPr>
          <w:rFonts w:ascii="Tahoma" w:hAnsi="Tahoma" w:cs="Tahoma"/>
          <w:sz w:val="20"/>
          <w:szCs w:val="20"/>
        </w:rPr>
        <w:t>This misallocation of capital has exacerbated GTIM’s financial constraints, as outlined in the company’s capital structure.</w:t>
      </w:r>
    </w:p>
    <w:p w14:paraId="3897EECF" w14:textId="77777777" w:rsidR="001D369D" w:rsidRDefault="001D369D" w:rsidP="00B32D50">
      <w:pPr>
        <w:contextualSpacing/>
        <w:jc w:val="both"/>
        <w:rPr>
          <w:rFonts w:ascii="Tahoma" w:hAnsi="Tahoma" w:cs="Tahoma"/>
          <w:sz w:val="20"/>
          <w:szCs w:val="20"/>
        </w:rPr>
      </w:pPr>
    </w:p>
    <w:p w14:paraId="3B9B8780" w14:textId="7A12CAD8" w:rsidR="00821121" w:rsidRDefault="00821121" w:rsidP="00B32D50">
      <w:pPr>
        <w:contextualSpacing/>
        <w:jc w:val="both"/>
        <w:rPr>
          <w:rFonts w:ascii="Tahoma" w:hAnsi="Tahoma" w:cs="Tahoma"/>
          <w:sz w:val="20"/>
          <w:szCs w:val="20"/>
        </w:rPr>
      </w:pPr>
    </w:p>
    <w:p w14:paraId="43947D3C" w14:textId="266D5999" w:rsidR="00821121" w:rsidRPr="00821121" w:rsidRDefault="001D17B3" w:rsidP="00A80EB0">
      <w:pPr>
        <w:contextualSpacing/>
        <w:rPr>
          <w:rFonts w:ascii="Tahoma" w:hAnsi="Tahoma" w:cs="Tahoma"/>
          <w:i/>
          <w:iCs/>
          <w:sz w:val="20"/>
          <w:szCs w:val="20"/>
        </w:rPr>
      </w:pPr>
      <w:r w:rsidRPr="001D17B3">
        <w:rPr>
          <w:rFonts w:ascii="Tahoma" w:hAnsi="Tahoma" w:cs="Tahoma"/>
          <w:b/>
          <w:bCs/>
          <w:sz w:val="20"/>
          <w:szCs w:val="20"/>
        </w:rPr>
        <w:lastRenderedPageBreak/>
        <w:t>Capital Structure: Strains and Risks</w:t>
      </w:r>
    </w:p>
    <w:p w14:paraId="58C25415" w14:textId="77777777" w:rsidR="004565B4" w:rsidRPr="004565B4" w:rsidRDefault="001D369D" w:rsidP="001D369D">
      <w:pPr>
        <w:contextualSpacing/>
        <w:jc w:val="both"/>
        <w:rPr>
          <w:rFonts w:ascii="Tahoma" w:hAnsi="Tahoma" w:cs="Tahoma"/>
          <w:sz w:val="20"/>
          <w:szCs w:val="20"/>
        </w:rPr>
      </w:pPr>
      <w:r w:rsidRPr="004565B4">
        <w:rPr>
          <w:rFonts w:ascii="Tahoma" w:hAnsi="Tahoma" w:cs="Tahoma"/>
          <w:sz w:val="20"/>
          <w:szCs w:val="20"/>
        </w:rPr>
        <w:t>GTIM’s capital structure reflects modest liquidity</w:t>
      </w:r>
      <w:r w:rsidR="001D17B3" w:rsidRPr="004565B4">
        <w:rPr>
          <w:rFonts w:ascii="Tahoma" w:hAnsi="Tahoma" w:cs="Tahoma"/>
          <w:sz w:val="20"/>
          <w:szCs w:val="20"/>
        </w:rPr>
        <w:t xml:space="preserve"> but concerning inefficiencies:</w:t>
      </w:r>
    </w:p>
    <w:p w14:paraId="7F160FEA" w14:textId="77777777" w:rsidR="00616E61" w:rsidRDefault="001D369D" w:rsidP="001D369D">
      <w:pPr>
        <w:pStyle w:val="ListParagraph"/>
        <w:numPr>
          <w:ilvl w:val="0"/>
          <w:numId w:val="26"/>
        </w:numPr>
        <w:jc w:val="both"/>
        <w:rPr>
          <w:rFonts w:ascii="Tahoma" w:hAnsi="Tahoma" w:cs="Tahoma"/>
          <w:sz w:val="20"/>
          <w:szCs w:val="20"/>
        </w:rPr>
      </w:pPr>
      <w:r w:rsidRPr="00616E61">
        <w:rPr>
          <w:rFonts w:ascii="Tahoma" w:hAnsi="Tahoma" w:cs="Tahoma"/>
          <w:sz w:val="20"/>
          <w:szCs w:val="20"/>
        </w:rPr>
        <w:t>$4.8M cash reserve</w:t>
      </w:r>
    </w:p>
    <w:p w14:paraId="5F5E876B" w14:textId="77777777" w:rsidR="00616E61" w:rsidRDefault="001D369D" w:rsidP="001D369D">
      <w:pPr>
        <w:pStyle w:val="ListParagraph"/>
        <w:numPr>
          <w:ilvl w:val="0"/>
          <w:numId w:val="26"/>
        </w:numPr>
        <w:jc w:val="both"/>
        <w:rPr>
          <w:rFonts w:ascii="Tahoma" w:hAnsi="Tahoma" w:cs="Tahoma"/>
          <w:sz w:val="20"/>
          <w:szCs w:val="20"/>
        </w:rPr>
      </w:pPr>
      <w:r w:rsidRPr="00616E61">
        <w:rPr>
          <w:rFonts w:ascii="Tahoma" w:hAnsi="Tahoma" w:cs="Tahoma"/>
          <w:sz w:val="20"/>
          <w:szCs w:val="20"/>
        </w:rPr>
        <w:t>$1.1M in total debt</w:t>
      </w:r>
    </w:p>
    <w:p w14:paraId="1DE9AB5C" w14:textId="77777777" w:rsidR="00616E61" w:rsidRDefault="001D369D" w:rsidP="004867C2">
      <w:pPr>
        <w:pStyle w:val="ListParagraph"/>
        <w:numPr>
          <w:ilvl w:val="0"/>
          <w:numId w:val="26"/>
        </w:numPr>
        <w:jc w:val="both"/>
        <w:rPr>
          <w:rFonts w:ascii="Tahoma" w:hAnsi="Tahoma" w:cs="Tahoma"/>
          <w:sz w:val="20"/>
          <w:szCs w:val="20"/>
        </w:rPr>
      </w:pPr>
      <w:r w:rsidRPr="00616E61">
        <w:rPr>
          <w:rFonts w:ascii="Tahoma" w:hAnsi="Tahoma" w:cs="Tahoma"/>
          <w:sz w:val="20"/>
          <w:szCs w:val="20"/>
        </w:rPr>
        <w:t>$24.8M</w:t>
      </w:r>
      <w:r w:rsidR="004565B4" w:rsidRPr="00616E61">
        <w:rPr>
          <w:rFonts w:ascii="Tahoma" w:hAnsi="Tahoma" w:cs="Tahoma"/>
          <w:sz w:val="20"/>
          <w:szCs w:val="20"/>
        </w:rPr>
        <w:t xml:space="preserve"> in Enterprise Value</w:t>
      </w:r>
      <w:r w:rsidRPr="00616E61">
        <w:rPr>
          <w:rFonts w:ascii="Tahoma" w:hAnsi="Tahoma" w:cs="Tahoma"/>
          <w:sz w:val="20"/>
          <w:szCs w:val="20"/>
        </w:rPr>
        <w:t>.</w:t>
      </w:r>
    </w:p>
    <w:p w14:paraId="484118DB" w14:textId="77777777" w:rsidR="00616E61" w:rsidRDefault="004565B4" w:rsidP="00616E61">
      <w:pPr>
        <w:pStyle w:val="ListParagraph"/>
        <w:numPr>
          <w:ilvl w:val="0"/>
          <w:numId w:val="26"/>
        </w:numPr>
        <w:jc w:val="both"/>
        <w:rPr>
          <w:rFonts w:ascii="Tahoma" w:hAnsi="Tahoma" w:cs="Tahoma"/>
          <w:sz w:val="20"/>
          <w:szCs w:val="20"/>
        </w:rPr>
      </w:pPr>
      <w:r w:rsidRPr="00616E61">
        <w:rPr>
          <w:rFonts w:ascii="Tahoma" w:hAnsi="Tahoma" w:cs="Tahoma"/>
          <w:sz w:val="20"/>
          <w:szCs w:val="20"/>
        </w:rPr>
        <w:t xml:space="preserve">GTIM has required $3.20 in investor funds to produce $1 in losses, a stark indicator of capital inefficiency. </w:t>
      </w:r>
    </w:p>
    <w:p w14:paraId="548B1CD4" w14:textId="34661683" w:rsidR="001D369D" w:rsidRPr="00616E61" w:rsidRDefault="00616E61" w:rsidP="00616E61">
      <w:pPr>
        <w:pStyle w:val="ListParagraph"/>
        <w:numPr>
          <w:ilvl w:val="0"/>
          <w:numId w:val="26"/>
        </w:numPr>
        <w:jc w:val="both"/>
        <w:rPr>
          <w:rFonts w:ascii="Tahoma" w:hAnsi="Tahoma" w:cs="Tahoma"/>
          <w:sz w:val="20"/>
          <w:szCs w:val="20"/>
        </w:rPr>
      </w:pPr>
      <w:r w:rsidRPr="00616E61">
        <w:rPr>
          <w:rFonts w:ascii="Tahoma" w:hAnsi="Tahoma" w:cs="Tahoma"/>
          <w:sz w:val="20"/>
          <w:szCs w:val="20"/>
        </w:rPr>
        <w:t>High borrowing costs (8.42% average interest) and limited credit availability further constrain GTIM’s ability to invest in growth.</w:t>
      </w:r>
    </w:p>
    <w:p w14:paraId="13EF9765" w14:textId="63A6EF22" w:rsidR="001D369D" w:rsidRDefault="00616E61" w:rsidP="00616E61">
      <w:pPr>
        <w:contextualSpacing/>
        <w:jc w:val="center"/>
        <w:rPr>
          <w:rFonts w:ascii="Tahoma" w:hAnsi="Tahoma" w:cs="Tahoma"/>
          <w:sz w:val="20"/>
          <w:szCs w:val="20"/>
        </w:rPr>
      </w:pPr>
      <w:r>
        <w:rPr>
          <w:noProof/>
        </w:rPr>
        <w:drawing>
          <wp:inline distT="0" distB="0" distL="0" distR="0" wp14:anchorId="1630E4D0" wp14:editId="6CC6C3E5">
            <wp:extent cx="2441643" cy="1507788"/>
            <wp:effectExtent l="0" t="0" r="0" b="3810"/>
            <wp:docPr id="1222458292" name="Picture 6" descr="A close-up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458292" name="Picture 6" descr="A close-up of a calculato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51828" cy="1514077"/>
                    </a:xfrm>
                    <a:prstGeom prst="rect">
                      <a:avLst/>
                    </a:prstGeom>
                  </pic:spPr>
                </pic:pic>
              </a:graphicData>
            </a:graphic>
          </wp:inline>
        </w:drawing>
      </w:r>
    </w:p>
    <w:p w14:paraId="1C0C864F" w14:textId="2F70B4DA" w:rsidR="004867C2" w:rsidRDefault="004867C2" w:rsidP="004867C2">
      <w:pPr>
        <w:contextualSpacing/>
        <w:jc w:val="both"/>
        <w:rPr>
          <w:rFonts w:ascii="Tahoma" w:hAnsi="Tahoma" w:cs="Tahoma"/>
          <w:sz w:val="20"/>
          <w:szCs w:val="20"/>
        </w:rPr>
      </w:pPr>
      <w:r>
        <w:rPr>
          <w:rFonts w:ascii="Tahoma" w:hAnsi="Tahoma" w:cs="Tahoma"/>
          <w:sz w:val="20"/>
          <w:szCs w:val="20"/>
        </w:rPr>
        <w:t xml:space="preserve">As of the company’s Q3-24 filing, GTIM’s market cap is $28.5M.  Company has cash of $4.8M and total debt of $1.1M imputing </w:t>
      </w:r>
      <w:r w:rsidR="00FB7FA1">
        <w:rPr>
          <w:rFonts w:ascii="Tahoma" w:hAnsi="Tahoma" w:cs="Tahoma"/>
          <w:sz w:val="20"/>
          <w:szCs w:val="20"/>
        </w:rPr>
        <w:t>an</w:t>
      </w:r>
      <w:r>
        <w:rPr>
          <w:rFonts w:ascii="Tahoma" w:hAnsi="Tahoma" w:cs="Tahoma"/>
          <w:sz w:val="20"/>
          <w:szCs w:val="20"/>
        </w:rPr>
        <w:t xml:space="preserve"> Enterprise Value of $24.8M.  </w:t>
      </w:r>
    </w:p>
    <w:p w14:paraId="7F7AA622" w14:textId="76CE09C6" w:rsidR="004867C2" w:rsidRPr="004867C2" w:rsidRDefault="004867C2" w:rsidP="004867C2">
      <w:pPr>
        <w:ind w:left="720"/>
        <w:contextualSpacing/>
        <w:jc w:val="both"/>
        <w:rPr>
          <w:rFonts w:ascii="Tahoma" w:hAnsi="Tahoma" w:cs="Tahoma"/>
          <w:b/>
          <w:bCs/>
          <w:sz w:val="20"/>
          <w:szCs w:val="20"/>
          <w:u w:val="single"/>
        </w:rPr>
      </w:pPr>
      <w:r w:rsidRPr="004867C2">
        <w:rPr>
          <w:rFonts w:ascii="Tahoma" w:hAnsi="Tahoma" w:cs="Tahoma"/>
          <w:b/>
          <w:bCs/>
          <w:sz w:val="20"/>
          <w:szCs w:val="20"/>
          <w:u w:val="single"/>
        </w:rPr>
        <w:t xml:space="preserve">Credit </w:t>
      </w:r>
      <w:r>
        <w:rPr>
          <w:rFonts w:ascii="Tahoma" w:hAnsi="Tahoma" w:cs="Tahoma"/>
          <w:b/>
          <w:bCs/>
          <w:sz w:val="20"/>
          <w:szCs w:val="20"/>
          <w:u w:val="single"/>
        </w:rPr>
        <w:t>Facility</w:t>
      </w:r>
    </w:p>
    <w:p w14:paraId="58DF4F9C" w14:textId="77777777" w:rsidR="001D369D" w:rsidRPr="001D369D" w:rsidRDefault="001D369D" w:rsidP="001D369D">
      <w:pPr>
        <w:ind w:left="720"/>
        <w:contextualSpacing/>
        <w:jc w:val="both"/>
        <w:rPr>
          <w:rFonts w:ascii="Tahoma" w:hAnsi="Tahoma" w:cs="Tahoma"/>
          <w:sz w:val="20"/>
          <w:szCs w:val="20"/>
        </w:rPr>
      </w:pPr>
      <w:r w:rsidRPr="001D369D">
        <w:rPr>
          <w:rFonts w:ascii="Tahoma" w:hAnsi="Tahoma" w:cs="Tahoma"/>
          <w:sz w:val="20"/>
          <w:szCs w:val="20"/>
        </w:rPr>
        <w:t>The $1.1M debt stems primarily from the Cadence Credit Facility, a loan agreement capped at $8M with a maturity date of 4/20/28. This facility includes a weighted average interest rate of 8.42% (as of 6/25/24) and a 0.25% fee on unused portions of the loan. Currently, GTIM has borrowed $750K and issued $10K in letters of credit, leaving $7.24M available. However, borrowing more than $4M (&gt;50% of the facility) triggers stricter financial covenants, limiting the company’s ability to spend on growth or shareholder payouts. Additionally, GTIM has incurred $299K in origination fees, with $102K still unamortized as of 6/24/24. The facility is secured by a 1st priority lien on all company assets.</w:t>
      </w:r>
    </w:p>
    <w:p w14:paraId="09FDEE1D" w14:textId="77777777" w:rsidR="001D369D" w:rsidRPr="001D369D" w:rsidRDefault="001D369D" w:rsidP="001D369D">
      <w:pPr>
        <w:ind w:left="720"/>
        <w:contextualSpacing/>
        <w:jc w:val="both"/>
        <w:rPr>
          <w:rFonts w:ascii="Tahoma" w:hAnsi="Tahoma" w:cs="Tahoma"/>
          <w:sz w:val="20"/>
          <w:szCs w:val="20"/>
        </w:rPr>
      </w:pPr>
      <w:r w:rsidRPr="001D369D">
        <w:rPr>
          <w:rFonts w:ascii="Tahoma" w:hAnsi="Tahoma" w:cs="Tahoma"/>
          <w:sz w:val="20"/>
          <w:szCs w:val="20"/>
        </w:rPr>
        <w:t xml:space="preserve">The Parker Promissory Note represents an additional unsecured liability related to the acquisition of Good Times Burgers. This loan is fully amortized over 10 years at a 5% annual interest rate, with an outstanding balance of $380K as of 6/25/24. Combined, these debts total </w:t>
      </w:r>
      <w:r w:rsidRPr="001D369D">
        <w:rPr>
          <w:rFonts w:ascii="Tahoma" w:hAnsi="Tahoma" w:cs="Tahoma"/>
          <w:b/>
          <w:bCs/>
          <w:sz w:val="20"/>
          <w:szCs w:val="20"/>
        </w:rPr>
        <w:t>$1.13M.</w:t>
      </w:r>
    </w:p>
    <w:p w14:paraId="6DA48B3A" w14:textId="77777777" w:rsidR="001D369D" w:rsidRPr="001D369D" w:rsidRDefault="001D369D" w:rsidP="001D369D">
      <w:pPr>
        <w:ind w:left="720"/>
        <w:contextualSpacing/>
        <w:jc w:val="both"/>
        <w:rPr>
          <w:rFonts w:ascii="Tahoma" w:hAnsi="Tahoma" w:cs="Tahoma"/>
          <w:sz w:val="20"/>
          <w:szCs w:val="20"/>
        </w:rPr>
      </w:pPr>
      <w:r w:rsidRPr="001D369D">
        <w:rPr>
          <w:rFonts w:ascii="Tahoma" w:hAnsi="Tahoma" w:cs="Tahoma"/>
          <w:sz w:val="20"/>
          <w:szCs w:val="20"/>
        </w:rPr>
        <w:t>The high borrowing costs (8.42% average interest) and limited available credit leave GTIM with minimal financial flexibility. To navigate these constraints, the company must prioritize operational efficiency and disciplined capital allocation, focusing on initiatives that deliver measurable returns.</w:t>
      </w:r>
    </w:p>
    <w:p w14:paraId="71776B5A" w14:textId="224966D1" w:rsidR="00FD01F0" w:rsidRDefault="00FD01F0" w:rsidP="00A80EB0">
      <w:pPr>
        <w:contextualSpacing/>
        <w:rPr>
          <w:rFonts w:ascii="Tahoma" w:hAnsi="Tahoma" w:cs="Tahoma"/>
          <w:sz w:val="20"/>
          <w:szCs w:val="20"/>
        </w:rPr>
      </w:pPr>
    </w:p>
    <w:p w14:paraId="7540B798" w14:textId="77777777" w:rsidR="00FD01F0" w:rsidRDefault="00FD01F0" w:rsidP="00A80EB0">
      <w:pPr>
        <w:contextualSpacing/>
        <w:rPr>
          <w:rFonts w:ascii="Tahoma" w:hAnsi="Tahoma" w:cs="Tahoma"/>
          <w:sz w:val="20"/>
          <w:szCs w:val="20"/>
        </w:rPr>
      </w:pPr>
    </w:p>
    <w:p w14:paraId="004478A7" w14:textId="3DFCC4A5" w:rsidR="00FD01F0" w:rsidRDefault="00E42224" w:rsidP="00A80EB0">
      <w:pPr>
        <w:contextualSpacing/>
        <w:rPr>
          <w:rFonts w:ascii="Tahoma" w:hAnsi="Tahoma" w:cs="Tahoma"/>
          <w:sz w:val="20"/>
          <w:szCs w:val="20"/>
        </w:rPr>
      </w:pPr>
      <w:r>
        <w:rPr>
          <w:rFonts w:ascii="Tahoma" w:hAnsi="Tahoma" w:cs="Tahoma"/>
          <w:noProof/>
          <w:sz w:val="20"/>
          <w:szCs w:val="20"/>
        </w:rPr>
        <w:lastRenderedPageBreak/>
        <w:drawing>
          <wp:inline distT="0" distB="0" distL="0" distR="0" wp14:anchorId="2510B14E" wp14:editId="0C6EBC21">
            <wp:extent cx="5316865" cy="1624668"/>
            <wp:effectExtent l="0" t="0" r="4445" b="1270"/>
            <wp:docPr id="1594594921" name="Picture 1" descr="A blue and white striped fabr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4630" name="Picture 1" descr="A blue and white striped fabric&#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55490" cy="1636470"/>
                    </a:xfrm>
                    <a:prstGeom prst="rect">
                      <a:avLst/>
                    </a:prstGeom>
                  </pic:spPr>
                </pic:pic>
              </a:graphicData>
            </a:graphic>
          </wp:inline>
        </w:drawing>
      </w:r>
    </w:p>
    <w:p w14:paraId="020F4D2F" w14:textId="77777777" w:rsidR="00E42224" w:rsidRDefault="00E42224" w:rsidP="00A80EB0">
      <w:pPr>
        <w:contextualSpacing/>
        <w:rPr>
          <w:rFonts w:ascii="Tahoma" w:hAnsi="Tahoma" w:cs="Tahoma"/>
          <w:sz w:val="20"/>
          <w:szCs w:val="20"/>
        </w:rPr>
      </w:pPr>
    </w:p>
    <w:p w14:paraId="1BB1FD39" w14:textId="77777777" w:rsidR="00E42224" w:rsidRDefault="00E42224" w:rsidP="00E42224">
      <w:pPr>
        <w:contextualSpacing/>
        <w:rPr>
          <w:rFonts w:ascii="Tahoma" w:hAnsi="Tahoma" w:cs="Tahoma"/>
          <w:sz w:val="20"/>
          <w:szCs w:val="20"/>
        </w:rPr>
      </w:pPr>
      <w:r>
        <w:rPr>
          <w:rFonts w:ascii="Tahoma" w:hAnsi="Tahoma" w:cs="Tahoma"/>
          <w:sz w:val="20"/>
          <w:szCs w:val="20"/>
        </w:rPr>
        <w:t>Lastly, s</w:t>
      </w:r>
      <w:r w:rsidRPr="00821121">
        <w:rPr>
          <w:rFonts w:ascii="Tahoma" w:hAnsi="Tahoma" w:cs="Tahoma"/>
          <w:sz w:val="20"/>
          <w:szCs w:val="20"/>
        </w:rPr>
        <w:t>ince its inception, GTIM has required $3.20 of investor capital to produce $1 in losses, reflecting significant inefficiencies in the company’s operations and capital allocation.</w:t>
      </w:r>
      <w:r>
        <w:rPr>
          <w:rFonts w:ascii="Tahoma" w:hAnsi="Tahoma" w:cs="Tahoma"/>
          <w:sz w:val="20"/>
          <w:szCs w:val="20"/>
        </w:rPr>
        <w:t xml:space="preserve"> </w:t>
      </w:r>
    </w:p>
    <w:p w14:paraId="595322EB" w14:textId="77777777" w:rsidR="00FD01F0" w:rsidRDefault="00FD01F0" w:rsidP="00A80EB0">
      <w:pPr>
        <w:contextualSpacing/>
        <w:rPr>
          <w:rFonts w:ascii="Tahoma" w:hAnsi="Tahoma" w:cs="Tahoma"/>
          <w:sz w:val="20"/>
          <w:szCs w:val="20"/>
        </w:rPr>
      </w:pPr>
    </w:p>
    <w:p w14:paraId="011449E7" w14:textId="77777777" w:rsidR="00FD01F0" w:rsidRDefault="00FD01F0" w:rsidP="00A80EB0">
      <w:pPr>
        <w:contextualSpacing/>
        <w:rPr>
          <w:rFonts w:ascii="Tahoma" w:hAnsi="Tahoma" w:cs="Tahoma"/>
          <w:sz w:val="20"/>
          <w:szCs w:val="20"/>
        </w:rPr>
      </w:pPr>
    </w:p>
    <w:p w14:paraId="501C4685" w14:textId="664AA524" w:rsidR="00AB3C27" w:rsidRDefault="008D19D2" w:rsidP="00D6312C">
      <w:pPr>
        <w:jc w:val="both"/>
        <w:rPr>
          <w:rFonts w:ascii="Tahoma" w:hAnsi="Tahoma" w:cs="Tahoma"/>
          <w:b/>
          <w:bCs/>
          <w:sz w:val="20"/>
          <w:szCs w:val="20"/>
        </w:rPr>
      </w:pPr>
      <w:r>
        <w:rPr>
          <w:rFonts w:ascii="Tahoma" w:hAnsi="Tahoma" w:cs="Tahoma"/>
          <w:b/>
          <w:bCs/>
          <w:sz w:val="20"/>
          <w:szCs w:val="20"/>
        </w:rPr>
        <w:t>Growth</w:t>
      </w:r>
    </w:p>
    <w:p w14:paraId="35CD024C" w14:textId="11309246" w:rsidR="008D19D2" w:rsidRDefault="000C5549" w:rsidP="00556FF5">
      <w:pPr>
        <w:jc w:val="both"/>
        <w:rPr>
          <w:rFonts w:ascii="Tahoma" w:hAnsi="Tahoma" w:cs="Tahoma"/>
          <w:b/>
          <w:bCs/>
          <w:i/>
          <w:iCs/>
          <w:sz w:val="20"/>
          <w:szCs w:val="20"/>
        </w:rPr>
      </w:pPr>
      <w:r>
        <w:rPr>
          <w:rFonts w:ascii="Tahoma" w:hAnsi="Tahoma" w:cs="Tahoma"/>
          <w:b/>
          <w:bCs/>
          <w:i/>
          <w:iCs/>
          <w:sz w:val="20"/>
          <w:szCs w:val="20"/>
        </w:rPr>
        <w:t>Plans never materialize when you play Russian roulette with shareholder capital.  What happened to the Good Times?</w:t>
      </w:r>
    </w:p>
    <w:p w14:paraId="0395B33E" w14:textId="324187C6" w:rsidR="004565B4" w:rsidRPr="004565B4" w:rsidRDefault="00465A73" w:rsidP="004565B4">
      <w:pPr>
        <w:jc w:val="both"/>
        <w:rPr>
          <w:rFonts w:ascii="Tahoma" w:hAnsi="Tahoma" w:cs="Tahoma"/>
          <w:sz w:val="20"/>
          <w:szCs w:val="20"/>
        </w:rPr>
      </w:pPr>
      <w:r>
        <w:rPr>
          <w:rFonts w:ascii="Tahoma" w:hAnsi="Tahoma" w:cs="Tahoma"/>
          <w:sz w:val="20"/>
          <w:szCs w:val="20"/>
        </w:rPr>
        <w:t>O</w:t>
      </w:r>
      <w:r w:rsidR="004565B4" w:rsidRPr="004565B4">
        <w:rPr>
          <w:rFonts w:ascii="Tahoma" w:hAnsi="Tahoma" w:cs="Tahoma"/>
          <w:sz w:val="20"/>
          <w:szCs w:val="20"/>
        </w:rPr>
        <w:t>ver the past 13 years, GTIM achieved 17% average revenue growth, driven primarily by </w:t>
      </w:r>
      <w:r w:rsidR="004565B4" w:rsidRPr="004565B4">
        <w:rPr>
          <w:rFonts w:ascii="Tahoma" w:hAnsi="Tahoma" w:cs="Tahoma"/>
          <w:b/>
          <w:bCs/>
          <w:sz w:val="20"/>
          <w:szCs w:val="20"/>
        </w:rPr>
        <w:t>Bad Daddy’s Burger Bar</w:t>
      </w:r>
      <w:r w:rsidR="004565B4" w:rsidRPr="004565B4">
        <w:rPr>
          <w:rFonts w:ascii="Tahoma" w:hAnsi="Tahoma" w:cs="Tahoma"/>
          <w:sz w:val="20"/>
          <w:szCs w:val="20"/>
        </w:rPr>
        <w:t> (22% average growth over 7 years). In contrast, </w:t>
      </w:r>
      <w:r w:rsidR="004565B4" w:rsidRPr="004565B4">
        <w:rPr>
          <w:rFonts w:ascii="Tahoma" w:hAnsi="Tahoma" w:cs="Tahoma"/>
          <w:b/>
          <w:bCs/>
          <w:sz w:val="20"/>
          <w:szCs w:val="20"/>
        </w:rPr>
        <w:t>Good Times Burgers</w:t>
      </w:r>
      <w:r w:rsidR="004565B4" w:rsidRPr="004565B4">
        <w:rPr>
          <w:rFonts w:ascii="Tahoma" w:hAnsi="Tahoma" w:cs="Tahoma"/>
          <w:sz w:val="20"/>
          <w:szCs w:val="20"/>
        </w:rPr>
        <w:t> stagnated with 0% growth, reflecting a decline in customer demand and operational relevance.</w:t>
      </w:r>
    </w:p>
    <w:p w14:paraId="2109F6B1" w14:textId="77777777" w:rsidR="004565B4" w:rsidRPr="004565B4" w:rsidRDefault="004565B4" w:rsidP="004565B4">
      <w:pPr>
        <w:jc w:val="both"/>
        <w:rPr>
          <w:rFonts w:ascii="Tahoma" w:hAnsi="Tahoma" w:cs="Tahoma"/>
          <w:sz w:val="20"/>
          <w:szCs w:val="20"/>
        </w:rPr>
      </w:pPr>
      <w:r w:rsidRPr="004565B4">
        <w:rPr>
          <w:rFonts w:ascii="Tahoma" w:hAnsi="Tahoma" w:cs="Tahoma"/>
          <w:sz w:val="20"/>
          <w:szCs w:val="20"/>
        </w:rPr>
        <w:t>To sustain growth, GTIM must focus on expanding Bad Daddy’s while reevaluating Good Times Burgers’ future.</w:t>
      </w:r>
    </w:p>
    <w:p w14:paraId="1AC666EC" w14:textId="10328207" w:rsidR="00E42224" w:rsidRDefault="000C5549" w:rsidP="00556FF5">
      <w:pPr>
        <w:jc w:val="both"/>
        <w:rPr>
          <w:rFonts w:ascii="Tahoma" w:hAnsi="Tahoma" w:cs="Tahoma"/>
          <w:sz w:val="20"/>
          <w:szCs w:val="20"/>
        </w:rPr>
      </w:pPr>
      <w:r>
        <w:rPr>
          <w:noProof/>
        </w:rPr>
        <w:drawing>
          <wp:inline distT="0" distB="0" distL="0" distR="0" wp14:anchorId="7CB2F36C" wp14:editId="51206DDD">
            <wp:extent cx="5408579" cy="2937753"/>
            <wp:effectExtent l="0" t="0" r="14605" b="8890"/>
            <wp:docPr id="1308923061" name="Chart 1">
              <a:extLst xmlns:a="http://schemas.openxmlformats.org/drawingml/2006/main">
                <a:ext uri="{FF2B5EF4-FFF2-40B4-BE49-F238E27FC236}">
                  <a16:creationId xmlns:a16="http://schemas.microsoft.com/office/drawing/2014/main" id="{980393AF-E43A-DCDC-57DC-C10469F506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AA8E3D0" w14:textId="77777777" w:rsidR="00E42224" w:rsidRDefault="00E42224" w:rsidP="00556FF5">
      <w:pPr>
        <w:jc w:val="both"/>
        <w:rPr>
          <w:rFonts w:ascii="Tahoma" w:hAnsi="Tahoma" w:cs="Tahoma"/>
          <w:sz w:val="20"/>
          <w:szCs w:val="20"/>
        </w:rPr>
      </w:pPr>
    </w:p>
    <w:p w14:paraId="552BF76F" w14:textId="322E5B75" w:rsidR="00A20CFD" w:rsidRDefault="0039796D" w:rsidP="00556FF5">
      <w:pPr>
        <w:jc w:val="both"/>
        <w:rPr>
          <w:rFonts w:ascii="Tahoma" w:hAnsi="Tahoma" w:cs="Tahoma"/>
          <w:b/>
          <w:bCs/>
          <w:sz w:val="20"/>
          <w:szCs w:val="20"/>
        </w:rPr>
      </w:pPr>
      <w:r>
        <w:rPr>
          <w:rFonts w:ascii="Tahoma" w:hAnsi="Tahoma" w:cs="Tahoma"/>
          <w:b/>
          <w:bCs/>
          <w:sz w:val="20"/>
          <w:szCs w:val="20"/>
        </w:rPr>
        <w:t>SSS Trend</w:t>
      </w:r>
    </w:p>
    <w:p w14:paraId="6F55C3F4" w14:textId="77777777" w:rsidR="0057530A" w:rsidRPr="0057530A" w:rsidRDefault="0057530A" w:rsidP="00556FF5">
      <w:pPr>
        <w:jc w:val="both"/>
        <w:rPr>
          <w:rFonts w:ascii="Tahoma" w:hAnsi="Tahoma" w:cs="Tahoma"/>
          <w:sz w:val="20"/>
          <w:szCs w:val="20"/>
        </w:rPr>
      </w:pPr>
    </w:p>
    <w:p w14:paraId="1238E347" w14:textId="77777777" w:rsidR="0091290C" w:rsidRDefault="0091290C" w:rsidP="0057530A">
      <w:pPr>
        <w:jc w:val="both"/>
        <w:rPr>
          <w:rFonts w:ascii="Tahoma" w:hAnsi="Tahoma" w:cs="Tahoma"/>
          <w:sz w:val="20"/>
          <w:szCs w:val="20"/>
        </w:rPr>
      </w:pPr>
      <w:r w:rsidRPr="0091290C">
        <w:rPr>
          <w:rFonts w:ascii="Tahoma" w:hAnsi="Tahoma" w:cs="Tahoma"/>
          <w:sz w:val="20"/>
          <w:szCs w:val="20"/>
        </w:rPr>
        <w:lastRenderedPageBreak/>
        <w:t>The performance of Good Times Restaurants Inc. demonstrates the stark divergence between its two brands.</w:t>
      </w:r>
    </w:p>
    <w:p w14:paraId="16272E72" w14:textId="77777777" w:rsidR="0091290C" w:rsidRDefault="0091290C" w:rsidP="0057530A">
      <w:pPr>
        <w:jc w:val="both"/>
        <w:rPr>
          <w:rFonts w:ascii="Tahoma" w:hAnsi="Tahoma" w:cs="Tahoma"/>
          <w:sz w:val="20"/>
          <w:szCs w:val="20"/>
        </w:rPr>
      </w:pPr>
    </w:p>
    <w:p w14:paraId="122FDF41" w14:textId="61CE1FF1" w:rsidR="0091290C" w:rsidRDefault="0091290C" w:rsidP="0057530A">
      <w:pPr>
        <w:jc w:val="both"/>
        <w:rPr>
          <w:rFonts w:ascii="Tahoma" w:hAnsi="Tahoma" w:cs="Tahoma"/>
          <w:sz w:val="20"/>
          <w:szCs w:val="20"/>
        </w:rPr>
      </w:pPr>
      <w:r w:rsidRPr="0091290C">
        <w:rPr>
          <w:rFonts w:ascii="Tahoma" w:hAnsi="Tahoma" w:cs="Tahoma"/>
          <w:b/>
          <w:bCs/>
          <w:sz w:val="20"/>
          <w:szCs w:val="20"/>
        </w:rPr>
        <w:t>Bad Daddy’s</w:t>
      </w:r>
      <w:r w:rsidRPr="0091290C">
        <w:rPr>
          <w:rFonts w:ascii="Tahoma" w:hAnsi="Tahoma" w:cs="Tahoma"/>
          <w:sz w:val="20"/>
          <w:szCs w:val="20"/>
        </w:rPr>
        <w:t> experienced strong growth post-COVID, peaking at 24.0% in Q122. However, growth declined to 15.5% in Q222 and further to 5.3% by Q322, reflecting normalization in demand and</w:t>
      </w:r>
      <w:r w:rsidR="00FB7FA1">
        <w:rPr>
          <w:rFonts w:ascii="Tahoma" w:hAnsi="Tahoma" w:cs="Tahoma"/>
          <w:sz w:val="20"/>
          <w:szCs w:val="20"/>
        </w:rPr>
        <w:t xml:space="preserve"> </w:t>
      </w:r>
      <w:r w:rsidR="00840726">
        <w:rPr>
          <w:rFonts w:ascii="Tahoma" w:hAnsi="Tahoma" w:cs="Tahoma"/>
          <w:sz w:val="20"/>
          <w:szCs w:val="20"/>
        </w:rPr>
        <w:t xml:space="preserve">possibly </w:t>
      </w:r>
      <w:r w:rsidR="00840726" w:rsidRPr="0091290C">
        <w:rPr>
          <w:rFonts w:ascii="Tahoma" w:hAnsi="Tahoma" w:cs="Tahoma"/>
          <w:sz w:val="20"/>
          <w:szCs w:val="20"/>
        </w:rPr>
        <w:t>macroeconomic</w:t>
      </w:r>
      <w:r w:rsidRPr="0091290C">
        <w:rPr>
          <w:rFonts w:ascii="Tahoma" w:hAnsi="Tahoma" w:cs="Tahoma"/>
          <w:sz w:val="20"/>
          <w:szCs w:val="20"/>
        </w:rPr>
        <w:t xml:space="preserve"> pressures. Growth briefly turned negative in Q323 (-1.4%) before stabilizing at low single-digit levels by Q424 (2.9%). This indicates resilience but also highlights challenges in sustaining momentum.</w:t>
      </w:r>
    </w:p>
    <w:p w14:paraId="4E8686F2" w14:textId="77777777" w:rsidR="0091290C" w:rsidRDefault="0091290C" w:rsidP="0057530A">
      <w:pPr>
        <w:jc w:val="both"/>
        <w:rPr>
          <w:rFonts w:ascii="Tahoma" w:hAnsi="Tahoma" w:cs="Tahoma"/>
          <w:sz w:val="20"/>
          <w:szCs w:val="20"/>
        </w:rPr>
      </w:pPr>
      <w:r w:rsidRPr="0091290C">
        <w:rPr>
          <w:rFonts w:ascii="Tahoma" w:hAnsi="Tahoma" w:cs="Tahoma"/>
          <w:b/>
          <w:bCs/>
          <w:sz w:val="20"/>
          <w:szCs w:val="20"/>
        </w:rPr>
        <w:t>Good Times Burgers</w:t>
      </w:r>
      <w:r w:rsidRPr="0091290C">
        <w:rPr>
          <w:rFonts w:ascii="Tahoma" w:hAnsi="Tahoma" w:cs="Tahoma"/>
          <w:sz w:val="20"/>
          <w:szCs w:val="20"/>
        </w:rPr>
        <w:t>, by contrast, showed more erratic performance. From negative growth (-2.5%) in Q122, it briefly improved to 7.6% in Q223 before returning to volatile, flat, or negative growth, ending Q424 at -0.1%. This pattern underscores operational challenges, including difficulty attracting traffic and maintaining pricing power in a highly competitive QSR environment.</w:t>
      </w:r>
    </w:p>
    <w:p w14:paraId="185086E7" w14:textId="77777777" w:rsidR="0091290C" w:rsidRDefault="0091290C" w:rsidP="0057530A">
      <w:pPr>
        <w:jc w:val="both"/>
        <w:rPr>
          <w:rFonts w:ascii="Tahoma" w:hAnsi="Tahoma" w:cs="Tahoma"/>
          <w:sz w:val="20"/>
          <w:szCs w:val="20"/>
        </w:rPr>
      </w:pPr>
      <w:r w:rsidRPr="0091290C">
        <w:rPr>
          <w:rFonts w:ascii="Tahoma" w:hAnsi="Tahoma" w:cs="Tahoma"/>
          <w:sz w:val="20"/>
          <w:szCs w:val="20"/>
        </w:rPr>
        <w:t>The convergence of SSS growth rates in Q424 reflects broader operational inefficiencies across both brands, signaling the need for targeted strategies. Bad Daddy’s must focus on expanding into high-growth markets and improving customer retention. Meanwhile, Good Times must undergo a deeper transformation to revitalize its relevance in the quick-service market.</w:t>
      </w:r>
    </w:p>
    <w:p w14:paraId="7DF8ED48" w14:textId="56EF2CCD" w:rsidR="0057530A" w:rsidRPr="0057530A" w:rsidRDefault="0057530A" w:rsidP="0057530A">
      <w:pPr>
        <w:jc w:val="both"/>
        <w:rPr>
          <w:rFonts w:ascii="Tahoma" w:hAnsi="Tahoma" w:cs="Tahoma"/>
          <w:sz w:val="20"/>
          <w:szCs w:val="20"/>
        </w:rPr>
      </w:pPr>
      <w:r>
        <w:rPr>
          <w:noProof/>
        </w:rPr>
        <mc:AlternateContent>
          <mc:Choice Requires="cx1">
            <w:drawing>
              <wp:inline distT="0" distB="0" distL="0" distR="0" wp14:anchorId="6010E403" wp14:editId="56968D4E">
                <wp:extent cx="5579533" cy="2726267"/>
                <wp:effectExtent l="0" t="0" r="8890" b="4445"/>
                <wp:docPr id="528301428" name="Chart 1">
                  <a:extLst xmlns:a="http://schemas.openxmlformats.org/drawingml/2006/main">
                    <a:ext uri="{FF2B5EF4-FFF2-40B4-BE49-F238E27FC236}">
                      <a16:creationId xmlns:a16="http://schemas.microsoft.com/office/drawing/2014/main" id="{19C5E3D5-CCEE-865E-C82D-EBA3DADC6DDE}"/>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6010E403" wp14:editId="56968D4E">
                <wp:extent cx="5579533" cy="2726267"/>
                <wp:effectExtent l="0" t="0" r="8890" b="4445"/>
                <wp:docPr id="528301428" name="Chart 1">
                  <a:extLst xmlns:a="http://schemas.openxmlformats.org/drawingml/2006/main">
                    <a:ext uri="{FF2B5EF4-FFF2-40B4-BE49-F238E27FC236}">
                      <a16:creationId xmlns:a16="http://schemas.microsoft.com/office/drawing/2014/main" id="{19C5E3D5-CCEE-865E-C82D-EBA3DADC6DDE}"/>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28301428" name="Chart 1">
                          <a:extLst>
                            <a:ext uri="{FF2B5EF4-FFF2-40B4-BE49-F238E27FC236}">
                              <a16:creationId xmlns:a16="http://schemas.microsoft.com/office/drawing/2014/main" id="{19C5E3D5-CCEE-865E-C82D-EBA3DADC6DDE}"/>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5579110" cy="2726055"/>
                        </a:xfrm>
                        <a:prstGeom prst="rect">
                          <a:avLst/>
                        </a:prstGeom>
                      </pic:spPr>
                    </pic:pic>
                  </a:graphicData>
                </a:graphic>
              </wp:inline>
            </w:drawing>
          </mc:Fallback>
        </mc:AlternateContent>
      </w:r>
    </w:p>
    <w:p w14:paraId="0B6F0E2C" w14:textId="77777777" w:rsidR="0057530A" w:rsidRDefault="0057530A" w:rsidP="00556FF5">
      <w:pPr>
        <w:jc w:val="both"/>
        <w:rPr>
          <w:rFonts w:ascii="Tahoma" w:hAnsi="Tahoma" w:cs="Tahoma"/>
          <w:b/>
          <w:bCs/>
          <w:sz w:val="20"/>
          <w:szCs w:val="20"/>
        </w:rPr>
      </w:pPr>
    </w:p>
    <w:p w14:paraId="4D0BC268" w14:textId="77777777" w:rsidR="0057530A" w:rsidRDefault="0057530A" w:rsidP="00556FF5">
      <w:pPr>
        <w:jc w:val="both"/>
        <w:rPr>
          <w:rFonts w:ascii="Tahoma" w:hAnsi="Tahoma" w:cs="Tahoma"/>
          <w:b/>
          <w:bCs/>
          <w:sz w:val="20"/>
          <w:szCs w:val="20"/>
        </w:rPr>
      </w:pPr>
    </w:p>
    <w:p w14:paraId="1A631720" w14:textId="1B34A0DB" w:rsidR="00E42224" w:rsidRDefault="000C5549" w:rsidP="00556FF5">
      <w:pPr>
        <w:jc w:val="both"/>
        <w:rPr>
          <w:rFonts w:ascii="Tahoma" w:hAnsi="Tahoma" w:cs="Tahoma"/>
          <w:b/>
          <w:bCs/>
          <w:sz w:val="20"/>
          <w:szCs w:val="20"/>
        </w:rPr>
      </w:pPr>
      <w:r w:rsidRPr="000C5549">
        <w:rPr>
          <w:rFonts w:ascii="Tahoma" w:hAnsi="Tahoma" w:cs="Tahoma"/>
          <w:b/>
          <w:bCs/>
          <w:sz w:val="20"/>
          <w:szCs w:val="20"/>
        </w:rPr>
        <w:t>Operations</w:t>
      </w:r>
    </w:p>
    <w:p w14:paraId="05F7E5A4" w14:textId="77777777" w:rsidR="00840726" w:rsidRPr="00840726" w:rsidRDefault="00840726" w:rsidP="00840726">
      <w:pPr>
        <w:jc w:val="both"/>
        <w:rPr>
          <w:rFonts w:ascii="Tahoma" w:hAnsi="Tahoma" w:cs="Tahoma"/>
          <w:sz w:val="20"/>
          <w:szCs w:val="20"/>
        </w:rPr>
      </w:pPr>
      <w:r w:rsidRPr="00840726">
        <w:rPr>
          <w:rFonts w:ascii="Tahoma" w:hAnsi="Tahoma" w:cs="Tahoma"/>
          <w:sz w:val="20"/>
          <w:szCs w:val="20"/>
        </w:rPr>
        <w:t>The </w:t>
      </w:r>
      <w:r w:rsidRPr="00840726">
        <w:rPr>
          <w:rFonts w:ascii="Tahoma" w:hAnsi="Tahoma" w:cs="Tahoma"/>
          <w:b/>
          <w:bCs/>
          <w:sz w:val="20"/>
          <w:szCs w:val="20"/>
        </w:rPr>
        <w:t>"Restaurant Expenses as % of Total Revenue" chart</w:t>
      </w:r>
      <w:r w:rsidRPr="00840726">
        <w:rPr>
          <w:rFonts w:ascii="Tahoma" w:hAnsi="Tahoma" w:cs="Tahoma"/>
          <w:sz w:val="20"/>
          <w:szCs w:val="20"/>
        </w:rPr>
        <w:t> highlights the stability of GTIM's major expense categories over the past decade, with total operating costs largely unchanged as a percentage of revenue. </w:t>
      </w:r>
      <w:r w:rsidRPr="00840726">
        <w:rPr>
          <w:rFonts w:ascii="Tahoma" w:hAnsi="Tahoma" w:cs="Tahoma"/>
          <w:b/>
          <w:bCs/>
          <w:sz w:val="20"/>
          <w:szCs w:val="20"/>
        </w:rPr>
        <w:t>Food/Packaging Costs</w:t>
      </w:r>
      <w:r w:rsidRPr="00840726">
        <w:rPr>
          <w:rFonts w:ascii="Tahoma" w:hAnsi="Tahoma" w:cs="Tahoma"/>
          <w:sz w:val="20"/>
          <w:szCs w:val="20"/>
        </w:rPr>
        <w:t> and </w:t>
      </w:r>
      <w:r w:rsidRPr="00840726">
        <w:rPr>
          <w:rFonts w:ascii="Tahoma" w:hAnsi="Tahoma" w:cs="Tahoma"/>
          <w:b/>
          <w:bCs/>
          <w:sz w:val="20"/>
          <w:szCs w:val="20"/>
        </w:rPr>
        <w:t>Payroll/Other Costs</w:t>
      </w:r>
      <w:r w:rsidRPr="00840726">
        <w:rPr>
          <w:rFonts w:ascii="Tahoma" w:hAnsi="Tahoma" w:cs="Tahoma"/>
          <w:sz w:val="20"/>
          <w:szCs w:val="20"/>
        </w:rPr>
        <w:t> consistently account for the largest shares of expenses, at </w:t>
      </w:r>
      <w:r w:rsidRPr="00840726">
        <w:rPr>
          <w:rFonts w:ascii="Tahoma" w:hAnsi="Tahoma" w:cs="Tahoma"/>
          <w:b/>
          <w:bCs/>
          <w:sz w:val="20"/>
          <w:szCs w:val="20"/>
        </w:rPr>
        <w:t>31%-34%</w:t>
      </w:r>
      <w:r w:rsidRPr="00840726">
        <w:rPr>
          <w:rFonts w:ascii="Tahoma" w:hAnsi="Tahoma" w:cs="Tahoma"/>
          <w:sz w:val="20"/>
          <w:szCs w:val="20"/>
        </w:rPr>
        <w:t> and </w:t>
      </w:r>
      <w:r w:rsidRPr="00840726">
        <w:rPr>
          <w:rFonts w:ascii="Tahoma" w:hAnsi="Tahoma" w:cs="Tahoma"/>
          <w:b/>
          <w:bCs/>
          <w:sz w:val="20"/>
          <w:szCs w:val="20"/>
        </w:rPr>
        <w:t>30%-35%</w:t>
      </w:r>
      <w:r w:rsidRPr="00840726">
        <w:rPr>
          <w:rFonts w:ascii="Tahoma" w:hAnsi="Tahoma" w:cs="Tahoma"/>
          <w:sz w:val="20"/>
          <w:szCs w:val="20"/>
        </w:rPr>
        <w:t>, respectively.</w:t>
      </w:r>
    </w:p>
    <w:p w14:paraId="12316686" w14:textId="77777777" w:rsidR="00840726" w:rsidRPr="00840726" w:rsidRDefault="00840726" w:rsidP="00840726">
      <w:pPr>
        <w:jc w:val="both"/>
        <w:rPr>
          <w:rFonts w:ascii="Tahoma" w:hAnsi="Tahoma" w:cs="Tahoma"/>
          <w:sz w:val="20"/>
          <w:szCs w:val="20"/>
        </w:rPr>
      </w:pPr>
      <w:r w:rsidRPr="00840726">
        <w:rPr>
          <w:rFonts w:ascii="Tahoma" w:hAnsi="Tahoma" w:cs="Tahoma"/>
          <w:sz w:val="20"/>
          <w:szCs w:val="20"/>
        </w:rPr>
        <w:t>While expense ratios have remained steady, the company has failed to achieve meaningful reductions in its largest cost drivers:</w:t>
      </w:r>
    </w:p>
    <w:p w14:paraId="0C36E106" w14:textId="77777777" w:rsidR="00840726" w:rsidRPr="00840726" w:rsidRDefault="00840726" w:rsidP="00840726">
      <w:pPr>
        <w:numPr>
          <w:ilvl w:val="0"/>
          <w:numId w:val="20"/>
        </w:numPr>
        <w:jc w:val="both"/>
        <w:rPr>
          <w:rFonts w:ascii="Tahoma" w:hAnsi="Tahoma" w:cs="Tahoma"/>
          <w:sz w:val="20"/>
          <w:szCs w:val="20"/>
        </w:rPr>
      </w:pPr>
      <w:r w:rsidRPr="00840726">
        <w:rPr>
          <w:rFonts w:ascii="Tahoma" w:hAnsi="Tahoma" w:cs="Tahoma"/>
          <w:b/>
          <w:bCs/>
          <w:sz w:val="20"/>
          <w:szCs w:val="20"/>
        </w:rPr>
        <w:lastRenderedPageBreak/>
        <w:t>Food/Packaging Costs</w:t>
      </w:r>
      <w:r w:rsidRPr="00840726">
        <w:rPr>
          <w:rFonts w:ascii="Tahoma" w:hAnsi="Tahoma" w:cs="Tahoma"/>
          <w:sz w:val="20"/>
          <w:szCs w:val="20"/>
        </w:rPr>
        <w:t>: Minimal fluctuation suggests limited success in renegotiating supplier contracts or reducing waste.</w:t>
      </w:r>
    </w:p>
    <w:p w14:paraId="30635B74" w14:textId="77777777" w:rsidR="00840726" w:rsidRPr="00840726" w:rsidRDefault="00840726" w:rsidP="00840726">
      <w:pPr>
        <w:numPr>
          <w:ilvl w:val="0"/>
          <w:numId w:val="20"/>
        </w:numPr>
        <w:jc w:val="both"/>
        <w:rPr>
          <w:rFonts w:ascii="Tahoma" w:hAnsi="Tahoma" w:cs="Tahoma"/>
          <w:sz w:val="20"/>
          <w:szCs w:val="20"/>
        </w:rPr>
      </w:pPr>
      <w:r w:rsidRPr="00840726">
        <w:rPr>
          <w:rFonts w:ascii="Tahoma" w:hAnsi="Tahoma" w:cs="Tahoma"/>
          <w:b/>
          <w:bCs/>
          <w:sz w:val="20"/>
          <w:szCs w:val="20"/>
        </w:rPr>
        <w:t>Payroll Costs</w:t>
      </w:r>
      <w:r w:rsidRPr="00840726">
        <w:rPr>
          <w:rFonts w:ascii="Tahoma" w:hAnsi="Tahoma" w:cs="Tahoma"/>
          <w:sz w:val="20"/>
          <w:szCs w:val="20"/>
        </w:rPr>
        <w:t>: Remaining flat at ~32% highlights inefficiencies in labor management, particularly as the broader industry embraces automation and flexible staffing solutions.</w:t>
      </w:r>
    </w:p>
    <w:p w14:paraId="6EB8346C" w14:textId="77777777" w:rsidR="00840726" w:rsidRPr="00840726" w:rsidRDefault="00840726" w:rsidP="00840726">
      <w:pPr>
        <w:jc w:val="both"/>
        <w:rPr>
          <w:rFonts w:ascii="Tahoma" w:hAnsi="Tahoma" w:cs="Tahoma"/>
          <w:sz w:val="20"/>
          <w:szCs w:val="20"/>
        </w:rPr>
      </w:pPr>
      <w:r w:rsidRPr="00840726">
        <w:rPr>
          <w:rFonts w:ascii="Tahoma" w:hAnsi="Tahoma" w:cs="Tahoma"/>
          <w:sz w:val="20"/>
          <w:szCs w:val="20"/>
        </w:rPr>
        <w:t>From 2020 onward, the slight increase in total costs reflects external economic pressures, such as inflation and rising wages, rather than internal inefficiencies. However, GTIM must act proactively to address these challenges:</w:t>
      </w:r>
    </w:p>
    <w:p w14:paraId="2BC017C9" w14:textId="77777777" w:rsidR="00840726" w:rsidRPr="00840726" w:rsidRDefault="00840726" w:rsidP="00840726">
      <w:pPr>
        <w:numPr>
          <w:ilvl w:val="0"/>
          <w:numId w:val="21"/>
        </w:numPr>
        <w:jc w:val="both"/>
        <w:rPr>
          <w:rFonts w:ascii="Tahoma" w:hAnsi="Tahoma" w:cs="Tahoma"/>
          <w:sz w:val="20"/>
          <w:szCs w:val="20"/>
        </w:rPr>
      </w:pPr>
      <w:r w:rsidRPr="00840726">
        <w:rPr>
          <w:rFonts w:ascii="Tahoma" w:hAnsi="Tahoma" w:cs="Tahoma"/>
          <w:b/>
          <w:bCs/>
          <w:sz w:val="20"/>
          <w:szCs w:val="20"/>
        </w:rPr>
        <w:t>Labor Optimization</w:t>
      </w:r>
      <w:r w:rsidRPr="00840726">
        <w:rPr>
          <w:rFonts w:ascii="Tahoma" w:hAnsi="Tahoma" w:cs="Tahoma"/>
          <w:sz w:val="20"/>
          <w:szCs w:val="20"/>
        </w:rPr>
        <w:t>: Implement workforce analytics and flexible scheduling to reduce Payroll/Other costs.</w:t>
      </w:r>
    </w:p>
    <w:p w14:paraId="035D39F0" w14:textId="77777777" w:rsidR="00840726" w:rsidRPr="00840726" w:rsidRDefault="00840726" w:rsidP="00840726">
      <w:pPr>
        <w:numPr>
          <w:ilvl w:val="0"/>
          <w:numId w:val="21"/>
        </w:numPr>
        <w:jc w:val="both"/>
        <w:rPr>
          <w:rFonts w:ascii="Tahoma" w:hAnsi="Tahoma" w:cs="Tahoma"/>
          <w:sz w:val="20"/>
          <w:szCs w:val="20"/>
        </w:rPr>
      </w:pPr>
      <w:r w:rsidRPr="00840726">
        <w:rPr>
          <w:rFonts w:ascii="Tahoma" w:hAnsi="Tahoma" w:cs="Tahoma"/>
          <w:b/>
          <w:bCs/>
          <w:sz w:val="20"/>
          <w:szCs w:val="20"/>
        </w:rPr>
        <w:t>Automation Investments</w:t>
      </w:r>
      <w:r w:rsidRPr="00840726">
        <w:rPr>
          <w:rFonts w:ascii="Tahoma" w:hAnsi="Tahoma" w:cs="Tahoma"/>
          <w:sz w:val="20"/>
          <w:szCs w:val="20"/>
        </w:rPr>
        <w:t>: Adopt kitchen automation technology to reduce reliance on labor, especially for repetitive tasks.</w:t>
      </w:r>
    </w:p>
    <w:p w14:paraId="2A845D58" w14:textId="77777777" w:rsidR="00840726" w:rsidRPr="00840726" w:rsidRDefault="00840726" w:rsidP="00840726">
      <w:pPr>
        <w:numPr>
          <w:ilvl w:val="0"/>
          <w:numId w:val="21"/>
        </w:numPr>
        <w:jc w:val="both"/>
        <w:rPr>
          <w:rFonts w:ascii="Tahoma" w:hAnsi="Tahoma" w:cs="Tahoma"/>
          <w:sz w:val="20"/>
          <w:szCs w:val="20"/>
        </w:rPr>
      </w:pPr>
      <w:r w:rsidRPr="00840726">
        <w:rPr>
          <w:rFonts w:ascii="Tahoma" w:hAnsi="Tahoma" w:cs="Tahoma"/>
          <w:b/>
          <w:bCs/>
          <w:sz w:val="20"/>
          <w:szCs w:val="20"/>
        </w:rPr>
        <w:t>Food Cost Management</w:t>
      </w:r>
      <w:r w:rsidRPr="00840726">
        <w:rPr>
          <w:rFonts w:ascii="Tahoma" w:hAnsi="Tahoma" w:cs="Tahoma"/>
          <w:sz w:val="20"/>
          <w:szCs w:val="20"/>
        </w:rPr>
        <w:t>: Use data analytics to reduce food waste and renegotiate supplier agreements to counteract inflationary pressures.</w:t>
      </w:r>
    </w:p>
    <w:p w14:paraId="32FDB271" w14:textId="77777777" w:rsidR="00840726" w:rsidRPr="00840726" w:rsidRDefault="00840726" w:rsidP="00840726">
      <w:pPr>
        <w:jc w:val="both"/>
        <w:rPr>
          <w:rFonts w:ascii="Tahoma" w:hAnsi="Tahoma" w:cs="Tahoma"/>
          <w:sz w:val="20"/>
          <w:szCs w:val="20"/>
        </w:rPr>
      </w:pPr>
      <w:r w:rsidRPr="00840726">
        <w:rPr>
          <w:rFonts w:ascii="Tahoma" w:hAnsi="Tahoma" w:cs="Tahoma"/>
          <w:sz w:val="20"/>
          <w:szCs w:val="20"/>
        </w:rPr>
        <w:t>Despite achieving some cost stability, the company must tackle these opportunities to improve margins and build resilience against external economic pressures.</w:t>
      </w:r>
    </w:p>
    <w:p w14:paraId="49FB7624" w14:textId="77777777" w:rsidR="00FB7FA1" w:rsidRDefault="00FB7FA1" w:rsidP="00556FF5">
      <w:pPr>
        <w:jc w:val="both"/>
        <w:rPr>
          <w:rFonts w:ascii="Tahoma" w:hAnsi="Tahoma" w:cs="Tahoma"/>
          <w:sz w:val="20"/>
          <w:szCs w:val="20"/>
        </w:rPr>
      </w:pPr>
    </w:p>
    <w:p w14:paraId="6BCEBDD6" w14:textId="77777777" w:rsidR="00FB7FA1" w:rsidRDefault="00FB7FA1" w:rsidP="00556FF5">
      <w:pPr>
        <w:jc w:val="both"/>
        <w:rPr>
          <w:rFonts w:ascii="Tahoma" w:hAnsi="Tahoma" w:cs="Tahoma"/>
          <w:sz w:val="20"/>
          <w:szCs w:val="20"/>
        </w:rPr>
      </w:pPr>
    </w:p>
    <w:p w14:paraId="35C33613" w14:textId="16EA039C" w:rsidR="00A20CFD" w:rsidRPr="00840726" w:rsidRDefault="00840726" w:rsidP="00556FF5">
      <w:pPr>
        <w:jc w:val="both"/>
        <w:rPr>
          <w:rFonts w:ascii="Tahoma" w:hAnsi="Tahoma" w:cs="Tahoma"/>
          <w:sz w:val="20"/>
          <w:szCs w:val="20"/>
        </w:rPr>
      </w:pPr>
      <w:r>
        <w:rPr>
          <w:noProof/>
        </w:rPr>
        <w:drawing>
          <wp:inline distT="0" distB="0" distL="0" distR="0" wp14:anchorId="7091EAEA" wp14:editId="02E2C807">
            <wp:extent cx="5329766" cy="2794000"/>
            <wp:effectExtent l="0" t="0" r="17145" b="12700"/>
            <wp:docPr id="254573947" name="Chart 1">
              <a:extLst xmlns:a="http://schemas.openxmlformats.org/drawingml/2006/main">
                <a:ext uri="{FF2B5EF4-FFF2-40B4-BE49-F238E27FC236}">
                  <a16:creationId xmlns:a16="http://schemas.microsoft.com/office/drawing/2014/main" id="{BE8C1B8D-F1C5-4871-F376-D386652A89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C833A1D" w14:textId="77777777" w:rsidR="00F82BAD" w:rsidRDefault="00F82BAD" w:rsidP="00556FF5">
      <w:pPr>
        <w:jc w:val="both"/>
        <w:rPr>
          <w:rFonts w:ascii="Tahoma" w:hAnsi="Tahoma" w:cs="Tahoma"/>
          <w:b/>
          <w:bCs/>
          <w:sz w:val="20"/>
          <w:szCs w:val="20"/>
        </w:rPr>
      </w:pPr>
    </w:p>
    <w:p w14:paraId="32B79011" w14:textId="77777777" w:rsidR="00906036" w:rsidRDefault="00906036" w:rsidP="00556FF5">
      <w:pPr>
        <w:jc w:val="both"/>
        <w:rPr>
          <w:rFonts w:ascii="Tahoma" w:hAnsi="Tahoma" w:cs="Tahoma"/>
          <w:b/>
          <w:bCs/>
          <w:sz w:val="20"/>
          <w:szCs w:val="20"/>
        </w:rPr>
      </w:pPr>
    </w:p>
    <w:p w14:paraId="48E1FEEF" w14:textId="77777777" w:rsidR="00840726" w:rsidRPr="00840726" w:rsidRDefault="00840726" w:rsidP="00840726">
      <w:pPr>
        <w:jc w:val="both"/>
        <w:rPr>
          <w:rFonts w:ascii="Tahoma" w:hAnsi="Tahoma" w:cs="Tahoma"/>
          <w:b/>
          <w:bCs/>
          <w:sz w:val="20"/>
          <w:szCs w:val="20"/>
        </w:rPr>
      </w:pPr>
      <w:r w:rsidRPr="00840726">
        <w:rPr>
          <w:rFonts w:ascii="Tahoma" w:hAnsi="Tahoma" w:cs="Tahoma"/>
          <w:b/>
          <w:bCs/>
          <w:sz w:val="20"/>
          <w:szCs w:val="20"/>
        </w:rPr>
        <w:t>Revenue Growth vs. Restaurant Margins</w:t>
      </w:r>
    </w:p>
    <w:p w14:paraId="20FDEE45" w14:textId="77777777" w:rsidR="00840726" w:rsidRPr="00840726" w:rsidRDefault="00840726" w:rsidP="00840726">
      <w:pPr>
        <w:jc w:val="both"/>
        <w:rPr>
          <w:rFonts w:ascii="Tahoma" w:hAnsi="Tahoma" w:cs="Tahoma"/>
          <w:sz w:val="20"/>
          <w:szCs w:val="20"/>
        </w:rPr>
      </w:pPr>
      <w:r w:rsidRPr="00840726">
        <w:rPr>
          <w:rFonts w:ascii="Tahoma" w:hAnsi="Tahoma" w:cs="Tahoma"/>
          <w:sz w:val="20"/>
          <w:szCs w:val="20"/>
        </w:rPr>
        <w:t>The </w:t>
      </w:r>
      <w:r w:rsidRPr="00840726">
        <w:rPr>
          <w:rFonts w:ascii="Tahoma" w:hAnsi="Tahoma" w:cs="Tahoma"/>
          <w:b/>
          <w:bCs/>
          <w:sz w:val="20"/>
          <w:szCs w:val="20"/>
        </w:rPr>
        <w:t xml:space="preserve">Y/Y Revenue Growth vs. Restaurant Margins chart </w:t>
      </w:r>
      <w:r w:rsidRPr="00840726">
        <w:rPr>
          <w:rFonts w:ascii="Tahoma" w:hAnsi="Tahoma" w:cs="Tahoma"/>
          <w:sz w:val="20"/>
          <w:szCs w:val="20"/>
        </w:rPr>
        <w:t xml:space="preserve">highlights the company's dependence on revenue growth to maintain profitability. Margins consistently improve during periods of high revenue growth, as seen in 2015 and 2016, where growth exceeded 50% and margins approached 20%. However, </w:t>
      </w:r>
      <w:r w:rsidRPr="00840726">
        <w:rPr>
          <w:rFonts w:ascii="Tahoma" w:hAnsi="Tahoma" w:cs="Tahoma"/>
          <w:sz w:val="20"/>
          <w:szCs w:val="20"/>
        </w:rPr>
        <w:lastRenderedPageBreak/>
        <w:t>when revenue growth stagnates or declines, as in 2020 and 2023, margins contract sharply, reflecting the company's inability to adjust its cost structure to lower sales volumes.</w:t>
      </w:r>
    </w:p>
    <w:p w14:paraId="48AA7F91" w14:textId="77777777" w:rsidR="00840726" w:rsidRPr="00840726" w:rsidRDefault="00840726" w:rsidP="00840726">
      <w:pPr>
        <w:jc w:val="both"/>
        <w:rPr>
          <w:rFonts w:ascii="Tahoma" w:hAnsi="Tahoma" w:cs="Tahoma"/>
          <w:sz w:val="20"/>
          <w:szCs w:val="20"/>
        </w:rPr>
      </w:pPr>
      <w:r w:rsidRPr="00840726">
        <w:rPr>
          <w:rFonts w:ascii="Tahoma" w:hAnsi="Tahoma" w:cs="Tahoma"/>
          <w:sz w:val="20"/>
          <w:szCs w:val="20"/>
        </w:rPr>
        <w:t>This trend underscores the company’s operational inefficiency and reliance on external growth factors, such as market recovery or expansion, to sustain profitability. Despite periods of robust growth, margins have remained capped below 20%, suggesting limited progress in improving cost controls or operational scalability.</w:t>
      </w:r>
    </w:p>
    <w:p w14:paraId="4FECC7D9" w14:textId="77777777" w:rsidR="00840726" w:rsidRPr="00840726" w:rsidRDefault="00840726" w:rsidP="00840726">
      <w:pPr>
        <w:jc w:val="both"/>
        <w:rPr>
          <w:rFonts w:ascii="Tahoma" w:hAnsi="Tahoma" w:cs="Tahoma"/>
          <w:sz w:val="20"/>
          <w:szCs w:val="20"/>
        </w:rPr>
      </w:pPr>
      <w:r w:rsidRPr="00840726">
        <w:rPr>
          <w:rFonts w:ascii="Tahoma" w:hAnsi="Tahoma" w:cs="Tahoma"/>
          <w:sz w:val="20"/>
          <w:szCs w:val="20"/>
        </w:rPr>
        <w:t>To address these issues, GTIM must:</w:t>
      </w:r>
    </w:p>
    <w:p w14:paraId="49BBB86F" w14:textId="77777777" w:rsidR="00840726" w:rsidRPr="00840726" w:rsidRDefault="00840726" w:rsidP="00840726">
      <w:pPr>
        <w:numPr>
          <w:ilvl w:val="0"/>
          <w:numId w:val="19"/>
        </w:numPr>
        <w:jc w:val="both"/>
        <w:rPr>
          <w:rFonts w:ascii="Tahoma" w:hAnsi="Tahoma" w:cs="Tahoma"/>
          <w:sz w:val="20"/>
          <w:szCs w:val="20"/>
        </w:rPr>
      </w:pPr>
      <w:r w:rsidRPr="00840726">
        <w:rPr>
          <w:rFonts w:ascii="Tahoma" w:hAnsi="Tahoma" w:cs="Tahoma"/>
          <w:sz w:val="20"/>
          <w:szCs w:val="20"/>
        </w:rPr>
        <w:t>Focus on Margin Expansion: Invest in operational improvements, such as kitchen automation and supply chain optimization, to reduce fixed costs and increase efficiency.</w:t>
      </w:r>
    </w:p>
    <w:p w14:paraId="419F43AE" w14:textId="77777777" w:rsidR="00840726" w:rsidRPr="00840726" w:rsidRDefault="00840726" w:rsidP="00840726">
      <w:pPr>
        <w:numPr>
          <w:ilvl w:val="0"/>
          <w:numId w:val="19"/>
        </w:numPr>
        <w:jc w:val="both"/>
        <w:rPr>
          <w:rFonts w:ascii="Tahoma" w:hAnsi="Tahoma" w:cs="Tahoma"/>
          <w:sz w:val="20"/>
          <w:szCs w:val="20"/>
        </w:rPr>
      </w:pPr>
      <w:r w:rsidRPr="00840726">
        <w:rPr>
          <w:rFonts w:ascii="Tahoma" w:hAnsi="Tahoma" w:cs="Tahoma"/>
          <w:sz w:val="20"/>
          <w:szCs w:val="20"/>
        </w:rPr>
        <w:t>Reduce Volatility in Revenue Growth: Develop a more consistent growth strategy that minimizes reliance on external factors and ensures steady revenue performance.</w:t>
      </w:r>
    </w:p>
    <w:p w14:paraId="15F43D62" w14:textId="77777777" w:rsidR="00840726" w:rsidRPr="00840726" w:rsidRDefault="00840726" w:rsidP="00840726">
      <w:pPr>
        <w:numPr>
          <w:ilvl w:val="0"/>
          <w:numId w:val="19"/>
        </w:numPr>
        <w:jc w:val="both"/>
        <w:rPr>
          <w:rFonts w:ascii="Tahoma" w:hAnsi="Tahoma" w:cs="Tahoma"/>
          <w:sz w:val="20"/>
          <w:szCs w:val="20"/>
        </w:rPr>
      </w:pPr>
      <w:r w:rsidRPr="00840726">
        <w:rPr>
          <w:rFonts w:ascii="Tahoma" w:hAnsi="Tahoma" w:cs="Tahoma"/>
          <w:sz w:val="20"/>
          <w:szCs w:val="20"/>
        </w:rPr>
        <w:t>Build Resilience: Explore flexible cost structures to better weather downturns and protect margins during periods of flat or negative growth.</w:t>
      </w:r>
    </w:p>
    <w:p w14:paraId="61F35230" w14:textId="77777777" w:rsidR="00906036" w:rsidRDefault="00906036" w:rsidP="00556FF5">
      <w:pPr>
        <w:jc w:val="both"/>
        <w:rPr>
          <w:rFonts w:ascii="Tahoma" w:hAnsi="Tahoma" w:cs="Tahoma"/>
          <w:b/>
          <w:bCs/>
          <w:sz w:val="20"/>
          <w:szCs w:val="20"/>
        </w:rPr>
      </w:pPr>
    </w:p>
    <w:p w14:paraId="247CF7A1" w14:textId="77777777" w:rsidR="00906036" w:rsidRDefault="00906036" w:rsidP="00556FF5">
      <w:pPr>
        <w:jc w:val="both"/>
        <w:rPr>
          <w:rFonts w:ascii="Tahoma" w:hAnsi="Tahoma" w:cs="Tahoma"/>
          <w:b/>
          <w:bCs/>
          <w:sz w:val="20"/>
          <w:szCs w:val="20"/>
        </w:rPr>
      </w:pPr>
    </w:p>
    <w:p w14:paraId="25DB0C2A" w14:textId="77777777" w:rsidR="00906036" w:rsidRDefault="00906036" w:rsidP="00556FF5">
      <w:pPr>
        <w:jc w:val="both"/>
        <w:rPr>
          <w:rFonts w:ascii="Tahoma" w:hAnsi="Tahoma" w:cs="Tahoma"/>
          <w:b/>
          <w:bCs/>
          <w:sz w:val="20"/>
          <w:szCs w:val="20"/>
        </w:rPr>
      </w:pPr>
    </w:p>
    <w:p w14:paraId="2A3F3194" w14:textId="0D9033E3" w:rsidR="00906036" w:rsidRDefault="00840726" w:rsidP="00556FF5">
      <w:pPr>
        <w:jc w:val="both"/>
        <w:rPr>
          <w:rFonts w:ascii="Tahoma" w:hAnsi="Tahoma" w:cs="Tahoma"/>
          <w:b/>
          <w:bCs/>
          <w:sz w:val="20"/>
          <w:szCs w:val="20"/>
        </w:rPr>
      </w:pPr>
      <w:r>
        <w:rPr>
          <w:noProof/>
        </w:rPr>
        <w:drawing>
          <wp:inline distT="0" distB="0" distL="0" distR="0" wp14:anchorId="702352F2" wp14:editId="524D848C">
            <wp:extent cx="4800601" cy="3158067"/>
            <wp:effectExtent l="0" t="0" r="12700" b="17145"/>
            <wp:docPr id="1630632306" name="Chart 1">
              <a:extLst xmlns:a="http://schemas.openxmlformats.org/drawingml/2006/main">
                <a:ext uri="{FF2B5EF4-FFF2-40B4-BE49-F238E27FC236}">
                  <a16:creationId xmlns:a16="http://schemas.microsoft.com/office/drawing/2014/main" id="{B5B81F2D-F7B6-1D57-622A-CD90AE2723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ECF7011" w14:textId="77777777" w:rsidR="00906036" w:rsidRDefault="00906036" w:rsidP="00556FF5">
      <w:pPr>
        <w:jc w:val="both"/>
        <w:rPr>
          <w:rFonts w:ascii="Tahoma" w:hAnsi="Tahoma" w:cs="Tahoma"/>
          <w:b/>
          <w:bCs/>
          <w:sz w:val="20"/>
          <w:szCs w:val="20"/>
        </w:rPr>
      </w:pPr>
    </w:p>
    <w:p w14:paraId="06B8F633" w14:textId="4CC1045C" w:rsidR="00906036" w:rsidRDefault="00840726" w:rsidP="00556FF5">
      <w:pPr>
        <w:jc w:val="both"/>
        <w:rPr>
          <w:rFonts w:ascii="Tahoma" w:hAnsi="Tahoma" w:cs="Tahoma"/>
          <w:b/>
          <w:bCs/>
          <w:sz w:val="20"/>
          <w:szCs w:val="20"/>
        </w:rPr>
      </w:pPr>
      <w:r>
        <w:rPr>
          <w:rFonts w:ascii="Tahoma" w:hAnsi="Tahoma" w:cs="Tahoma"/>
          <w:b/>
          <w:bCs/>
          <w:sz w:val="20"/>
          <w:szCs w:val="20"/>
        </w:rPr>
        <w:t xml:space="preserve">Margin Specific </w:t>
      </w:r>
    </w:p>
    <w:p w14:paraId="5C733EA0" w14:textId="77777777" w:rsidR="0091290C" w:rsidRPr="0091290C" w:rsidRDefault="0091290C" w:rsidP="0091290C">
      <w:pPr>
        <w:jc w:val="both"/>
        <w:rPr>
          <w:rFonts w:ascii="Tahoma" w:hAnsi="Tahoma" w:cs="Tahoma"/>
          <w:sz w:val="20"/>
          <w:szCs w:val="20"/>
        </w:rPr>
      </w:pPr>
      <w:r w:rsidRPr="0091290C">
        <w:rPr>
          <w:rFonts w:ascii="Tahoma" w:hAnsi="Tahoma" w:cs="Tahoma"/>
          <w:sz w:val="20"/>
          <w:szCs w:val="20"/>
        </w:rPr>
        <w:t xml:space="preserve">Over the past 13 years, restaurant margins have mostly ranged between 14%-18% in 7 out of 13 years, with only 3 years achieving margins between 18%-22%. Margins in this higher range were driven primarily by extraordinary revenue growth, such as the 57% spike in 2015 and 46% in 2016. Without such growth, </w:t>
      </w:r>
      <w:r w:rsidRPr="0091290C">
        <w:rPr>
          <w:rFonts w:ascii="Tahoma" w:hAnsi="Tahoma" w:cs="Tahoma"/>
          <w:sz w:val="20"/>
          <w:szCs w:val="20"/>
        </w:rPr>
        <w:lastRenderedPageBreak/>
        <w:t>margins tend to fall below 18%, as expenses often grow in tandem with or outpace revenue, as illustrated in the </w:t>
      </w:r>
      <w:r w:rsidRPr="0091290C">
        <w:rPr>
          <w:rFonts w:ascii="Tahoma" w:hAnsi="Tahoma" w:cs="Tahoma"/>
          <w:b/>
          <w:bCs/>
          <w:sz w:val="20"/>
          <w:szCs w:val="20"/>
        </w:rPr>
        <w:t>"Distribution of Restaurant Margins" chart</w:t>
      </w:r>
      <w:r w:rsidRPr="0091290C">
        <w:rPr>
          <w:rFonts w:ascii="Tahoma" w:hAnsi="Tahoma" w:cs="Tahoma"/>
          <w:sz w:val="20"/>
          <w:szCs w:val="20"/>
        </w:rPr>
        <w:t>.</w:t>
      </w:r>
    </w:p>
    <w:p w14:paraId="4C367563" w14:textId="77777777" w:rsidR="0091290C" w:rsidRPr="0091290C" w:rsidRDefault="0091290C" w:rsidP="0091290C">
      <w:pPr>
        <w:jc w:val="both"/>
        <w:rPr>
          <w:rFonts w:ascii="Tahoma" w:hAnsi="Tahoma" w:cs="Tahoma"/>
          <w:sz w:val="20"/>
          <w:szCs w:val="20"/>
        </w:rPr>
      </w:pPr>
      <w:r w:rsidRPr="0091290C">
        <w:rPr>
          <w:rFonts w:ascii="Tahoma" w:hAnsi="Tahoma" w:cs="Tahoma"/>
          <w:sz w:val="20"/>
          <w:szCs w:val="20"/>
        </w:rPr>
        <w:t>This reliance on exceptional revenue growth highlights the need for GTIM to address structural inefficiencies. To improve margins, the company must:</w:t>
      </w:r>
    </w:p>
    <w:p w14:paraId="60423B11" w14:textId="77777777" w:rsidR="0091290C" w:rsidRPr="0091290C" w:rsidRDefault="0091290C" w:rsidP="0091290C">
      <w:pPr>
        <w:numPr>
          <w:ilvl w:val="0"/>
          <w:numId w:val="13"/>
        </w:numPr>
        <w:jc w:val="both"/>
        <w:rPr>
          <w:rFonts w:ascii="Tahoma" w:hAnsi="Tahoma" w:cs="Tahoma"/>
          <w:sz w:val="20"/>
          <w:szCs w:val="20"/>
        </w:rPr>
      </w:pPr>
      <w:r w:rsidRPr="0091290C">
        <w:rPr>
          <w:rFonts w:ascii="Tahoma" w:hAnsi="Tahoma" w:cs="Tahoma"/>
          <w:b/>
          <w:bCs/>
          <w:sz w:val="20"/>
          <w:szCs w:val="20"/>
        </w:rPr>
        <w:t>Control Costs</w:t>
      </w:r>
      <w:r w:rsidRPr="0091290C">
        <w:rPr>
          <w:rFonts w:ascii="Tahoma" w:hAnsi="Tahoma" w:cs="Tahoma"/>
          <w:sz w:val="20"/>
          <w:szCs w:val="20"/>
        </w:rPr>
        <w:t>: Optimize supply chain agreements, reduce food waste, and improve labor scheduling to address rising Food/Packaging and Payroll costs.</w:t>
      </w:r>
    </w:p>
    <w:p w14:paraId="67E0EECA" w14:textId="77777777" w:rsidR="0091290C" w:rsidRPr="0091290C" w:rsidRDefault="0091290C" w:rsidP="0091290C">
      <w:pPr>
        <w:numPr>
          <w:ilvl w:val="0"/>
          <w:numId w:val="13"/>
        </w:numPr>
        <w:jc w:val="both"/>
        <w:rPr>
          <w:rFonts w:ascii="Tahoma" w:hAnsi="Tahoma" w:cs="Tahoma"/>
          <w:sz w:val="20"/>
          <w:szCs w:val="20"/>
        </w:rPr>
      </w:pPr>
      <w:r w:rsidRPr="0091290C">
        <w:rPr>
          <w:rFonts w:ascii="Tahoma" w:hAnsi="Tahoma" w:cs="Tahoma"/>
          <w:b/>
          <w:bCs/>
          <w:sz w:val="20"/>
          <w:szCs w:val="20"/>
        </w:rPr>
        <w:t>Drive Operational Efficiency</w:t>
      </w:r>
      <w:r w:rsidRPr="0091290C">
        <w:rPr>
          <w:rFonts w:ascii="Tahoma" w:hAnsi="Tahoma" w:cs="Tahoma"/>
          <w:sz w:val="20"/>
          <w:szCs w:val="20"/>
        </w:rPr>
        <w:t>: Invest in technology and data analytics to better monitor expenses and improve unit-level profitability.</w:t>
      </w:r>
    </w:p>
    <w:p w14:paraId="3B359FA3" w14:textId="77777777" w:rsidR="0091290C" w:rsidRDefault="0091290C" w:rsidP="0091290C">
      <w:pPr>
        <w:numPr>
          <w:ilvl w:val="0"/>
          <w:numId w:val="13"/>
        </w:numPr>
        <w:jc w:val="both"/>
        <w:rPr>
          <w:rFonts w:ascii="Tahoma" w:hAnsi="Tahoma" w:cs="Tahoma"/>
          <w:sz w:val="20"/>
          <w:szCs w:val="20"/>
        </w:rPr>
      </w:pPr>
      <w:r w:rsidRPr="0091290C">
        <w:rPr>
          <w:rFonts w:ascii="Tahoma" w:hAnsi="Tahoma" w:cs="Tahoma"/>
          <w:b/>
          <w:bCs/>
          <w:sz w:val="20"/>
          <w:szCs w:val="20"/>
        </w:rPr>
        <w:t>Focus on Scalable Growth</w:t>
      </w:r>
      <w:r w:rsidRPr="0091290C">
        <w:rPr>
          <w:rFonts w:ascii="Tahoma" w:hAnsi="Tahoma" w:cs="Tahoma"/>
          <w:sz w:val="20"/>
          <w:szCs w:val="20"/>
        </w:rPr>
        <w:t>: Expand Bad Daddy’s locations strategically to benefit from economies of scale, which could help offset rising costs.</w:t>
      </w:r>
    </w:p>
    <w:p w14:paraId="2C32E440" w14:textId="77777777" w:rsidR="0091290C" w:rsidRPr="0091290C" w:rsidRDefault="0091290C" w:rsidP="0091290C">
      <w:pPr>
        <w:ind w:left="720"/>
        <w:jc w:val="both"/>
        <w:rPr>
          <w:rFonts w:ascii="Tahoma" w:hAnsi="Tahoma" w:cs="Tahoma"/>
          <w:sz w:val="20"/>
          <w:szCs w:val="20"/>
        </w:rPr>
      </w:pPr>
    </w:p>
    <w:p w14:paraId="3E8BD576" w14:textId="517F2EFA" w:rsidR="003B03C6" w:rsidRDefault="003B03C6" w:rsidP="00556FF5">
      <w:pPr>
        <w:jc w:val="both"/>
        <w:rPr>
          <w:rFonts w:ascii="Tahoma" w:hAnsi="Tahoma" w:cs="Tahoma"/>
          <w:sz w:val="20"/>
          <w:szCs w:val="20"/>
        </w:rPr>
      </w:pPr>
      <w:r>
        <w:rPr>
          <w:noProof/>
        </w:rPr>
        <mc:AlternateContent>
          <mc:Choice Requires="cx1">
            <w:drawing>
              <wp:inline distT="0" distB="0" distL="0" distR="0" wp14:anchorId="173A0D1B" wp14:editId="17CAE91C">
                <wp:extent cx="4824919" cy="2098945"/>
                <wp:effectExtent l="0" t="0" r="1270" b="9525"/>
                <wp:docPr id="918455269" name="Chart 1">
                  <a:extLst xmlns:a="http://schemas.openxmlformats.org/drawingml/2006/main">
                    <a:ext uri="{FF2B5EF4-FFF2-40B4-BE49-F238E27FC236}">
                      <a16:creationId xmlns:a16="http://schemas.microsoft.com/office/drawing/2014/main" id="{3AC9C2ED-E427-134B-7051-4245A09E391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inline>
            </w:drawing>
          </mc:Choice>
          <mc:Fallback>
            <w:drawing>
              <wp:inline distT="0" distB="0" distL="0" distR="0" wp14:anchorId="173A0D1B" wp14:editId="17CAE91C">
                <wp:extent cx="4824919" cy="2098945"/>
                <wp:effectExtent l="0" t="0" r="1270" b="9525"/>
                <wp:docPr id="918455269" name="Chart 1">
                  <a:extLst xmlns:a="http://schemas.openxmlformats.org/drawingml/2006/main">
                    <a:ext uri="{FF2B5EF4-FFF2-40B4-BE49-F238E27FC236}">
                      <a16:creationId xmlns:a16="http://schemas.microsoft.com/office/drawing/2014/main" id="{3AC9C2ED-E427-134B-7051-4245A09E391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18455269" name="Chart 1">
                          <a:extLst>
                            <a:ext uri="{FF2B5EF4-FFF2-40B4-BE49-F238E27FC236}">
                              <a16:creationId xmlns:a16="http://schemas.microsoft.com/office/drawing/2014/main" id="{3AC9C2ED-E427-134B-7051-4245A09E391C}"/>
                            </a:ext>
                          </a:extLst>
                        </pic:cNvPr>
                        <pic:cNvPicPr>
                          <a:picLocks noGrp="1" noRot="1" noChangeAspect="1" noMove="1" noResize="1" noEditPoints="1" noAdjustHandles="1" noChangeArrowheads="1" noChangeShapeType="1"/>
                        </pic:cNvPicPr>
                      </pic:nvPicPr>
                      <pic:blipFill>
                        <a:blip r:embed="rId13"/>
                        <a:stretch>
                          <a:fillRect/>
                        </a:stretch>
                      </pic:blipFill>
                      <pic:spPr>
                        <a:xfrm>
                          <a:off x="0" y="0"/>
                          <a:ext cx="4824730" cy="2098675"/>
                        </a:xfrm>
                        <a:prstGeom prst="rect">
                          <a:avLst/>
                        </a:prstGeom>
                      </pic:spPr>
                    </pic:pic>
                  </a:graphicData>
                </a:graphic>
              </wp:inline>
            </w:drawing>
          </mc:Fallback>
        </mc:AlternateContent>
      </w:r>
    </w:p>
    <w:p w14:paraId="468BBB87" w14:textId="52742195" w:rsidR="003B03C6" w:rsidRDefault="003B03C6" w:rsidP="00556FF5">
      <w:pPr>
        <w:jc w:val="both"/>
        <w:rPr>
          <w:rFonts w:ascii="Tahoma" w:hAnsi="Tahoma" w:cs="Tahoma"/>
          <w:sz w:val="20"/>
          <w:szCs w:val="20"/>
        </w:rPr>
      </w:pPr>
    </w:p>
    <w:p w14:paraId="6E40C5AE" w14:textId="7CC1686C" w:rsidR="003B03C6" w:rsidRPr="003B03C6" w:rsidRDefault="003B03C6" w:rsidP="00556FF5">
      <w:pPr>
        <w:jc w:val="both"/>
        <w:rPr>
          <w:rFonts w:ascii="Tahoma" w:hAnsi="Tahoma" w:cs="Tahoma"/>
          <w:b/>
          <w:bCs/>
          <w:sz w:val="20"/>
          <w:szCs w:val="20"/>
        </w:rPr>
      </w:pPr>
      <w:r w:rsidRPr="003B03C6">
        <w:rPr>
          <w:rFonts w:ascii="Tahoma" w:hAnsi="Tahoma" w:cs="Tahoma"/>
          <w:b/>
          <w:bCs/>
          <w:sz w:val="20"/>
          <w:szCs w:val="20"/>
        </w:rPr>
        <w:t>Recent News</w:t>
      </w:r>
      <w:r w:rsidR="00295EF6">
        <w:rPr>
          <w:rFonts w:ascii="Tahoma" w:hAnsi="Tahoma" w:cs="Tahoma"/>
          <w:b/>
          <w:bCs/>
          <w:sz w:val="20"/>
          <w:szCs w:val="20"/>
        </w:rPr>
        <w:t>: SSS took a hit</w:t>
      </w:r>
    </w:p>
    <w:p w14:paraId="207DDE80" w14:textId="4CE0D5BE" w:rsidR="003B03C6" w:rsidRPr="00611361" w:rsidRDefault="00611361" w:rsidP="00556FF5">
      <w:pPr>
        <w:jc w:val="both"/>
        <w:rPr>
          <w:rFonts w:ascii="Tahoma" w:hAnsi="Tahoma" w:cs="Tahoma"/>
          <w:sz w:val="20"/>
          <w:szCs w:val="20"/>
        </w:rPr>
      </w:pPr>
      <w:hyperlink r:id="rId14" w:history="1">
        <w:r w:rsidR="003B03C6" w:rsidRPr="00611361">
          <w:rPr>
            <w:rStyle w:val="Hyperlink"/>
            <w:rFonts w:ascii="Tahoma" w:hAnsi="Tahoma" w:cs="Tahoma"/>
            <w:b/>
            <w:bCs/>
            <w:sz w:val="20"/>
            <w:szCs w:val="20"/>
          </w:rPr>
          <w:t>8-</w:t>
        </w:r>
        <w:r w:rsidRPr="00611361">
          <w:rPr>
            <w:rStyle w:val="Hyperlink"/>
            <w:rFonts w:ascii="Tahoma" w:hAnsi="Tahoma" w:cs="Tahoma"/>
            <w:b/>
            <w:bCs/>
            <w:sz w:val="20"/>
            <w:szCs w:val="20"/>
          </w:rPr>
          <w:t>K</w:t>
        </w:r>
        <w:r w:rsidR="003B03C6" w:rsidRPr="00611361">
          <w:rPr>
            <w:rStyle w:val="Hyperlink"/>
            <w:rFonts w:ascii="Tahoma" w:hAnsi="Tahoma" w:cs="Tahoma"/>
            <w:b/>
            <w:bCs/>
            <w:sz w:val="20"/>
            <w:szCs w:val="20"/>
          </w:rPr>
          <w:t xml:space="preserve"> filed </w:t>
        </w:r>
        <w:r w:rsidRPr="00611361">
          <w:rPr>
            <w:rStyle w:val="Hyperlink"/>
            <w:rFonts w:ascii="Tahoma" w:hAnsi="Tahoma" w:cs="Tahoma"/>
            <w:b/>
            <w:bCs/>
            <w:sz w:val="20"/>
            <w:szCs w:val="20"/>
          </w:rPr>
          <w:t>10/15/24:</w:t>
        </w:r>
      </w:hyperlink>
      <w:r>
        <w:rPr>
          <w:rFonts w:ascii="Tahoma" w:hAnsi="Tahoma" w:cs="Tahoma"/>
          <w:sz w:val="20"/>
          <w:szCs w:val="20"/>
        </w:rPr>
        <w:t xml:space="preserve"> SSS decreased -0.1% for Good Times and increased and 3.2% for Bad Daddy’s. Prior year SSS increased 2.9% and decreased 1.2% for Good Times and bad Daddy’s respectively. The CEO Ryan Zink has stated that the business </w:t>
      </w:r>
      <w:r w:rsidRPr="00611361">
        <w:rPr>
          <w:rFonts w:ascii="Tahoma" w:hAnsi="Tahoma" w:cs="Tahoma"/>
          <w:b/>
          <w:bCs/>
          <w:sz w:val="20"/>
          <w:szCs w:val="20"/>
          <w:u w:val="single"/>
        </w:rPr>
        <w:t>canno</w:t>
      </w:r>
      <w:r>
        <w:rPr>
          <w:rFonts w:ascii="Tahoma" w:hAnsi="Tahoma" w:cs="Tahoma"/>
          <w:b/>
          <w:bCs/>
          <w:sz w:val="20"/>
          <w:szCs w:val="20"/>
          <w:u w:val="single"/>
        </w:rPr>
        <w:t>t</w:t>
      </w:r>
      <w:r>
        <w:rPr>
          <w:rFonts w:ascii="Tahoma" w:hAnsi="Tahoma" w:cs="Tahoma"/>
          <w:sz w:val="20"/>
          <w:szCs w:val="20"/>
        </w:rPr>
        <w:t xml:space="preserve"> compete with competition. </w:t>
      </w:r>
    </w:p>
    <w:p w14:paraId="469DC8AF" w14:textId="0D1B11F8" w:rsidR="003B03C6" w:rsidRPr="00611361" w:rsidRDefault="00611361" w:rsidP="00611361">
      <w:pPr>
        <w:jc w:val="center"/>
        <w:rPr>
          <w:rFonts w:ascii="Tahoma" w:hAnsi="Tahoma" w:cs="Tahoma"/>
          <w:i/>
          <w:iCs/>
          <w:sz w:val="20"/>
          <w:szCs w:val="20"/>
        </w:rPr>
      </w:pPr>
      <w:r w:rsidRPr="00611361">
        <w:rPr>
          <w:rFonts w:ascii="Tahoma" w:hAnsi="Tahoma" w:cs="Tahoma"/>
          <w:i/>
          <w:iCs/>
          <w:sz w:val="20"/>
          <w:szCs w:val="20"/>
        </w:rPr>
        <w:t xml:space="preserve">Ryan Zink, President and CEO, said “Our Good Times brand has been negatively impacted by the return of deep discounting in the quick-service environment. We remain committed to our quality position and cannot match the low-price points of the mass market competition. </w:t>
      </w:r>
    </w:p>
    <w:p w14:paraId="6E25E699" w14:textId="77777777" w:rsidR="003B03C6" w:rsidRDefault="003B03C6" w:rsidP="00556FF5">
      <w:pPr>
        <w:jc w:val="both"/>
        <w:rPr>
          <w:rFonts w:ascii="Tahoma" w:hAnsi="Tahoma" w:cs="Tahoma"/>
          <w:sz w:val="20"/>
          <w:szCs w:val="20"/>
        </w:rPr>
      </w:pPr>
    </w:p>
    <w:p w14:paraId="2909F7BF" w14:textId="77777777" w:rsidR="0091290C" w:rsidRDefault="0091290C" w:rsidP="0057530A">
      <w:pPr>
        <w:jc w:val="both"/>
        <w:rPr>
          <w:rFonts w:ascii="Tahoma" w:hAnsi="Tahoma" w:cs="Tahoma"/>
          <w:b/>
          <w:bCs/>
          <w:sz w:val="20"/>
          <w:szCs w:val="20"/>
        </w:rPr>
      </w:pPr>
    </w:p>
    <w:p w14:paraId="79F1F8CA" w14:textId="179AD3FA" w:rsidR="0091290C" w:rsidRDefault="00840726" w:rsidP="0057530A">
      <w:pPr>
        <w:jc w:val="both"/>
        <w:rPr>
          <w:rFonts w:ascii="Tahoma" w:hAnsi="Tahoma" w:cs="Tahoma"/>
          <w:b/>
          <w:bCs/>
          <w:sz w:val="20"/>
          <w:szCs w:val="20"/>
        </w:rPr>
      </w:pPr>
      <w:r>
        <w:rPr>
          <w:rFonts w:ascii="Tahoma" w:hAnsi="Tahoma" w:cs="Tahoma"/>
          <w:b/>
          <w:bCs/>
          <w:sz w:val="20"/>
          <w:szCs w:val="20"/>
        </w:rPr>
        <w:t xml:space="preserve">Free Cash Flow </w:t>
      </w:r>
    </w:p>
    <w:p w14:paraId="33BB8D13" w14:textId="4A3CC3DF" w:rsidR="00840726" w:rsidRDefault="004565B4" w:rsidP="0057530A">
      <w:pPr>
        <w:jc w:val="both"/>
        <w:rPr>
          <w:rFonts w:ascii="Tahoma" w:hAnsi="Tahoma" w:cs="Tahoma"/>
          <w:sz w:val="20"/>
          <w:szCs w:val="20"/>
        </w:rPr>
      </w:pPr>
      <w:r w:rsidRPr="004565B4">
        <w:rPr>
          <w:rFonts w:ascii="Tahoma" w:hAnsi="Tahoma" w:cs="Tahoma"/>
          <w:sz w:val="20"/>
          <w:szCs w:val="20"/>
        </w:rPr>
        <w:t xml:space="preserve">While recent improvements in Free Cash Flow (FCF) are promising, the historical challenges raise questions about GTIM’s ability to sustain growth. Positive FCF since 2020 reflects operational discipline, but modest levels in 2022-2023 suggest a fragile recovery. Monitoring Capex and operational efficiency will be key to </w:t>
      </w:r>
      <w:r w:rsidRPr="004565B4">
        <w:rPr>
          <w:rFonts w:ascii="Tahoma" w:hAnsi="Tahoma" w:cs="Tahoma"/>
          <w:sz w:val="20"/>
          <w:szCs w:val="20"/>
        </w:rPr>
        <w:lastRenderedPageBreak/>
        <w:t>long-term stability.</w:t>
      </w:r>
      <w:r w:rsidR="002D79B1">
        <w:rPr>
          <w:rFonts w:ascii="Tahoma" w:hAnsi="Tahoma" w:cs="Tahoma"/>
          <w:sz w:val="20"/>
          <w:szCs w:val="20"/>
        </w:rPr>
        <w:t xml:space="preserve">  </w:t>
      </w:r>
      <w:r w:rsidR="002D79B1" w:rsidRPr="002D79B1">
        <w:rPr>
          <w:rFonts w:ascii="Tahoma" w:hAnsi="Tahoma" w:cs="Tahoma"/>
          <w:sz w:val="20"/>
          <w:szCs w:val="20"/>
        </w:rPr>
        <w:t>A sustained improvement in FCF will be critical to funding strategic initiatives such as automation, rebranding, and expansion of Bad Daddy’s.</w:t>
      </w:r>
    </w:p>
    <w:p w14:paraId="569E5C93" w14:textId="77777777" w:rsidR="00465A73" w:rsidRDefault="00465A73" w:rsidP="0057530A">
      <w:pPr>
        <w:jc w:val="both"/>
        <w:rPr>
          <w:rFonts w:ascii="Tahoma" w:hAnsi="Tahoma" w:cs="Tahoma"/>
          <w:sz w:val="20"/>
          <w:szCs w:val="20"/>
        </w:rPr>
      </w:pPr>
    </w:p>
    <w:bookmarkEnd w:id="4"/>
    <w:p w14:paraId="05F73295" w14:textId="77777777" w:rsidR="00501758" w:rsidRPr="00501758" w:rsidRDefault="00501758" w:rsidP="00501758">
      <w:pPr>
        <w:jc w:val="both"/>
        <w:rPr>
          <w:rFonts w:ascii="Tahoma" w:hAnsi="Tahoma" w:cs="Tahoma"/>
          <w:b/>
          <w:bCs/>
          <w:sz w:val="20"/>
          <w:szCs w:val="20"/>
        </w:rPr>
      </w:pPr>
      <w:r w:rsidRPr="00501758">
        <w:rPr>
          <w:rFonts w:ascii="Tahoma" w:hAnsi="Tahoma" w:cs="Tahoma"/>
          <w:b/>
          <w:bCs/>
          <w:sz w:val="20"/>
          <w:szCs w:val="20"/>
        </w:rPr>
        <w:t>Key Assumptions and Methodology</w:t>
      </w:r>
    </w:p>
    <w:p w14:paraId="775C2251" w14:textId="77777777" w:rsidR="00501758" w:rsidRPr="00501758" w:rsidRDefault="00501758" w:rsidP="00501758">
      <w:pPr>
        <w:numPr>
          <w:ilvl w:val="0"/>
          <w:numId w:val="29"/>
        </w:numPr>
        <w:jc w:val="both"/>
        <w:rPr>
          <w:rFonts w:ascii="Tahoma" w:hAnsi="Tahoma" w:cs="Tahoma"/>
          <w:sz w:val="20"/>
          <w:szCs w:val="20"/>
        </w:rPr>
      </w:pPr>
      <w:r w:rsidRPr="00501758">
        <w:rPr>
          <w:rFonts w:ascii="Tahoma" w:hAnsi="Tahoma" w:cs="Tahoma"/>
          <w:sz w:val="20"/>
          <w:szCs w:val="20"/>
        </w:rPr>
        <w:t>Revenue Growth:</w:t>
      </w:r>
    </w:p>
    <w:p w14:paraId="249D735D" w14:textId="77777777" w:rsidR="00501758" w:rsidRPr="00501758" w:rsidRDefault="00501758" w:rsidP="00501758">
      <w:pPr>
        <w:numPr>
          <w:ilvl w:val="1"/>
          <w:numId w:val="29"/>
        </w:numPr>
        <w:jc w:val="both"/>
        <w:rPr>
          <w:rFonts w:ascii="Tahoma" w:hAnsi="Tahoma" w:cs="Tahoma"/>
          <w:sz w:val="20"/>
          <w:szCs w:val="20"/>
        </w:rPr>
      </w:pPr>
      <w:r w:rsidRPr="00501758">
        <w:rPr>
          <w:rFonts w:ascii="Tahoma" w:hAnsi="Tahoma" w:cs="Tahoma"/>
          <w:sz w:val="20"/>
          <w:szCs w:val="20"/>
        </w:rPr>
        <w:t>The upper bound ($2.70) assumes a 9% average annual revenue growth over the next 10 years, reflecting potential success from strategic initiatives, particularly if Bad Daddy’s Burger Bar becomes a larger driver of growth.</w:t>
      </w:r>
    </w:p>
    <w:p w14:paraId="475F8CE1" w14:textId="77777777" w:rsidR="00501758" w:rsidRPr="00501758" w:rsidRDefault="00501758" w:rsidP="00501758">
      <w:pPr>
        <w:numPr>
          <w:ilvl w:val="1"/>
          <w:numId w:val="29"/>
        </w:numPr>
        <w:jc w:val="both"/>
        <w:rPr>
          <w:rFonts w:ascii="Tahoma" w:hAnsi="Tahoma" w:cs="Tahoma"/>
          <w:sz w:val="20"/>
          <w:szCs w:val="20"/>
        </w:rPr>
      </w:pPr>
      <w:r w:rsidRPr="00501758">
        <w:rPr>
          <w:rFonts w:ascii="Tahoma" w:hAnsi="Tahoma" w:cs="Tahoma"/>
          <w:sz w:val="20"/>
          <w:szCs w:val="20"/>
        </w:rPr>
        <w:t>The lower bound ($2.11) assumes a more conservative 5% annual growth rate, aligned with current SSS struggles and heightened competition.</w:t>
      </w:r>
    </w:p>
    <w:p w14:paraId="37AC6244" w14:textId="77777777" w:rsidR="00501758" w:rsidRPr="00501758" w:rsidRDefault="00501758" w:rsidP="00501758">
      <w:pPr>
        <w:numPr>
          <w:ilvl w:val="0"/>
          <w:numId w:val="29"/>
        </w:numPr>
        <w:jc w:val="both"/>
        <w:rPr>
          <w:rFonts w:ascii="Tahoma" w:hAnsi="Tahoma" w:cs="Tahoma"/>
          <w:sz w:val="20"/>
          <w:szCs w:val="20"/>
        </w:rPr>
      </w:pPr>
      <w:r w:rsidRPr="00501758">
        <w:rPr>
          <w:rFonts w:ascii="Tahoma" w:hAnsi="Tahoma" w:cs="Tahoma"/>
          <w:sz w:val="20"/>
          <w:szCs w:val="20"/>
        </w:rPr>
        <w:t>Expense Trends:</w:t>
      </w:r>
    </w:p>
    <w:p w14:paraId="6B428BF7" w14:textId="77777777" w:rsidR="00501758" w:rsidRPr="00501758" w:rsidRDefault="00501758" w:rsidP="00501758">
      <w:pPr>
        <w:numPr>
          <w:ilvl w:val="1"/>
          <w:numId w:val="29"/>
        </w:numPr>
        <w:jc w:val="both"/>
        <w:rPr>
          <w:rFonts w:ascii="Tahoma" w:hAnsi="Tahoma" w:cs="Tahoma"/>
          <w:sz w:val="20"/>
          <w:szCs w:val="20"/>
        </w:rPr>
      </w:pPr>
      <w:r w:rsidRPr="00501758">
        <w:rPr>
          <w:rFonts w:ascii="Tahoma" w:hAnsi="Tahoma" w:cs="Tahoma"/>
          <w:sz w:val="20"/>
          <w:szCs w:val="20"/>
        </w:rPr>
        <w:t>GTIM's current expense structure is projected using historical data, maintaining restaurant expenses (including advertising) as a percentage of revenue. This reflects the company’s ongoing inefficiency in scaling operations.</w:t>
      </w:r>
    </w:p>
    <w:p w14:paraId="73006496" w14:textId="77777777" w:rsidR="00501758" w:rsidRPr="00501758" w:rsidRDefault="00501758" w:rsidP="00501758">
      <w:pPr>
        <w:numPr>
          <w:ilvl w:val="0"/>
          <w:numId w:val="29"/>
        </w:numPr>
        <w:jc w:val="both"/>
        <w:rPr>
          <w:rFonts w:ascii="Tahoma" w:hAnsi="Tahoma" w:cs="Tahoma"/>
          <w:sz w:val="20"/>
          <w:szCs w:val="20"/>
        </w:rPr>
      </w:pPr>
      <w:r w:rsidRPr="00501758">
        <w:rPr>
          <w:rFonts w:ascii="Tahoma" w:hAnsi="Tahoma" w:cs="Tahoma"/>
          <w:sz w:val="20"/>
          <w:szCs w:val="20"/>
        </w:rPr>
        <w:t>Interest Income/Expense:</w:t>
      </w:r>
    </w:p>
    <w:p w14:paraId="711FB0DF" w14:textId="77777777" w:rsidR="00501758" w:rsidRPr="00501758" w:rsidRDefault="00501758" w:rsidP="00501758">
      <w:pPr>
        <w:numPr>
          <w:ilvl w:val="1"/>
          <w:numId w:val="29"/>
        </w:numPr>
        <w:jc w:val="both"/>
        <w:rPr>
          <w:rFonts w:ascii="Tahoma" w:hAnsi="Tahoma" w:cs="Tahoma"/>
          <w:sz w:val="20"/>
          <w:szCs w:val="20"/>
        </w:rPr>
      </w:pPr>
      <w:r w:rsidRPr="00501758">
        <w:rPr>
          <w:rFonts w:ascii="Tahoma" w:hAnsi="Tahoma" w:cs="Tahoma"/>
          <w:sz w:val="20"/>
          <w:szCs w:val="20"/>
        </w:rPr>
        <w:t>Interest income is calculated by applying a net return assumption of at least 1% above interest expense on GTIM’s growing net cash balance (ending net cash plus annual net income). This approach accounts for management's ability to manage surplus cash effectively.</w:t>
      </w:r>
    </w:p>
    <w:p w14:paraId="67D147E1" w14:textId="77777777" w:rsidR="00501758" w:rsidRPr="00501758" w:rsidRDefault="00501758" w:rsidP="00501758">
      <w:pPr>
        <w:numPr>
          <w:ilvl w:val="0"/>
          <w:numId w:val="29"/>
        </w:numPr>
        <w:jc w:val="both"/>
        <w:rPr>
          <w:rFonts w:ascii="Tahoma" w:hAnsi="Tahoma" w:cs="Tahoma"/>
          <w:sz w:val="20"/>
          <w:szCs w:val="20"/>
        </w:rPr>
      </w:pPr>
      <w:r w:rsidRPr="00501758">
        <w:rPr>
          <w:rFonts w:ascii="Tahoma" w:hAnsi="Tahoma" w:cs="Tahoma"/>
          <w:sz w:val="20"/>
          <w:szCs w:val="20"/>
        </w:rPr>
        <w:t>Depreciation and Amortization (D&amp;A):</w:t>
      </w:r>
    </w:p>
    <w:p w14:paraId="62BF8017" w14:textId="77777777" w:rsidR="00501758" w:rsidRPr="00501758" w:rsidRDefault="00501758" w:rsidP="00501758">
      <w:pPr>
        <w:numPr>
          <w:ilvl w:val="1"/>
          <w:numId w:val="29"/>
        </w:numPr>
        <w:jc w:val="both"/>
        <w:rPr>
          <w:rFonts w:ascii="Tahoma" w:hAnsi="Tahoma" w:cs="Tahoma"/>
          <w:sz w:val="20"/>
          <w:szCs w:val="20"/>
        </w:rPr>
      </w:pPr>
      <w:r w:rsidRPr="00501758">
        <w:rPr>
          <w:rFonts w:ascii="Tahoma" w:hAnsi="Tahoma" w:cs="Tahoma"/>
          <w:sz w:val="20"/>
          <w:szCs w:val="20"/>
        </w:rPr>
        <w:t>D&amp;A is treated as a real expense due to GTIM's lack of operational scale and its need for continuous reinvestment to sustain operations or execute a turnaround strategy.</w:t>
      </w:r>
    </w:p>
    <w:p w14:paraId="67A1EE23" w14:textId="77777777" w:rsidR="00501758" w:rsidRPr="00501758" w:rsidRDefault="00501758" w:rsidP="00501758">
      <w:pPr>
        <w:numPr>
          <w:ilvl w:val="0"/>
          <w:numId w:val="29"/>
        </w:numPr>
        <w:jc w:val="both"/>
        <w:rPr>
          <w:rFonts w:ascii="Tahoma" w:hAnsi="Tahoma" w:cs="Tahoma"/>
          <w:sz w:val="20"/>
          <w:szCs w:val="20"/>
        </w:rPr>
      </w:pPr>
      <w:r w:rsidRPr="00501758">
        <w:rPr>
          <w:rFonts w:ascii="Tahoma" w:hAnsi="Tahoma" w:cs="Tahoma"/>
          <w:sz w:val="20"/>
          <w:szCs w:val="20"/>
        </w:rPr>
        <w:t>Terminal Value:</w:t>
      </w:r>
    </w:p>
    <w:p w14:paraId="4A399140" w14:textId="77777777" w:rsidR="00501758" w:rsidRPr="00501758" w:rsidRDefault="00501758" w:rsidP="00501758">
      <w:pPr>
        <w:numPr>
          <w:ilvl w:val="1"/>
          <w:numId w:val="29"/>
        </w:numPr>
        <w:jc w:val="both"/>
        <w:rPr>
          <w:rFonts w:ascii="Tahoma" w:hAnsi="Tahoma" w:cs="Tahoma"/>
          <w:sz w:val="20"/>
          <w:szCs w:val="20"/>
        </w:rPr>
      </w:pPr>
      <w:r w:rsidRPr="00501758">
        <w:rPr>
          <w:rFonts w:ascii="Tahoma" w:hAnsi="Tahoma" w:cs="Tahoma"/>
          <w:sz w:val="20"/>
          <w:szCs w:val="20"/>
        </w:rPr>
        <w:t>A -1% terminal growth rate reflects expectations of long-term contraction if current inefficiencies persist and strategic improvements fail to materialize.</w:t>
      </w:r>
    </w:p>
    <w:p w14:paraId="1D862A9B" w14:textId="77777777" w:rsidR="00501758" w:rsidRPr="00501758" w:rsidRDefault="00501758" w:rsidP="00501758">
      <w:pPr>
        <w:numPr>
          <w:ilvl w:val="0"/>
          <w:numId w:val="29"/>
        </w:numPr>
        <w:jc w:val="both"/>
        <w:rPr>
          <w:rFonts w:ascii="Tahoma" w:hAnsi="Tahoma" w:cs="Tahoma"/>
          <w:sz w:val="20"/>
          <w:szCs w:val="20"/>
        </w:rPr>
      </w:pPr>
      <w:r w:rsidRPr="00501758">
        <w:rPr>
          <w:rFonts w:ascii="Tahoma" w:hAnsi="Tahoma" w:cs="Tahoma"/>
          <w:sz w:val="20"/>
          <w:szCs w:val="20"/>
        </w:rPr>
        <w:t>Discount Rate:</w:t>
      </w:r>
    </w:p>
    <w:p w14:paraId="3F1D346E" w14:textId="77777777" w:rsidR="00501758" w:rsidRPr="00501758" w:rsidRDefault="00501758" w:rsidP="00501758">
      <w:pPr>
        <w:numPr>
          <w:ilvl w:val="1"/>
          <w:numId w:val="29"/>
        </w:numPr>
        <w:jc w:val="both"/>
        <w:rPr>
          <w:rFonts w:ascii="Tahoma" w:hAnsi="Tahoma" w:cs="Tahoma"/>
          <w:sz w:val="20"/>
          <w:szCs w:val="20"/>
        </w:rPr>
      </w:pPr>
      <w:r w:rsidRPr="00501758">
        <w:rPr>
          <w:rFonts w:ascii="Tahoma" w:hAnsi="Tahoma" w:cs="Tahoma"/>
          <w:sz w:val="20"/>
          <w:szCs w:val="20"/>
        </w:rPr>
        <w:t>Future cash flows are discounted at approximately 9%, in line with GTIM's weighted average borrowing cost under its credit facility. This reflects the company’s risk profile and financial structure.</w:t>
      </w:r>
    </w:p>
    <w:p w14:paraId="5E713BAC" w14:textId="3F911755" w:rsidR="00501758" w:rsidRPr="00501758" w:rsidRDefault="00501758" w:rsidP="00501758">
      <w:pPr>
        <w:jc w:val="both"/>
        <w:rPr>
          <w:rFonts w:ascii="Tahoma" w:hAnsi="Tahoma" w:cs="Tahoma"/>
          <w:b/>
          <w:bCs/>
          <w:sz w:val="20"/>
          <w:szCs w:val="20"/>
        </w:rPr>
      </w:pPr>
    </w:p>
    <w:p w14:paraId="390B1BE9" w14:textId="77777777" w:rsidR="00501758" w:rsidRPr="00501758" w:rsidRDefault="00501758" w:rsidP="00501758">
      <w:pPr>
        <w:jc w:val="both"/>
        <w:rPr>
          <w:rFonts w:ascii="Tahoma" w:hAnsi="Tahoma" w:cs="Tahoma"/>
          <w:b/>
          <w:bCs/>
          <w:sz w:val="20"/>
          <w:szCs w:val="20"/>
        </w:rPr>
      </w:pPr>
      <w:r w:rsidRPr="00501758">
        <w:rPr>
          <w:rFonts w:ascii="Tahoma" w:hAnsi="Tahoma" w:cs="Tahoma"/>
          <w:b/>
          <w:bCs/>
          <w:sz w:val="20"/>
          <w:szCs w:val="20"/>
        </w:rPr>
        <w:t>Sensitivities</w:t>
      </w:r>
    </w:p>
    <w:p w14:paraId="7A3A9F18" w14:textId="77777777" w:rsidR="00501758" w:rsidRPr="00501758" w:rsidRDefault="00501758" w:rsidP="00501758">
      <w:pPr>
        <w:jc w:val="both"/>
        <w:rPr>
          <w:rFonts w:ascii="Tahoma" w:hAnsi="Tahoma" w:cs="Tahoma"/>
          <w:sz w:val="20"/>
          <w:szCs w:val="20"/>
        </w:rPr>
      </w:pPr>
      <w:r w:rsidRPr="00501758">
        <w:rPr>
          <w:rFonts w:ascii="Tahoma" w:hAnsi="Tahoma" w:cs="Tahoma"/>
          <w:sz w:val="20"/>
          <w:szCs w:val="20"/>
        </w:rPr>
        <w:t>The valuation is highly sensitive to two key factors:</w:t>
      </w:r>
    </w:p>
    <w:p w14:paraId="35F659AD" w14:textId="77777777" w:rsidR="00501758" w:rsidRPr="00501758" w:rsidRDefault="00501758" w:rsidP="00501758">
      <w:pPr>
        <w:numPr>
          <w:ilvl w:val="0"/>
          <w:numId w:val="30"/>
        </w:numPr>
        <w:jc w:val="both"/>
        <w:rPr>
          <w:rFonts w:ascii="Tahoma" w:hAnsi="Tahoma" w:cs="Tahoma"/>
          <w:sz w:val="20"/>
          <w:szCs w:val="20"/>
        </w:rPr>
      </w:pPr>
      <w:r w:rsidRPr="00501758">
        <w:rPr>
          <w:rFonts w:ascii="Tahoma" w:hAnsi="Tahoma" w:cs="Tahoma"/>
          <w:sz w:val="20"/>
          <w:szCs w:val="20"/>
        </w:rPr>
        <w:t>Q4 FY25 Results:</w:t>
      </w:r>
    </w:p>
    <w:p w14:paraId="46DB025C" w14:textId="77777777" w:rsidR="00501758" w:rsidRPr="00501758" w:rsidRDefault="00501758" w:rsidP="00501758">
      <w:pPr>
        <w:numPr>
          <w:ilvl w:val="1"/>
          <w:numId w:val="30"/>
        </w:numPr>
        <w:jc w:val="both"/>
        <w:rPr>
          <w:rFonts w:ascii="Tahoma" w:hAnsi="Tahoma" w:cs="Tahoma"/>
          <w:sz w:val="20"/>
          <w:szCs w:val="20"/>
        </w:rPr>
      </w:pPr>
      <w:r w:rsidRPr="00501758">
        <w:rPr>
          <w:rFonts w:ascii="Tahoma" w:hAnsi="Tahoma" w:cs="Tahoma"/>
          <w:sz w:val="20"/>
          <w:szCs w:val="20"/>
        </w:rPr>
        <w:t>A significant miss in revenue, margins, or SSS trends could erode institutional confidence, prompting sell-offs in a stock with already limited liquidity.</w:t>
      </w:r>
    </w:p>
    <w:p w14:paraId="5AF66C52" w14:textId="77777777" w:rsidR="00501758" w:rsidRPr="00501758" w:rsidRDefault="00501758" w:rsidP="00501758">
      <w:pPr>
        <w:numPr>
          <w:ilvl w:val="0"/>
          <w:numId w:val="30"/>
        </w:numPr>
        <w:jc w:val="both"/>
        <w:rPr>
          <w:rFonts w:ascii="Tahoma" w:hAnsi="Tahoma" w:cs="Tahoma"/>
          <w:sz w:val="20"/>
          <w:szCs w:val="20"/>
        </w:rPr>
      </w:pPr>
      <w:r w:rsidRPr="00501758">
        <w:rPr>
          <w:rFonts w:ascii="Tahoma" w:hAnsi="Tahoma" w:cs="Tahoma"/>
          <w:sz w:val="20"/>
          <w:szCs w:val="20"/>
        </w:rPr>
        <w:lastRenderedPageBreak/>
        <w:t>Institutional Behavior Post-Results:</w:t>
      </w:r>
    </w:p>
    <w:p w14:paraId="3AA66B05" w14:textId="77777777" w:rsidR="00501758" w:rsidRPr="00501758" w:rsidRDefault="00501758" w:rsidP="00501758">
      <w:pPr>
        <w:numPr>
          <w:ilvl w:val="1"/>
          <w:numId w:val="30"/>
        </w:numPr>
        <w:jc w:val="both"/>
        <w:rPr>
          <w:rFonts w:ascii="Tahoma" w:hAnsi="Tahoma" w:cs="Tahoma"/>
          <w:sz w:val="20"/>
          <w:szCs w:val="20"/>
        </w:rPr>
      </w:pPr>
      <w:r w:rsidRPr="00501758">
        <w:rPr>
          <w:rFonts w:ascii="Tahoma" w:hAnsi="Tahoma" w:cs="Tahoma"/>
          <w:sz w:val="20"/>
          <w:szCs w:val="20"/>
        </w:rPr>
        <w:t>If major holders reduce their stakes, GTIM’s stock could face additional downward pressure, with insufficient retail demand to stabilize its valuation.</w:t>
      </w:r>
    </w:p>
    <w:p w14:paraId="1D646181" w14:textId="7D3A45B4" w:rsidR="00501758" w:rsidRPr="00501758" w:rsidRDefault="00501758" w:rsidP="00501758">
      <w:pPr>
        <w:jc w:val="both"/>
        <w:rPr>
          <w:rFonts w:ascii="Tahoma" w:hAnsi="Tahoma" w:cs="Tahoma"/>
          <w:b/>
          <w:bCs/>
          <w:sz w:val="20"/>
          <w:szCs w:val="20"/>
        </w:rPr>
      </w:pPr>
    </w:p>
    <w:p w14:paraId="2EFD5EAB" w14:textId="77777777" w:rsidR="00501758" w:rsidRPr="00501758" w:rsidRDefault="00501758" w:rsidP="00501758">
      <w:pPr>
        <w:jc w:val="both"/>
        <w:rPr>
          <w:rFonts w:ascii="Tahoma" w:hAnsi="Tahoma" w:cs="Tahoma"/>
          <w:sz w:val="20"/>
          <w:szCs w:val="20"/>
        </w:rPr>
      </w:pPr>
      <w:r w:rsidRPr="00501758">
        <w:rPr>
          <w:rFonts w:ascii="Tahoma" w:hAnsi="Tahoma" w:cs="Tahoma"/>
          <w:sz w:val="20"/>
          <w:szCs w:val="20"/>
        </w:rPr>
        <w:t>Conclusion</w:t>
      </w:r>
    </w:p>
    <w:p w14:paraId="49258091" w14:textId="77777777" w:rsidR="00501758" w:rsidRPr="00501758" w:rsidRDefault="00501758" w:rsidP="00501758">
      <w:pPr>
        <w:jc w:val="both"/>
        <w:rPr>
          <w:rFonts w:ascii="Tahoma" w:hAnsi="Tahoma" w:cs="Tahoma"/>
          <w:sz w:val="20"/>
          <w:szCs w:val="20"/>
        </w:rPr>
      </w:pPr>
      <w:r w:rsidRPr="00501758">
        <w:rPr>
          <w:rFonts w:ascii="Tahoma" w:hAnsi="Tahoma" w:cs="Tahoma"/>
          <w:sz w:val="20"/>
          <w:szCs w:val="20"/>
        </w:rPr>
        <w:t>GTIM's current valuation is precarious, heavily reliant on management's ability to drive strategic improvements and stabilize SSS trends. While an upper valuation of $2.70 per share assumes aggressive revenue growth and disciplined cost management, the lower bound of $2.11 reflects the risk of continued stagnation and shrinking market relevance.</w:t>
      </w:r>
    </w:p>
    <w:p w14:paraId="3EC2083A" w14:textId="77777777" w:rsidR="00501758" w:rsidRPr="00501758" w:rsidRDefault="00501758" w:rsidP="00501758">
      <w:pPr>
        <w:jc w:val="both"/>
        <w:rPr>
          <w:rFonts w:ascii="Tahoma" w:hAnsi="Tahoma" w:cs="Tahoma"/>
          <w:sz w:val="20"/>
          <w:szCs w:val="20"/>
        </w:rPr>
      </w:pPr>
      <w:r w:rsidRPr="00501758">
        <w:rPr>
          <w:rFonts w:ascii="Tahoma" w:hAnsi="Tahoma" w:cs="Tahoma"/>
          <w:sz w:val="20"/>
          <w:szCs w:val="20"/>
        </w:rPr>
        <w:t>Unless management implements a compelling turnaround strategy or explores a strategic sale, GTIM remains vulnerable to downside risks.</w:t>
      </w:r>
    </w:p>
    <w:p w14:paraId="269179A6" w14:textId="77777777" w:rsidR="00840726" w:rsidRDefault="00840726" w:rsidP="0057530A">
      <w:pPr>
        <w:jc w:val="both"/>
        <w:rPr>
          <w:rFonts w:ascii="Tahoma" w:hAnsi="Tahoma" w:cs="Tahoma"/>
          <w:b/>
          <w:bCs/>
          <w:sz w:val="20"/>
          <w:szCs w:val="20"/>
        </w:rPr>
      </w:pPr>
    </w:p>
    <w:p w14:paraId="4EA93235" w14:textId="49459322" w:rsidR="0091290C" w:rsidRDefault="00B34D4A" w:rsidP="00B34D4A">
      <w:pPr>
        <w:jc w:val="center"/>
        <w:rPr>
          <w:rFonts w:ascii="Tahoma" w:hAnsi="Tahoma" w:cs="Tahoma"/>
          <w:b/>
          <w:bCs/>
          <w:sz w:val="20"/>
          <w:szCs w:val="20"/>
        </w:rPr>
      </w:pPr>
      <w:r>
        <w:rPr>
          <w:rFonts w:ascii="Tahoma" w:hAnsi="Tahoma" w:cs="Tahoma"/>
          <w:b/>
          <w:bCs/>
          <w:sz w:val="20"/>
          <w:szCs w:val="20"/>
        </w:rPr>
        <w:t>Additional Material Below</w:t>
      </w:r>
    </w:p>
    <w:p w14:paraId="435A97C9" w14:textId="52E24CCD" w:rsidR="0057530A" w:rsidRDefault="0057530A" w:rsidP="0057530A">
      <w:pPr>
        <w:jc w:val="both"/>
        <w:rPr>
          <w:rFonts w:ascii="Tahoma" w:hAnsi="Tahoma" w:cs="Tahoma"/>
          <w:b/>
          <w:bCs/>
          <w:sz w:val="20"/>
          <w:szCs w:val="20"/>
        </w:rPr>
      </w:pPr>
      <w:r>
        <w:rPr>
          <w:rFonts w:ascii="Tahoma" w:hAnsi="Tahoma" w:cs="Tahoma"/>
          <w:b/>
          <w:bCs/>
          <w:sz w:val="20"/>
          <w:szCs w:val="20"/>
        </w:rPr>
        <w:t>Typos</w:t>
      </w:r>
      <w:r>
        <w:rPr>
          <w:rFonts w:ascii="Tahoma" w:hAnsi="Tahoma" w:cs="Tahoma"/>
          <w:b/>
          <w:bCs/>
          <w:sz w:val="20"/>
          <w:szCs w:val="20"/>
        </w:rPr>
        <w:t xml:space="preserve"> Identified </w:t>
      </w:r>
    </w:p>
    <w:p w14:paraId="41E204F2" w14:textId="77777777" w:rsidR="0091290C" w:rsidRPr="0091290C" w:rsidRDefault="0091290C" w:rsidP="0091290C">
      <w:pPr>
        <w:jc w:val="both"/>
        <w:rPr>
          <w:rFonts w:ascii="Tahoma" w:hAnsi="Tahoma" w:cs="Tahoma"/>
          <w:sz w:val="20"/>
          <w:szCs w:val="20"/>
        </w:rPr>
      </w:pPr>
      <w:r w:rsidRPr="0091290C">
        <w:rPr>
          <w:rFonts w:ascii="Tahoma" w:hAnsi="Tahoma" w:cs="Tahoma"/>
          <w:sz w:val="20"/>
          <w:szCs w:val="20"/>
        </w:rPr>
        <w:t>In the company's quarterly filing (Report Date: 6/28/22), a typographical error was observed: '1.66%%'. While such minor errors may seem trivial, they can suggest broader lapses in the review process and raise concerns about the company’s attention to detail in financial reporting.</w:t>
      </w:r>
    </w:p>
    <w:p w14:paraId="16E47E6D" w14:textId="77777777" w:rsidR="0091290C" w:rsidRPr="0091290C" w:rsidRDefault="0091290C" w:rsidP="0091290C">
      <w:pPr>
        <w:jc w:val="both"/>
        <w:rPr>
          <w:rFonts w:ascii="Tahoma" w:hAnsi="Tahoma" w:cs="Tahoma"/>
          <w:sz w:val="20"/>
          <w:szCs w:val="20"/>
        </w:rPr>
      </w:pPr>
      <w:r w:rsidRPr="0091290C">
        <w:rPr>
          <w:rFonts w:ascii="Tahoma" w:hAnsi="Tahoma" w:cs="Tahoma"/>
          <w:sz w:val="20"/>
          <w:szCs w:val="20"/>
        </w:rPr>
        <w:t>Even small mistakes in filings can undermine confidence among investors and stakeholders, particularly when accuracy is essential for decision-making and regulatory compliance. Such issues may reflect broader inefficiencies or insufficient quality control measures within the organization.</w:t>
      </w:r>
    </w:p>
    <w:p w14:paraId="56D2CC26" w14:textId="77777777" w:rsidR="0091290C" w:rsidRPr="0091290C" w:rsidRDefault="0091290C" w:rsidP="0091290C">
      <w:pPr>
        <w:jc w:val="both"/>
        <w:rPr>
          <w:rFonts w:ascii="Tahoma" w:hAnsi="Tahoma" w:cs="Tahoma"/>
          <w:sz w:val="20"/>
          <w:szCs w:val="20"/>
        </w:rPr>
      </w:pPr>
      <w:r w:rsidRPr="0091290C">
        <w:rPr>
          <w:rFonts w:ascii="Tahoma" w:hAnsi="Tahoma" w:cs="Tahoma"/>
          <w:sz w:val="20"/>
          <w:szCs w:val="20"/>
        </w:rPr>
        <w:t>Recommendation: To prevent future errors, the company should implement a more rigorous review process for financial filings, ensuring accuracy and consistency in all reports. Strengthening internal controls in this area could bolster investor trust and improve overall reporting quality.</w:t>
      </w:r>
    </w:p>
    <w:p w14:paraId="5C094995" w14:textId="77777777" w:rsidR="0057530A" w:rsidRDefault="0057530A" w:rsidP="0057530A">
      <w:pPr>
        <w:jc w:val="both"/>
        <w:rPr>
          <w:rFonts w:ascii="Tahoma" w:hAnsi="Tahoma" w:cs="Tahoma"/>
          <w:sz w:val="20"/>
          <w:szCs w:val="20"/>
        </w:rPr>
      </w:pPr>
      <w:r>
        <w:rPr>
          <w:rFonts w:ascii="Tahoma" w:hAnsi="Tahoma" w:cs="Tahoma"/>
          <w:noProof/>
          <w:sz w:val="20"/>
          <w:szCs w:val="20"/>
        </w:rPr>
        <w:drawing>
          <wp:inline distT="0" distB="0" distL="0" distR="0" wp14:anchorId="6B782178" wp14:editId="7AA8F379">
            <wp:extent cx="5943600" cy="295275"/>
            <wp:effectExtent l="0" t="0" r="0" b="0"/>
            <wp:docPr id="21280662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066296" name="Picture 212806629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95275"/>
                    </a:xfrm>
                    <a:prstGeom prst="rect">
                      <a:avLst/>
                    </a:prstGeom>
                  </pic:spPr>
                </pic:pic>
              </a:graphicData>
            </a:graphic>
          </wp:inline>
        </w:drawing>
      </w:r>
    </w:p>
    <w:p w14:paraId="6B58C22D" w14:textId="77777777" w:rsidR="0057530A" w:rsidRDefault="0057530A" w:rsidP="0057530A">
      <w:pPr>
        <w:jc w:val="both"/>
        <w:rPr>
          <w:rFonts w:ascii="Tahoma" w:hAnsi="Tahoma" w:cs="Tahoma"/>
          <w:sz w:val="20"/>
          <w:szCs w:val="20"/>
        </w:rPr>
      </w:pPr>
    </w:p>
    <w:p w14:paraId="471E2B83" w14:textId="77777777" w:rsidR="0057530A" w:rsidRDefault="0057530A" w:rsidP="0057530A">
      <w:pPr>
        <w:jc w:val="both"/>
        <w:rPr>
          <w:rFonts w:ascii="Tahoma" w:hAnsi="Tahoma" w:cs="Tahoma"/>
          <w:sz w:val="20"/>
          <w:szCs w:val="20"/>
        </w:rPr>
      </w:pPr>
      <w:r>
        <w:rPr>
          <w:rFonts w:ascii="Tahoma" w:hAnsi="Tahoma" w:cs="Tahoma"/>
          <w:sz w:val="20"/>
          <w:szCs w:val="20"/>
        </w:rPr>
        <w:t>Link:</w:t>
      </w:r>
      <w:r w:rsidRPr="0039796D">
        <w:t xml:space="preserve"> </w:t>
      </w:r>
      <w:hyperlink r:id="rId16" w:history="1">
        <w:r w:rsidRPr="001A4FB0">
          <w:rPr>
            <w:rStyle w:val="Hyperlink"/>
            <w:rFonts w:ascii="Tahoma" w:hAnsi="Tahoma" w:cs="Tahoma"/>
            <w:sz w:val="20"/>
            <w:szCs w:val="20"/>
          </w:rPr>
          <w:t>https://www.sec.gov/ix?doc=/Archives/edgar/data/0000825324/000121465922009903/gtim-20220628.htm</w:t>
        </w:r>
      </w:hyperlink>
    </w:p>
    <w:p w14:paraId="4F071076" w14:textId="77777777" w:rsidR="003B03C6" w:rsidRDefault="003B03C6" w:rsidP="00556FF5">
      <w:pPr>
        <w:jc w:val="both"/>
        <w:rPr>
          <w:rFonts w:ascii="Tahoma" w:hAnsi="Tahoma" w:cs="Tahoma"/>
          <w:sz w:val="20"/>
          <w:szCs w:val="20"/>
        </w:rPr>
      </w:pPr>
    </w:p>
    <w:p w14:paraId="162C089F" w14:textId="77777777" w:rsidR="004565B4" w:rsidRDefault="004565B4" w:rsidP="0091290C">
      <w:pPr>
        <w:jc w:val="both"/>
        <w:rPr>
          <w:rFonts w:ascii="Tahoma" w:hAnsi="Tahoma" w:cs="Tahoma"/>
          <w:b/>
          <w:bCs/>
          <w:sz w:val="20"/>
          <w:szCs w:val="20"/>
        </w:rPr>
      </w:pPr>
      <w:r w:rsidRPr="004565B4">
        <w:rPr>
          <w:rFonts w:ascii="Tahoma" w:hAnsi="Tahoma" w:cs="Tahoma"/>
          <w:b/>
          <w:bCs/>
          <w:sz w:val="20"/>
          <w:szCs w:val="20"/>
        </w:rPr>
        <w:t>Institutional Risks</w:t>
      </w:r>
    </w:p>
    <w:p w14:paraId="4B27765B" w14:textId="2E72EF86" w:rsidR="0091290C" w:rsidRPr="0091290C" w:rsidRDefault="004565B4" w:rsidP="0091290C">
      <w:pPr>
        <w:jc w:val="both"/>
        <w:rPr>
          <w:rFonts w:ascii="Tahoma" w:hAnsi="Tahoma" w:cs="Tahoma"/>
          <w:sz w:val="20"/>
          <w:szCs w:val="20"/>
        </w:rPr>
      </w:pPr>
      <w:r w:rsidRPr="004565B4">
        <w:rPr>
          <w:rFonts w:ascii="Tahoma" w:hAnsi="Tahoma" w:cs="Tahoma"/>
          <w:sz w:val="20"/>
          <w:szCs w:val="20"/>
        </w:rPr>
        <w:t>Low average trading volume (9.8K shares/day) and concentrated institutional ownership (~8.8%) create risks of significant stock price declines if major shareholders exit. For example, Renaissance Technologies holds 271,083 shares (~2.51%), requiring 28 trading days to exit, potentially causing a 5-12.5% price impact.</w:t>
      </w:r>
      <w:r>
        <w:rPr>
          <w:rFonts w:ascii="Tahoma" w:hAnsi="Tahoma" w:cs="Tahoma"/>
          <w:sz w:val="20"/>
          <w:szCs w:val="20"/>
        </w:rPr>
        <w:t xml:space="preserve">  </w:t>
      </w:r>
      <w:r w:rsidR="0091290C" w:rsidRPr="0091290C">
        <w:rPr>
          <w:rFonts w:ascii="Tahoma" w:hAnsi="Tahoma" w:cs="Tahoma"/>
          <w:sz w:val="20"/>
          <w:szCs w:val="20"/>
        </w:rPr>
        <w:t>This concentration of ownership creates vulnerability. Should any of these institutions decide to liquidate their positions, GTIM’s limited liquidity could trigger significant downward pressure on the stock price. For example:</w:t>
      </w:r>
    </w:p>
    <w:p w14:paraId="43F46AB5" w14:textId="77777777" w:rsidR="0091290C" w:rsidRPr="0091290C" w:rsidRDefault="0091290C" w:rsidP="0091290C">
      <w:pPr>
        <w:numPr>
          <w:ilvl w:val="0"/>
          <w:numId w:val="11"/>
        </w:numPr>
        <w:jc w:val="both"/>
        <w:rPr>
          <w:rFonts w:ascii="Tahoma" w:hAnsi="Tahoma" w:cs="Tahoma"/>
          <w:sz w:val="20"/>
          <w:szCs w:val="20"/>
        </w:rPr>
      </w:pPr>
      <w:r w:rsidRPr="0091290C">
        <w:rPr>
          <w:rFonts w:ascii="Tahoma" w:hAnsi="Tahoma" w:cs="Tahoma"/>
          <w:b/>
          <w:bCs/>
          <w:sz w:val="20"/>
          <w:szCs w:val="20"/>
        </w:rPr>
        <w:lastRenderedPageBreak/>
        <w:t>Renaissance Technologies LLC</w:t>
      </w:r>
      <w:r w:rsidRPr="0091290C">
        <w:rPr>
          <w:rFonts w:ascii="Tahoma" w:hAnsi="Tahoma" w:cs="Tahoma"/>
          <w:sz w:val="20"/>
          <w:szCs w:val="20"/>
        </w:rPr>
        <w:t>, holding </w:t>
      </w:r>
      <w:r w:rsidRPr="0091290C">
        <w:rPr>
          <w:rFonts w:ascii="Tahoma" w:hAnsi="Tahoma" w:cs="Tahoma"/>
          <w:b/>
          <w:bCs/>
          <w:sz w:val="20"/>
          <w:szCs w:val="20"/>
        </w:rPr>
        <w:t>271,083 shares (~2.51% of outstanding shares)</w:t>
      </w:r>
      <w:r w:rsidRPr="0091290C">
        <w:rPr>
          <w:rFonts w:ascii="Tahoma" w:hAnsi="Tahoma" w:cs="Tahoma"/>
          <w:sz w:val="20"/>
          <w:szCs w:val="20"/>
        </w:rPr>
        <w:t>, would require approximately </w:t>
      </w:r>
      <w:r w:rsidRPr="0091290C">
        <w:rPr>
          <w:rFonts w:ascii="Tahoma" w:hAnsi="Tahoma" w:cs="Tahoma"/>
          <w:b/>
          <w:bCs/>
          <w:sz w:val="20"/>
          <w:szCs w:val="20"/>
        </w:rPr>
        <w:t>28 trading days</w:t>
      </w:r>
      <w:r w:rsidRPr="0091290C">
        <w:rPr>
          <w:rFonts w:ascii="Tahoma" w:hAnsi="Tahoma" w:cs="Tahoma"/>
          <w:sz w:val="20"/>
          <w:szCs w:val="20"/>
        </w:rPr>
        <w:t> to fully exit its position. Using a rule of thumb, this could result in a share price decline of </w:t>
      </w:r>
      <w:r w:rsidRPr="0091290C">
        <w:rPr>
          <w:rFonts w:ascii="Tahoma" w:hAnsi="Tahoma" w:cs="Tahoma"/>
          <w:b/>
          <w:bCs/>
          <w:sz w:val="20"/>
          <w:szCs w:val="20"/>
        </w:rPr>
        <w:t>5-12.5%</w:t>
      </w:r>
      <w:r w:rsidRPr="0091290C">
        <w:rPr>
          <w:rFonts w:ascii="Tahoma" w:hAnsi="Tahoma" w:cs="Tahoma"/>
          <w:sz w:val="20"/>
          <w:szCs w:val="20"/>
        </w:rPr>
        <w:t>:</w:t>
      </w:r>
    </w:p>
    <w:p w14:paraId="12AE7FF1" w14:textId="77777777" w:rsidR="0091290C" w:rsidRPr="0091290C" w:rsidRDefault="0091290C" w:rsidP="0091290C">
      <w:pPr>
        <w:numPr>
          <w:ilvl w:val="0"/>
          <w:numId w:val="11"/>
        </w:numPr>
        <w:tabs>
          <w:tab w:val="num" w:pos="1440"/>
        </w:tabs>
        <w:jc w:val="both"/>
        <w:rPr>
          <w:rFonts w:ascii="Tahoma" w:hAnsi="Tahoma" w:cs="Tahoma"/>
          <w:sz w:val="20"/>
          <w:szCs w:val="20"/>
        </w:rPr>
      </w:pPr>
      <w:r w:rsidRPr="0091290C">
        <w:rPr>
          <w:rFonts w:ascii="Tahoma" w:hAnsi="Tahoma" w:cs="Tahoma"/>
          <w:b/>
          <w:bCs/>
          <w:sz w:val="20"/>
          <w:szCs w:val="20"/>
        </w:rPr>
        <w:t>2.51% x 2% = ~5% price impact (lower bound)</w:t>
      </w:r>
    </w:p>
    <w:p w14:paraId="4B6F0064" w14:textId="77777777" w:rsidR="0091290C" w:rsidRPr="0091290C" w:rsidRDefault="0091290C" w:rsidP="0091290C">
      <w:pPr>
        <w:numPr>
          <w:ilvl w:val="0"/>
          <w:numId w:val="11"/>
        </w:numPr>
        <w:tabs>
          <w:tab w:val="num" w:pos="1440"/>
        </w:tabs>
        <w:jc w:val="both"/>
        <w:rPr>
          <w:rFonts w:ascii="Tahoma" w:hAnsi="Tahoma" w:cs="Tahoma"/>
          <w:sz w:val="20"/>
          <w:szCs w:val="20"/>
        </w:rPr>
      </w:pPr>
      <w:r w:rsidRPr="0091290C">
        <w:rPr>
          <w:rFonts w:ascii="Tahoma" w:hAnsi="Tahoma" w:cs="Tahoma"/>
          <w:b/>
          <w:bCs/>
          <w:sz w:val="20"/>
          <w:szCs w:val="20"/>
        </w:rPr>
        <w:t>2.51% x 5% = ~12.5% price impact (upper bound)</w:t>
      </w:r>
    </w:p>
    <w:p w14:paraId="7C6ECCDF" w14:textId="77777777" w:rsidR="0091290C" w:rsidRPr="0091290C" w:rsidRDefault="0091290C" w:rsidP="0091290C">
      <w:pPr>
        <w:ind w:left="360"/>
        <w:jc w:val="both"/>
        <w:rPr>
          <w:rFonts w:ascii="Tahoma" w:hAnsi="Tahoma" w:cs="Tahoma"/>
          <w:sz w:val="20"/>
          <w:szCs w:val="20"/>
        </w:rPr>
      </w:pPr>
      <w:r w:rsidRPr="0091290C">
        <w:rPr>
          <w:rFonts w:ascii="Tahoma" w:hAnsi="Tahoma" w:cs="Tahoma"/>
          <w:sz w:val="20"/>
          <w:szCs w:val="20"/>
        </w:rPr>
        <w:t>If all four institutions liquidated simultaneously (~8.8% of outstanding shares), the stock could face a </w:t>
      </w:r>
      <w:r w:rsidRPr="0091290C">
        <w:rPr>
          <w:rFonts w:ascii="Tahoma" w:hAnsi="Tahoma" w:cs="Tahoma"/>
          <w:b/>
          <w:bCs/>
          <w:sz w:val="20"/>
          <w:szCs w:val="20"/>
        </w:rPr>
        <w:t>20-40% decline</w:t>
      </w:r>
      <w:r w:rsidRPr="0091290C">
        <w:rPr>
          <w:rFonts w:ascii="Tahoma" w:hAnsi="Tahoma" w:cs="Tahoma"/>
          <w:sz w:val="20"/>
          <w:szCs w:val="20"/>
        </w:rPr>
        <w:t> due to the imbalance of supply and demand in the market.</w:t>
      </w:r>
    </w:p>
    <w:p w14:paraId="41B69154" w14:textId="77777777" w:rsidR="0091290C" w:rsidRPr="0091290C" w:rsidRDefault="0091290C" w:rsidP="0091290C">
      <w:pPr>
        <w:jc w:val="both"/>
        <w:rPr>
          <w:rFonts w:ascii="Tahoma" w:hAnsi="Tahoma" w:cs="Tahoma"/>
          <w:sz w:val="20"/>
          <w:szCs w:val="20"/>
        </w:rPr>
      </w:pPr>
      <w:r w:rsidRPr="0091290C">
        <w:rPr>
          <w:rFonts w:ascii="Tahoma" w:hAnsi="Tahoma" w:cs="Tahoma"/>
          <w:sz w:val="20"/>
          <w:szCs w:val="20"/>
        </w:rPr>
        <w:t>This risk is exacerbated by GTIM’s illiquidity, with its average trading volume unable to absorb large sell-offs. Retail investors and smaller institutions are particularly vulnerable, as price volatility could erode confidence and deter future investment.</w:t>
      </w:r>
    </w:p>
    <w:p w14:paraId="66705BBB" w14:textId="77777777" w:rsidR="00223F7F" w:rsidRPr="00223F7F" w:rsidRDefault="00223F7F" w:rsidP="00223F7F">
      <w:pPr>
        <w:ind w:left="720"/>
        <w:jc w:val="both"/>
        <w:rPr>
          <w:rFonts w:ascii="Tahoma" w:hAnsi="Tahoma" w:cs="Tahoma"/>
          <w:b/>
          <w:bCs/>
          <w:sz w:val="20"/>
          <w:szCs w:val="20"/>
        </w:rPr>
      </w:pPr>
      <w:r w:rsidRPr="00223F7F">
        <w:rPr>
          <w:rFonts w:ascii="Tahoma" w:hAnsi="Tahoma" w:cs="Tahoma"/>
          <w:b/>
          <w:bCs/>
          <w:sz w:val="20"/>
          <w:szCs w:val="20"/>
        </w:rPr>
        <w:t>Recommendation: Addressing Institutional Ownership and Liquidity Risks</w:t>
      </w:r>
    </w:p>
    <w:p w14:paraId="7F7BF18B" w14:textId="77777777" w:rsidR="00223F7F" w:rsidRPr="00223F7F" w:rsidRDefault="00223F7F" w:rsidP="00223F7F">
      <w:pPr>
        <w:jc w:val="both"/>
        <w:rPr>
          <w:rFonts w:ascii="Tahoma" w:hAnsi="Tahoma" w:cs="Tahoma"/>
          <w:sz w:val="20"/>
          <w:szCs w:val="20"/>
        </w:rPr>
      </w:pPr>
      <w:r w:rsidRPr="00223F7F">
        <w:rPr>
          <w:rFonts w:ascii="Tahoma" w:hAnsi="Tahoma" w:cs="Tahoma"/>
          <w:sz w:val="20"/>
          <w:szCs w:val="20"/>
        </w:rPr>
        <w:t>While GTIM’s 2021 tender offer misallocated $1.5M in shareholder capital by repurchasing shares at a significant premium ($4.50/share), future buybacks could still be a viable strategy under the right circumstances. The previous tender offer was poorly timed, prioritizing short-term optics over long-term growth, and occurred when management should have been focused on operational improvements and expansion.</w:t>
      </w:r>
    </w:p>
    <w:p w14:paraId="50EE4ED1" w14:textId="77777777" w:rsidR="00223F7F" w:rsidRPr="00223F7F" w:rsidRDefault="00223F7F" w:rsidP="00223F7F">
      <w:pPr>
        <w:jc w:val="both"/>
        <w:rPr>
          <w:rFonts w:ascii="Tahoma" w:hAnsi="Tahoma" w:cs="Tahoma"/>
          <w:sz w:val="20"/>
          <w:szCs w:val="20"/>
        </w:rPr>
      </w:pPr>
      <w:r w:rsidRPr="00223F7F">
        <w:rPr>
          <w:rFonts w:ascii="Tahoma" w:hAnsi="Tahoma" w:cs="Tahoma"/>
          <w:sz w:val="20"/>
          <w:szCs w:val="20"/>
        </w:rPr>
        <w:t>However, at the current share price of $2.63—significantly below the tender offer price—a carefully executed buyback could provide value to shareholders by:</w:t>
      </w:r>
    </w:p>
    <w:p w14:paraId="6152825D" w14:textId="77777777" w:rsidR="00223F7F" w:rsidRPr="00223F7F" w:rsidRDefault="00223F7F" w:rsidP="00223F7F">
      <w:pPr>
        <w:numPr>
          <w:ilvl w:val="0"/>
          <w:numId w:val="17"/>
        </w:numPr>
        <w:jc w:val="both"/>
        <w:rPr>
          <w:rFonts w:ascii="Tahoma" w:hAnsi="Tahoma" w:cs="Tahoma"/>
          <w:sz w:val="20"/>
          <w:szCs w:val="20"/>
        </w:rPr>
      </w:pPr>
      <w:r w:rsidRPr="00223F7F">
        <w:rPr>
          <w:rFonts w:ascii="Tahoma" w:hAnsi="Tahoma" w:cs="Tahoma"/>
          <w:sz w:val="20"/>
          <w:szCs w:val="20"/>
        </w:rPr>
        <w:t>Reducing institutional concentration, thereby mitigating risks associated with low liquidity.</w:t>
      </w:r>
    </w:p>
    <w:p w14:paraId="35600CD7" w14:textId="77777777" w:rsidR="00223F7F" w:rsidRPr="00223F7F" w:rsidRDefault="00223F7F" w:rsidP="00223F7F">
      <w:pPr>
        <w:numPr>
          <w:ilvl w:val="0"/>
          <w:numId w:val="17"/>
        </w:numPr>
        <w:jc w:val="both"/>
        <w:rPr>
          <w:rFonts w:ascii="Tahoma" w:hAnsi="Tahoma" w:cs="Tahoma"/>
          <w:sz w:val="20"/>
          <w:szCs w:val="20"/>
        </w:rPr>
      </w:pPr>
      <w:r w:rsidRPr="00223F7F">
        <w:rPr>
          <w:rFonts w:ascii="Tahoma" w:hAnsi="Tahoma" w:cs="Tahoma"/>
          <w:sz w:val="20"/>
          <w:szCs w:val="20"/>
        </w:rPr>
        <w:t>Improving share price stability and signaling confidence in the company’s future.</w:t>
      </w:r>
    </w:p>
    <w:p w14:paraId="40D972E4" w14:textId="77777777" w:rsidR="00223F7F" w:rsidRDefault="00223F7F" w:rsidP="00223F7F">
      <w:pPr>
        <w:ind w:left="720"/>
        <w:jc w:val="both"/>
        <w:rPr>
          <w:rFonts w:ascii="Tahoma" w:hAnsi="Tahoma" w:cs="Tahoma"/>
          <w:sz w:val="20"/>
          <w:szCs w:val="20"/>
        </w:rPr>
      </w:pPr>
      <w:r w:rsidRPr="00223F7F">
        <w:rPr>
          <w:rFonts w:ascii="Tahoma" w:hAnsi="Tahoma" w:cs="Tahoma"/>
          <w:sz w:val="20"/>
          <w:szCs w:val="20"/>
        </w:rPr>
        <w:t>Such a move should only be considered if the company has excess cash after funding critical growth initiatives and addressing operational inefficiencies. Unlike the prior tender offer, a future buyback must align with the company’s broader strategic goals, focusing on long-term value creation rather than short-term appeasement.</w:t>
      </w:r>
    </w:p>
    <w:p w14:paraId="665766E1" w14:textId="77777777" w:rsidR="002D79B1" w:rsidRPr="00223F7F" w:rsidRDefault="002D79B1" w:rsidP="00223F7F">
      <w:pPr>
        <w:ind w:left="720"/>
        <w:jc w:val="both"/>
        <w:rPr>
          <w:rFonts w:ascii="Tahoma" w:hAnsi="Tahoma" w:cs="Tahoma"/>
          <w:sz w:val="20"/>
          <w:szCs w:val="20"/>
        </w:rPr>
      </w:pPr>
    </w:p>
    <w:p w14:paraId="2362E80A" w14:textId="153FFE2E" w:rsidR="008E035A" w:rsidRPr="008E035A" w:rsidRDefault="00D53B66" w:rsidP="0091290C">
      <w:pPr>
        <w:ind w:left="720"/>
        <w:jc w:val="both"/>
        <w:rPr>
          <w:rFonts w:ascii="Tahoma" w:hAnsi="Tahoma" w:cs="Tahoma"/>
          <w:sz w:val="20"/>
          <w:szCs w:val="20"/>
        </w:rPr>
      </w:pPr>
      <w:r>
        <w:rPr>
          <w:rFonts w:ascii="Tahoma" w:hAnsi="Tahoma" w:cs="Tahoma"/>
          <w:noProof/>
          <w:sz w:val="20"/>
          <w:szCs w:val="20"/>
        </w:rPr>
        <w:drawing>
          <wp:inline distT="0" distB="0" distL="0" distR="0" wp14:anchorId="584B9506" wp14:editId="4740F354">
            <wp:extent cx="5422900" cy="533400"/>
            <wp:effectExtent l="0" t="0" r="0" b="0"/>
            <wp:docPr id="75036236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362362" name="Picture 750362362"/>
                    <pic:cNvPicPr/>
                  </pic:nvPicPr>
                  <pic:blipFill>
                    <a:blip r:embed="rId17">
                      <a:extLst>
                        <a:ext uri="{28A0092B-C50C-407E-A947-70E740481C1C}">
                          <a14:useLocalDpi xmlns:a14="http://schemas.microsoft.com/office/drawing/2010/main" val="0"/>
                        </a:ext>
                      </a:extLst>
                    </a:blip>
                    <a:stretch>
                      <a:fillRect/>
                    </a:stretch>
                  </pic:blipFill>
                  <pic:spPr>
                    <a:xfrm>
                      <a:off x="0" y="0"/>
                      <a:ext cx="5422900" cy="533400"/>
                    </a:xfrm>
                    <a:prstGeom prst="rect">
                      <a:avLst/>
                    </a:prstGeom>
                  </pic:spPr>
                </pic:pic>
              </a:graphicData>
            </a:graphic>
          </wp:inline>
        </w:drawing>
      </w:r>
    </w:p>
    <w:p w14:paraId="0A69338D" w14:textId="5F8B9ACF" w:rsidR="0091290C" w:rsidRPr="0091290C" w:rsidRDefault="0091290C" w:rsidP="00223F7F">
      <w:pPr>
        <w:jc w:val="both"/>
        <w:rPr>
          <w:rFonts w:ascii="Tahoma" w:hAnsi="Tahoma" w:cs="Tahoma"/>
          <w:sz w:val="20"/>
          <w:szCs w:val="20"/>
        </w:rPr>
      </w:pPr>
      <w:r w:rsidRPr="0091290C">
        <w:rPr>
          <w:rFonts w:ascii="Tahoma" w:hAnsi="Tahoma" w:cs="Tahoma"/>
          <w:sz w:val="20"/>
          <w:szCs w:val="20"/>
        </w:rPr>
        <w:t xml:space="preserve">This analysis underscores the importance of monitoring institutional ownership changes closely, as any significant </w:t>
      </w:r>
      <w:r w:rsidRPr="0091290C">
        <w:rPr>
          <w:rFonts w:ascii="Tahoma" w:hAnsi="Tahoma" w:cs="Tahoma"/>
          <w:sz w:val="20"/>
          <w:szCs w:val="20"/>
        </w:rPr>
        <w:t>selloffs</w:t>
      </w:r>
      <w:r w:rsidRPr="0091290C">
        <w:rPr>
          <w:rFonts w:ascii="Tahoma" w:hAnsi="Tahoma" w:cs="Tahoma"/>
          <w:sz w:val="20"/>
          <w:szCs w:val="20"/>
        </w:rPr>
        <w:t xml:space="preserve"> could disproportionately impact the company’s stock price and market perception.</w:t>
      </w:r>
    </w:p>
    <w:p w14:paraId="4511B1F4" w14:textId="2FE9B642" w:rsidR="0057530A" w:rsidRDefault="00295EF6" w:rsidP="00556FF5">
      <w:pPr>
        <w:jc w:val="both"/>
        <w:rPr>
          <w:rFonts w:ascii="Tahoma" w:hAnsi="Tahoma" w:cs="Tahoma"/>
          <w:sz w:val="20"/>
          <w:szCs w:val="20"/>
        </w:rPr>
      </w:pPr>
      <w:r>
        <w:rPr>
          <w:rFonts w:ascii="Tahoma" w:hAnsi="Tahoma" w:cs="Tahoma"/>
          <w:noProof/>
          <w:sz w:val="20"/>
          <w:szCs w:val="20"/>
        </w:rPr>
        <w:lastRenderedPageBreak/>
        <w:drawing>
          <wp:inline distT="0" distB="0" distL="0" distR="0" wp14:anchorId="3401E0C3" wp14:editId="255A0FBF">
            <wp:extent cx="5943600" cy="3569335"/>
            <wp:effectExtent l="0" t="0" r="0" b="0"/>
            <wp:docPr id="2145978852"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978852" name="Picture 9" descr="A screenshot of a computer scree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569335"/>
                    </a:xfrm>
                    <a:prstGeom prst="rect">
                      <a:avLst/>
                    </a:prstGeom>
                  </pic:spPr>
                </pic:pic>
              </a:graphicData>
            </a:graphic>
          </wp:inline>
        </w:drawing>
      </w:r>
    </w:p>
    <w:p w14:paraId="662C49E6" w14:textId="77777777" w:rsidR="007F437F" w:rsidRDefault="007F437F" w:rsidP="00556FF5">
      <w:pPr>
        <w:jc w:val="both"/>
        <w:rPr>
          <w:rFonts w:ascii="Tahoma" w:hAnsi="Tahoma" w:cs="Tahoma"/>
          <w:b/>
          <w:bCs/>
          <w:sz w:val="20"/>
          <w:szCs w:val="20"/>
        </w:rPr>
      </w:pPr>
    </w:p>
    <w:p w14:paraId="670D438C" w14:textId="77777777" w:rsidR="007F437F" w:rsidRDefault="007F437F" w:rsidP="00556FF5">
      <w:pPr>
        <w:jc w:val="both"/>
        <w:rPr>
          <w:rFonts w:ascii="Tahoma" w:hAnsi="Tahoma" w:cs="Tahoma"/>
          <w:b/>
          <w:bCs/>
          <w:sz w:val="20"/>
          <w:szCs w:val="20"/>
        </w:rPr>
      </w:pPr>
    </w:p>
    <w:p w14:paraId="2D5FBCFA" w14:textId="77777777" w:rsidR="007F437F" w:rsidRDefault="007F437F" w:rsidP="00556FF5">
      <w:pPr>
        <w:jc w:val="both"/>
        <w:rPr>
          <w:rFonts w:ascii="Tahoma" w:hAnsi="Tahoma" w:cs="Tahoma"/>
          <w:b/>
          <w:bCs/>
          <w:sz w:val="20"/>
          <w:szCs w:val="20"/>
        </w:rPr>
      </w:pPr>
    </w:p>
    <w:p w14:paraId="5ABCF9F0" w14:textId="77777777" w:rsidR="004565B4" w:rsidRPr="002D79B1" w:rsidRDefault="004565B4" w:rsidP="00556FF5">
      <w:pPr>
        <w:jc w:val="both"/>
        <w:rPr>
          <w:rFonts w:ascii="Tahoma" w:hAnsi="Tahoma" w:cs="Tahoma"/>
          <w:sz w:val="20"/>
          <w:szCs w:val="20"/>
        </w:rPr>
      </w:pPr>
      <w:r w:rsidRPr="002D79B1">
        <w:rPr>
          <w:rFonts w:ascii="Tahoma" w:hAnsi="Tahoma" w:cs="Tahoma"/>
          <w:sz w:val="20"/>
          <w:szCs w:val="20"/>
        </w:rPr>
        <w:t>Recommendations</w:t>
      </w:r>
    </w:p>
    <w:bookmarkEnd w:id="2"/>
    <w:p w14:paraId="7504E0B7" w14:textId="6EA59AE1" w:rsidR="002D79B1" w:rsidRPr="002D79B1" w:rsidRDefault="002D79B1" w:rsidP="002D79B1">
      <w:pPr>
        <w:pStyle w:val="ListParagraph"/>
        <w:numPr>
          <w:ilvl w:val="1"/>
          <w:numId w:val="20"/>
        </w:numPr>
        <w:jc w:val="both"/>
        <w:rPr>
          <w:rFonts w:ascii="Tahoma" w:hAnsi="Tahoma" w:cs="Tahoma"/>
          <w:sz w:val="20"/>
          <w:szCs w:val="20"/>
        </w:rPr>
      </w:pPr>
      <w:r w:rsidRPr="002D79B1">
        <w:rPr>
          <w:rFonts w:ascii="Tahoma" w:hAnsi="Tahoma" w:cs="Tahoma"/>
          <w:sz w:val="20"/>
          <w:szCs w:val="20"/>
        </w:rPr>
        <w:t>Divest Good Times Burgers: Free up resources to focus on Bad Daddy’s Burger Bar, the company’s proven growth driver. If a singular focus on Bad Daddy’s is not feasible, management should explore a strategic sale of the entire company to maximize shareholder value.</w:t>
      </w:r>
    </w:p>
    <w:p w14:paraId="572DD4EC" w14:textId="135B872D" w:rsidR="002D79B1" w:rsidRPr="002D79B1" w:rsidRDefault="002D79B1" w:rsidP="002D79B1">
      <w:pPr>
        <w:pStyle w:val="ListParagraph"/>
        <w:numPr>
          <w:ilvl w:val="1"/>
          <w:numId w:val="20"/>
        </w:numPr>
        <w:jc w:val="both"/>
        <w:rPr>
          <w:rFonts w:ascii="Tahoma" w:hAnsi="Tahoma" w:cs="Tahoma"/>
          <w:sz w:val="20"/>
          <w:szCs w:val="20"/>
        </w:rPr>
      </w:pPr>
      <w:r w:rsidRPr="002D79B1">
        <w:rPr>
          <w:rFonts w:ascii="Tahoma" w:hAnsi="Tahoma" w:cs="Tahoma"/>
          <w:sz w:val="20"/>
          <w:szCs w:val="20"/>
        </w:rPr>
        <w:t>Double Down on Bad Daddy’s: Optimize operations, expand strategically, and refresh branding to strengthen the brand's positioning in the competitive casual dining market. Focus resources on high-performing locations and leverage Bad Daddy’s proven unit-level profitability.</w:t>
      </w:r>
    </w:p>
    <w:p w14:paraId="144E5919" w14:textId="688FE173" w:rsidR="002D79B1" w:rsidRPr="002D79B1" w:rsidRDefault="002D79B1" w:rsidP="002D79B1">
      <w:pPr>
        <w:pStyle w:val="ListParagraph"/>
        <w:numPr>
          <w:ilvl w:val="1"/>
          <w:numId w:val="20"/>
        </w:numPr>
        <w:jc w:val="both"/>
        <w:rPr>
          <w:rFonts w:ascii="Tahoma" w:hAnsi="Tahoma" w:cs="Tahoma"/>
          <w:sz w:val="20"/>
          <w:szCs w:val="20"/>
        </w:rPr>
      </w:pPr>
      <w:r w:rsidRPr="002D79B1">
        <w:rPr>
          <w:rFonts w:ascii="Tahoma" w:hAnsi="Tahoma" w:cs="Tahoma"/>
          <w:sz w:val="20"/>
          <w:szCs w:val="20"/>
        </w:rPr>
        <w:t>Invest in Technology: Reduce costs and improve efficiency through automation and data analytics. Enhancements in Point-of-Sale systems and kitchen automation can streamline operations, improve customer experience, and drive margin expansion.</w:t>
      </w:r>
    </w:p>
    <w:p w14:paraId="1CBCD51F" w14:textId="17F9DDDB" w:rsidR="002D79B1" w:rsidRPr="002D79B1" w:rsidRDefault="002D79B1" w:rsidP="002D79B1">
      <w:pPr>
        <w:pStyle w:val="ListParagraph"/>
        <w:numPr>
          <w:ilvl w:val="1"/>
          <w:numId w:val="20"/>
        </w:numPr>
        <w:jc w:val="both"/>
        <w:rPr>
          <w:rFonts w:ascii="Tahoma" w:hAnsi="Tahoma" w:cs="Tahoma"/>
          <w:sz w:val="20"/>
          <w:szCs w:val="20"/>
        </w:rPr>
      </w:pPr>
      <w:r>
        <w:rPr>
          <w:rFonts w:ascii="Tahoma" w:hAnsi="Tahoma" w:cs="Tahoma"/>
          <w:sz w:val="20"/>
          <w:szCs w:val="20"/>
        </w:rPr>
        <w:t>F</w:t>
      </w:r>
      <w:r w:rsidRPr="002D79B1">
        <w:rPr>
          <w:rFonts w:ascii="Tahoma" w:hAnsi="Tahoma" w:cs="Tahoma"/>
          <w:sz w:val="20"/>
          <w:szCs w:val="20"/>
        </w:rPr>
        <w:t>ocus on Financial Discipline: Use proceeds from divestitures or a potential sale to pay down debt, strengthen the balance sheet, and fund strategic growth initiatives. A disciplined approach to capital allocation is critical for long-term value creation.</w:t>
      </w:r>
    </w:p>
    <w:p w14:paraId="52440C46" w14:textId="77777777" w:rsidR="004565B4" w:rsidRDefault="004565B4" w:rsidP="00556FF5">
      <w:pPr>
        <w:jc w:val="both"/>
        <w:rPr>
          <w:rFonts w:ascii="Tahoma" w:hAnsi="Tahoma" w:cs="Tahoma"/>
          <w:b/>
          <w:bCs/>
          <w:sz w:val="20"/>
          <w:szCs w:val="20"/>
        </w:rPr>
      </w:pPr>
    </w:p>
    <w:p w14:paraId="3F2FD252" w14:textId="49103E87" w:rsidR="004565B4" w:rsidRDefault="00616E61" w:rsidP="00556FF5">
      <w:pPr>
        <w:jc w:val="both"/>
        <w:rPr>
          <w:rFonts w:ascii="Tahoma" w:hAnsi="Tahoma" w:cs="Tahoma"/>
          <w:b/>
          <w:bCs/>
          <w:sz w:val="20"/>
          <w:szCs w:val="20"/>
        </w:rPr>
      </w:pPr>
      <w:r w:rsidRPr="00616E61">
        <w:rPr>
          <w:rFonts w:ascii="Tahoma" w:hAnsi="Tahoma" w:cs="Tahoma"/>
          <w:b/>
          <w:bCs/>
          <w:sz w:val="20"/>
          <w:szCs w:val="20"/>
        </w:rPr>
        <w:t>Supplementary Analysis: Options and Market Activity</w:t>
      </w:r>
    </w:p>
    <w:p w14:paraId="4C00EC55" w14:textId="2CB537F1" w:rsidR="00966C9A" w:rsidRDefault="00221425" w:rsidP="00556FF5">
      <w:pPr>
        <w:jc w:val="both"/>
        <w:rPr>
          <w:rFonts w:ascii="Tahoma" w:hAnsi="Tahoma" w:cs="Tahoma"/>
          <w:b/>
          <w:bCs/>
          <w:sz w:val="20"/>
          <w:szCs w:val="20"/>
        </w:rPr>
      </w:pPr>
      <w:r>
        <w:rPr>
          <w:rFonts w:ascii="Tahoma" w:hAnsi="Tahoma" w:cs="Tahoma"/>
          <w:b/>
          <w:bCs/>
          <w:sz w:val="20"/>
          <w:szCs w:val="20"/>
        </w:rPr>
        <w:t xml:space="preserve">Option Analysis </w:t>
      </w:r>
    </w:p>
    <w:p w14:paraId="0126E8E2" w14:textId="77777777" w:rsidR="00910C6C" w:rsidRPr="00910C6C" w:rsidRDefault="00910C6C" w:rsidP="00910C6C">
      <w:pPr>
        <w:jc w:val="both"/>
        <w:rPr>
          <w:rFonts w:ascii="Tahoma" w:hAnsi="Tahoma" w:cs="Tahoma"/>
          <w:sz w:val="20"/>
          <w:szCs w:val="20"/>
        </w:rPr>
      </w:pPr>
      <w:r w:rsidRPr="00910C6C">
        <w:rPr>
          <w:rFonts w:ascii="Tahoma" w:hAnsi="Tahoma" w:cs="Tahoma"/>
          <w:sz w:val="20"/>
          <w:szCs w:val="20"/>
        </w:rPr>
        <w:lastRenderedPageBreak/>
        <w:t>Currently, 385 put contracts have been traded at a $2.50 strike price (expiration: Dec 20, 2024), reflecting a significant level of activity on the bearish side. This could indicate that investors suspect the stock price may fall below $2.50, making these options profitable. If institutional investors exit their positions, this could pressure the stock price downward, potentially validating this bearish outlook. However, if the business remains stable and the stock price stays above $2.50, these options will likely expire worthless.</w:t>
      </w:r>
    </w:p>
    <w:p w14:paraId="54BB556A" w14:textId="31C89435" w:rsidR="0015760B" w:rsidRDefault="0015760B" w:rsidP="00556FF5">
      <w:pPr>
        <w:jc w:val="both"/>
        <w:rPr>
          <w:rFonts w:ascii="Tahoma" w:hAnsi="Tahoma" w:cs="Tahoma"/>
          <w:sz w:val="20"/>
          <w:szCs w:val="20"/>
        </w:rPr>
      </w:pPr>
      <w:r w:rsidRPr="0015760B">
        <w:rPr>
          <w:rFonts w:ascii="Tahoma" w:hAnsi="Tahoma" w:cs="Tahoma"/>
          <w:sz w:val="20"/>
          <w:szCs w:val="20"/>
        </w:rPr>
        <w:t>On the bullish side, only 15 call contracts have been traded at the $2.50 strike price. This relatively low volume suggests limited interest or optimism in the stock’s upward potential at this level, especially when compared to the notable activity on the put side. While these call options are currently in the money with the stock price at $2.65, whether they can be sold at a profit depends on the premium originally paid for the options. If the premium exceeds the intrinsic value of $0.15 per share, the holder may not yet realize a profit.</w:t>
      </w:r>
    </w:p>
    <w:p w14:paraId="7338DE39" w14:textId="77777777" w:rsidR="00616E61" w:rsidRDefault="00616E61" w:rsidP="00556FF5">
      <w:pPr>
        <w:jc w:val="both"/>
        <w:rPr>
          <w:rFonts w:ascii="Tahoma" w:hAnsi="Tahoma" w:cs="Tahoma"/>
          <w:sz w:val="20"/>
          <w:szCs w:val="20"/>
        </w:rPr>
      </w:pPr>
    </w:p>
    <w:p w14:paraId="381702E5" w14:textId="4D1FF4E0" w:rsidR="00616E61" w:rsidRPr="0015760B" w:rsidRDefault="00616E61" w:rsidP="00556FF5">
      <w:pPr>
        <w:jc w:val="both"/>
        <w:rPr>
          <w:rFonts w:ascii="Tahoma" w:hAnsi="Tahoma" w:cs="Tahoma"/>
          <w:sz w:val="20"/>
          <w:szCs w:val="20"/>
        </w:rPr>
      </w:pPr>
      <w:r>
        <w:rPr>
          <w:rFonts w:ascii="Tahoma" w:hAnsi="Tahoma" w:cs="Tahoma"/>
          <w:sz w:val="20"/>
          <w:szCs w:val="20"/>
        </w:rPr>
        <w:t xml:space="preserve">Punchline: </w:t>
      </w:r>
      <w:r w:rsidR="002D79B1" w:rsidRPr="002D79B1">
        <w:rPr>
          <w:rFonts w:ascii="Tahoma" w:hAnsi="Tahoma" w:cs="Tahoma"/>
          <w:sz w:val="20"/>
          <w:szCs w:val="20"/>
        </w:rPr>
        <w:t>This imbalance in options activity highlights bearish sentiment driven by GTIM’s operational inefficiencies and institutional risks—an urgent call for management to address these issues.</w:t>
      </w:r>
    </w:p>
    <w:p w14:paraId="7A72B129" w14:textId="24CC3BBA" w:rsidR="0039796D" w:rsidRDefault="00221425" w:rsidP="00556FF5">
      <w:pPr>
        <w:jc w:val="both"/>
        <w:rPr>
          <w:rFonts w:ascii="Tahoma" w:hAnsi="Tahoma" w:cs="Tahoma"/>
          <w:sz w:val="20"/>
          <w:szCs w:val="20"/>
        </w:rPr>
      </w:pPr>
      <w:r>
        <w:rPr>
          <w:rFonts w:ascii="Tahoma" w:hAnsi="Tahoma" w:cs="Tahoma"/>
          <w:noProof/>
          <w:sz w:val="20"/>
          <w:szCs w:val="20"/>
        </w:rPr>
        <w:drawing>
          <wp:inline distT="0" distB="0" distL="0" distR="0" wp14:anchorId="4A1C233D" wp14:editId="475D7FD8">
            <wp:extent cx="5943600" cy="1703070"/>
            <wp:effectExtent l="0" t="0" r="0" b="0"/>
            <wp:docPr id="246523148" name="Picture 11"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523148" name="Picture 11" descr="A screenshot of a scree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703070"/>
                    </a:xfrm>
                    <a:prstGeom prst="rect">
                      <a:avLst/>
                    </a:prstGeom>
                  </pic:spPr>
                </pic:pic>
              </a:graphicData>
            </a:graphic>
          </wp:inline>
        </w:drawing>
      </w:r>
    </w:p>
    <w:p w14:paraId="161B888E" w14:textId="77777777" w:rsidR="004565B4" w:rsidRDefault="004565B4" w:rsidP="00556FF5">
      <w:pPr>
        <w:jc w:val="both"/>
        <w:rPr>
          <w:rFonts w:ascii="Tahoma" w:hAnsi="Tahoma" w:cs="Tahoma"/>
          <w:sz w:val="20"/>
          <w:szCs w:val="20"/>
        </w:rPr>
      </w:pPr>
    </w:p>
    <w:p w14:paraId="2154CB8C" w14:textId="79B172D8" w:rsidR="004565B4" w:rsidRDefault="004565B4" w:rsidP="00556FF5">
      <w:pPr>
        <w:jc w:val="both"/>
        <w:rPr>
          <w:rFonts w:ascii="Tahoma" w:hAnsi="Tahoma" w:cs="Tahoma"/>
          <w:sz w:val="20"/>
          <w:szCs w:val="20"/>
        </w:rPr>
      </w:pPr>
      <w:r>
        <w:rPr>
          <w:rFonts w:ascii="Tahoma" w:hAnsi="Tahoma" w:cs="Tahoma"/>
          <w:sz w:val="20"/>
          <w:szCs w:val="20"/>
        </w:rPr>
        <w:t xml:space="preserve">Year over Year growth in revenue and restaurant expenses. </w:t>
      </w:r>
    </w:p>
    <w:p w14:paraId="52FB15AE" w14:textId="77777777" w:rsidR="004565B4" w:rsidRDefault="004565B4" w:rsidP="00556FF5">
      <w:pPr>
        <w:jc w:val="both"/>
        <w:rPr>
          <w:rFonts w:ascii="Tahoma" w:hAnsi="Tahoma" w:cs="Tahoma"/>
          <w:sz w:val="20"/>
          <w:szCs w:val="20"/>
        </w:rPr>
      </w:pPr>
    </w:p>
    <w:bookmarkEnd w:id="1"/>
    <w:p w14:paraId="20B615D1" w14:textId="0CD00B68" w:rsidR="004565B4" w:rsidRDefault="004565B4" w:rsidP="00556FF5">
      <w:pPr>
        <w:jc w:val="both"/>
        <w:rPr>
          <w:rFonts w:ascii="Tahoma" w:hAnsi="Tahoma" w:cs="Tahoma"/>
          <w:sz w:val="20"/>
          <w:szCs w:val="20"/>
        </w:rPr>
      </w:pPr>
      <w:r>
        <w:rPr>
          <w:noProof/>
        </w:rPr>
        <w:lastRenderedPageBreak/>
        <w:drawing>
          <wp:inline distT="0" distB="0" distL="0" distR="0" wp14:anchorId="245252AD" wp14:editId="27EC0730">
            <wp:extent cx="6770329" cy="2869660"/>
            <wp:effectExtent l="0" t="0" r="12065" b="13335"/>
            <wp:docPr id="1898862476" name="Chart 1">
              <a:extLst xmlns:a="http://schemas.openxmlformats.org/drawingml/2006/main">
                <a:ext uri="{FF2B5EF4-FFF2-40B4-BE49-F238E27FC236}">
                  <a16:creationId xmlns:a16="http://schemas.microsoft.com/office/drawing/2014/main" id="{9D9A1089-A716-1022-1CBC-D04A5E67D5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bookmarkEnd w:id="0"/>
    </w:p>
    <w:sectPr w:rsidR="00456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C07B3"/>
    <w:multiLevelType w:val="multilevel"/>
    <w:tmpl w:val="FCF62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F75621"/>
    <w:multiLevelType w:val="multilevel"/>
    <w:tmpl w:val="0DBE7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10BDC"/>
    <w:multiLevelType w:val="multilevel"/>
    <w:tmpl w:val="5892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17226B"/>
    <w:multiLevelType w:val="hybridMultilevel"/>
    <w:tmpl w:val="59DCC92C"/>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4" w15:restartNumberingAfterBreak="0">
    <w:nsid w:val="2A082DFB"/>
    <w:multiLevelType w:val="multilevel"/>
    <w:tmpl w:val="667E6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2A45D6"/>
    <w:multiLevelType w:val="hybridMultilevel"/>
    <w:tmpl w:val="69569A10"/>
    <w:lvl w:ilvl="0" w:tplc="27DC6CA2">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F80D7E"/>
    <w:multiLevelType w:val="multilevel"/>
    <w:tmpl w:val="D138D8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2946AB"/>
    <w:multiLevelType w:val="hybridMultilevel"/>
    <w:tmpl w:val="38F8E220"/>
    <w:lvl w:ilvl="0" w:tplc="38DCD5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E721145"/>
    <w:multiLevelType w:val="multilevel"/>
    <w:tmpl w:val="7C5E9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A876BB"/>
    <w:multiLevelType w:val="multilevel"/>
    <w:tmpl w:val="6BAAB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2E5561"/>
    <w:multiLevelType w:val="hybridMultilevel"/>
    <w:tmpl w:val="6C626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272762"/>
    <w:multiLevelType w:val="multilevel"/>
    <w:tmpl w:val="4B80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BD5BF5"/>
    <w:multiLevelType w:val="hybridMultilevel"/>
    <w:tmpl w:val="6630B4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9F521B"/>
    <w:multiLevelType w:val="hybridMultilevel"/>
    <w:tmpl w:val="A538FD3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63339B"/>
    <w:multiLevelType w:val="multilevel"/>
    <w:tmpl w:val="1EFA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AA6AEE"/>
    <w:multiLevelType w:val="multilevel"/>
    <w:tmpl w:val="F6AE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9D3E5A"/>
    <w:multiLevelType w:val="multilevel"/>
    <w:tmpl w:val="A584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152620"/>
    <w:multiLevelType w:val="multilevel"/>
    <w:tmpl w:val="BC163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405770"/>
    <w:multiLevelType w:val="multilevel"/>
    <w:tmpl w:val="62A8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C77608"/>
    <w:multiLevelType w:val="multilevel"/>
    <w:tmpl w:val="BA722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DD05F8"/>
    <w:multiLevelType w:val="multilevel"/>
    <w:tmpl w:val="4976B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6B2547"/>
    <w:multiLevelType w:val="multilevel"/>
    <w:tmpl w:val="83E42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520D05"/>
    <w:multiLevelType w:val="multilevel"/>
    <w:tmpl w:val="76D41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BA7684"/>
    <w:multiLevelType w:val="multilevel"/>
    <w:tmpl w:val="D4C89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2216BD"/>
    <w:multiLevelType w:val="multilevel"/>
    <w:tmpl w:val="26F6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163635"/>
    <w:multiLevelType w:val="multilevel"/>
    <w:tmpl w:val="7534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617DAF"/>
    <w:multiLevelType w:val="multilevel"/>
    <w:tmpl w:val="E620E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D85750"/>
    <w:multiLevelType w:val="multilevel"/>
    <w:tmpl w:val="51940A76"/>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135B58"/>
    <w:multiLevelType w:val="multilevel"/>
    <w:tmpl w:val="2DEAD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BB4390"/>
    <w:multiLevelType w:val="multilevel"/>
    <w:tmpl w:val="76948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1802319">
    <w:abstractNumId w:val="13"/>
  </w:num>
  <w:num w:numId="2" w16cid:durableId="2104452674">
    <w:abstractNumId w:val="19"/>
  </w:num>
  <w:num w:numId="3" w16cid:durableId="325205930">
    <w:abstractNumId w:val="21"/>
  </w:num>
  <w:num w:numId="4" w16cid:durableId="1713071720">
    <w:abstractNumId w:val="1"/>
  </w:num>
  <w:num w:numId="5" w16cid:durableId="845285307">
    <w:abstractNumId w:val="29"/>
  </w:num>
  <w:num w:numId="6" w16cid:durableId="2000189577">
    <w:abstractNumId w:val="8"/>
  </w:num>
  <w:num w:numId="7" w16cid:durableId="1323042984">
    <w:abstractNumId w:val="22"/>
  </w:num>
  <w:num w:numId="8" w16cid:durableId="1770811219">
    <w:abstractNumId w:val="7"/>
  </w:num>
  <w:num w:numId="9" w16cid:durableId="403141290">
    <w:abstractNumId w:val="12"/>
  </w:num>
  <w:num w:numId="10" w16cid:durableId="2145466418">
    <w:abstractNumId w:val="5"/>
  </w:num>
  <w:num w:numId="11" w16cid:durableId="1701666179">
    <w:abstractNumId w:val="9"/>
  </w:num>
  <w:num w:numId="12" w16cid:durableId="525557677">
    <w:abstractNumId w:val="2"/>
  </w:num>
  <w:num w:numId="13" w16cid:durableId="147215286">
    <w:abstractNumId w:val="15"/>
  </w:num>
  <w:num w:numId="14" w16cid:durableId="1168639460">
    <w:abstractNumId w:val="26"/>
  </w:num>
  <w:num w:numId="15" w16cid:durableId="213929134">
    <w:abstractNumId w:val="11"/>
  </w:num>
  <w:num w:numId="16" w16cid:durableId="1722631076">
    <w:abstractNumId w:val="27"/>
  </w:num>
  <w:num w:numId="17" w16cid:durableId="1424111750">
    <w:abstractNumId w:val="14"/>
  </w:num>
  <w:num w:numId="18" w16cid:durableId="1224871387">
    <w:abstractNumId w:val="24"/>
  </w:num>
  <w:num w:numId="19" w16cid:durableId="369384314">
    <w:abstractNumId w:val="16"/>
  </w:num>
  <w:num w:numId="20" w16cid:durableId="1857303943">
    <w:abstractNumId w:val="6"/>
  </w:num>
  <w:num w:numId="21" w16cid:durableId="1371538924">
    <w:abstractNumId w:val="4"/>
  </w:num>
  <w:num w:numId="22" w16cid:durableId="784037914">
    <w:abstractNumId w:val="18"/>
  </w:num>
  <w:num w:numId="23" w16cid:durableId="341007196">
    <w:abstractNumId w:val="0"/>
  </w:num>
  <w:num w:numId="24" w16cid:durableId="320618274">
    <w:abstractNumId w:val="10"/>
  </w:num>
  <w:num w:numId="25" w16cid:durableId="1721519745">
    <w:abstractNumId w:val="25"/>
  </w:num>
  <w:num w:numId="26" w16cid:durableId="1847595186">
    <w:abstractNumId w:val="3"/>
  </w:num>
  <w:num w:numId="27" w16cid:durableId="1612787037">
    <w:abstractNumId w:val="20"/>
  </w:num>
  <w:num w:numId="28" w16cid:durableId="459229656">
    <w:abstractNumId w:val="28"/>
  </w:num>
  <w:num w:numId="29" w16cid:durableId="1569610743">
    <w:abstractNumId w:val="23"/>
  </w:num>
  <w:num w:numId="30" w16cid:durableId="6031517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C0A"/>
    <w:rsid w:val="00060F8D"/>
    <w:rsid w:val="0006524E"/>
    <w:rsid w:val="000824EA"/>
    <w:rsid w:val="000C5549"/>
    <w:rsid w:val="0011368A"/>
    <w:rsid w:val="0015760B"/>
    <w:rsid w:val="001B0AB9"/>
    <w:rsid w:val="001B19BB"/>
    <w:rsid w:val="001D17B3"/>
    <w:rsid w:val="001D369D"/>
    <w:rsid w:val="00221425"/>
    <w:rsid w:val="00223F7F"/>
    <w:rsid w:val="00272C18"/>
    <w:rsid w:val="00295EF6"/>
    <w:rsid w:val="002D79B1"/>
    <w:rsid w:val="003054B6"/>
    <w:rsid w:val="00331EE1"/>
    <w:rsid w:val="00343347"/>
    <w:rsid w:val="0035485B"/>
    <w:rsid w:val="00375199"/>
    <w:rsid w:val="0039796D"/>
    <w:rsid w:val="003B03C6"/>
    <w:rsid w:val="003C53F6"/>
    <w:rsid w:val="00416C0A"/>
    <w:rsid w:val="004565B4"/>
    <w:rsid w:val="00456677"/>
    <w:rsid w:val="00465A73"/>
    <w:rsid w:val="004867C2"/>
    <w:rsid w:val="00501758"/>
    <w:rsid w:val="005428A6"/>
    <w:rsid w:val="00556FF5"/>
    <w:rsid w:val="0057530A"/>
    <w:rsid w:val="005B7CF2"/>
    <w:rsid w:val="005C48E3"/>
    <w:rsid w:val="005C5C6F"/>
    <w:rsid w:val="005D1096"/>
    <w:rsid w:val="00611361"/>
    <w:rsid w:val="00616E61"/>
    <w:rsid w:val="0066426D"/>
    <w:rsid w:val="006B114A"/>
    <w:rsid w:val="006B7F3E"/>
    <w:rsid w:val="006C0F44"/>
    <w:rsid w:val="006D11CA"/>
    <w:rsid w:val="006D452C"/>
    <w:rsid w:val="007848A0"/>
    <w:rsid w:val="007932F9"/>
    <w:rsid w:val="007B1A2D"/>
    <w:rsid w:val="007C6225"/>
    <w:rsid w:val="007F437F"/>
    <w:rsid w:val="00804590"/>
    <w:rsid w:val="00812651"/>
    <w:rsid w:val="00821121"/>
    <w:rsid w:val="00840726"/>
    <w:rsid w:val="008536A4"/>
    <w:rsid w:val="008D19D2"/>
    <w:rsid w:val="008E035A"/>
    <w:rsid w:val="008E7356"/>
    <w:rsid w:val="008F1312"/>
    <w:rsid w:val="00906036"/>
    <w:rsid w:val="00910C6C"/>
    <w:rsid w:val="0091290C"/>
    <w:rsid w:val="009534B2"/>
    <w:rsid w:val="00966C9A"/>
    <w:rsid w:val="009B0515"/>
    <w:rsid w:val="00A20CFD"/>
    <w:rsid w:val="00A80EB0"/>
    <w:rsid w:val="00A945F1"/>
    <w:rsid w:val="00AA571E"/>
    <w:rsid w:val="00AB3C27"/>
    <w:rsid w:val="00B02757"/>
    <w:rsid w:val="00B32D50"/>
    <w:rsid w:val="00B34D4A"/>
    <w:rsid w:val="00C11C69"/>
    <w:rsid w:val="00C71D39"/>
    <w:rsid w:val="00CF5D94"/>
    <w:rsid w:val="00D52271"/>
    <w:rsid w:val="00D53B66"/>
    <w:rsid w:val="00D6312C"/>
    <w:rsid w:val="00DC01E6"/>
    <w:rsid w:val="00E17EA2"/>
    <w:rsid w:val="00E42224"/>
    <w:rsid w:val="00ED65B2"/>
    <w:rsid w:val="00F3357A"/>
    <w:rsid w:val="00F82BAD"/>
    <w:rsid w:val="00FA303B"/>
    <w:rsid w:val="00FB7FA1"/>
    <w:rsid w:val="00FD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2B637"/>
  <w15:chartTrackingRefBased/>
  <w15:docId w15:val="{FA2E1EC1-6A57-CB44-B875-E75E17F1A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C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6C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6C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6C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6C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6C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6C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6C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C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C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6C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6C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6C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6C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6C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6C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6C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C0A"/>
    <w:rPr>
      <w:rFonts w:eastAsiaTheme="majorEastAsia" w:cstheme="majorBidi"/>
      <w:color w:val="272727" w:themeColor="text1" w:themeTint="D8"/>
    </w:rPr>
  </w:style>
  <w:style w:type="paragraph" w:styleId="Title">
    <w:name w:val="Title"/>
    <w:basedOn w:val="Normal"/>
    <w:next w:val="Normal"/>
    <w:link w:val="TitleChar"/>
    <w:uiPriority w:val="10"/>
    <w:qFormat/>
    <w:rsid w:val="00416C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C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6C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6C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C0A"/>
    <w:pPr>
      <w:spacing w:before="160"/>
      <w:jc w:val="center"/>
    </w:pPr>
    <w:rPr>
      <w:i/>
      <w:iCs/>
      <w:color w:val="404040" w:themeColor="text1" w:themeTint="BF"/>
    </w:rPr>
  </w:style>
  <w:style w:type="character" w:customStyle="1" w:styleId="QuoteChar">
    <w:name w:val="Quote Char"/>
    <w:basedOn w:val="DefaultParagraphFont"/>
    <w:link w:val="Quote"/>
    <w:uiPriority w:val="29"/>
    <w:rsid w:val="00416C0A"/>
    <w:rPr>
      <w:i/>
      <w:iCs/>
      <w:color w:val="404040" w:themeColor="text1" w:themeTint="BF"/>
    </w:rPr>
  </w:style>
  <w:style w:type="paragraph" w:styleId="ListParagraph">
    <w:name w:val="List Paragraph"/>
    <w:basedOn w:val="Normal"/>
    <w:uiPriority w:val="34"/>
    <w:qFormat/>
    <w:rsid w:val="00416C0A"/>
    <w:pPr>
      <w:ind w:left="720"/>
      <w:contextualSpacing/>
    </w:pPr>
  </w:style>
  <w:style w:type="character" w:styleId="IntenseEmphasis">
    <w:name w:val="Intense Emphasis"/>
    <w:basedOn w:val="DefaultParagraphFont"/>
    <w:uiPriority w:val="21"/>
    <w:qFormat/>
    <w:rsid w:val="00416C0A"/>
    <w:rPr>
      <w:i/>
      <w:iCs/>
      <w:color w:val="0F4761" w:themeColor="accent1" w:themeShade="BF"/>
    </w:rPr>
  </w:style>
  <w:style w:type="paragraph" w:styleId="IntenseQuote">
    <w:name w:val="Intense Quote"/>
    <w:basedOn w:val="Normal"/>
    <w:next w:val="Normal"/>
    <w:link w:val="IntenseQuoteChar"/>
    <w:uiPriority w:val="30"/>
    <w:qFormat/>
    <w:rsid w:val="00416C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6C0A"/>
    <w:rPr>
      <w:i/>
      <w:iCs/>
      <w:color w:val="0F4761" w:themeColor="accent1" w:themeShade="BF"/>
    </w:rPr>
  </w:style>
  <w:style w:type="character" w:styleId="IntenseReference">
    <w:name w:val="Intense Reference"/>
    <w:basedOn w:val="DefaultParagraphFont"/>
    <w:uiPriority w:val="32"/>
    <w:qFormat/>
    <w:rsid w:val="00416C0A"/>
    <w:rPr>
      <w:b/>
      <w:bCs/>
      <w:smallCaps/>
      <w:color w:val="0F4761" w:themeColor="accent1" w:themeShade="BF"/>
      <w:spacing w:val="5"/>
    </w:rPr>
  </w:style>
  <w:style w:type="character" w:styleId="Hyperlink">
    <w:name w:val="Hyperlink"/>
    <w:basedOn w:val="DefaultParagraphFont"/>
    <w:uiPriority w:val="99"/>
    <w:unhideWhenUsed/>
    <w:rsid w:val="007932F9"/>
    <w:rPr>
      <w:color w:val="467886" w:themeColor="hyperlink"/>
      <w:u w:val="single"/>
    </w:rPr>
  </w:style>
  <w:style w:type="character" w:styleId="UnresolvedMention">
    <w:name w:val="Unresolved Mention"/>
    <w:basedOn w:val="DefaultParagraphFont"/>
    <w:uiPriority w:val="99"/>
    <w:semiHidden/>
    <w:unhideWhenUsed/>
    <w:rsid w:val="007932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3053">
      <w:bodyDiv w:val="1"/>
      <w:marLeft w:val="0"/>
      <w:marRight w:val="0"/>
      <w:marTop w:val="0"/>
      <w:marBottom w:val="0"/>
      <w:divBdr>
        <w:top w:val="none" w:sz="0" w:space="0" w:color="auto"/>
        <w:left w:val="none" w:sz="0" w:space="0" w:color="auto"/>
        <w:bottom w:val="none" w:sz="0" w:space="0" w:color="auto"/>
        <w:right w:val="none" w:sz="0" w:space="0" w:color="auto"/>
      </w:divBdr>
    </w:div>
    <w:div w:id="38938120">
      <w:bodyDiv w:val="1"/>
      <w:marLeft w:val="0"/>
      <w:marRight w:val="0"/>
      <w:marTop w:val="0"/>
      <w:marBottom w:val="0"/>
      <w:divBdr>
        <w:top w:val="none" w:sz="0" w:space="0" w:color="auto"/>
        <w:left w:val="none" w:sz="0" w:space="0" w:color="auto"/>
        <w:bottom w:val="none" w:sz="0" w:space="0" w:color="auto"/>
        <w:right w:val="none" w:sz="0" w:space="0" w:color="auto"/>
      </w:divBdr>
    </w:div>
    <w:div w:id="50154404">
      <w:bodyDiv w:val="1"/>
      <w:marLeft w:val="0"/>
      <w:marRight w:val="0"/>
      <w:marTop w:val="0"/>
      <w:marBottom w:val="0"/>
      <w:divBdr>
        <w:top w:val="none" w:sz="0" w:space="0" w:color="auto"/>
        <w:left w:val="none" w:sz="0" w:space="0" w:color="auto"/>
        <w:bottom w:val="none" w:sz="0" w:space="0" w:color="auto"/>
        <w:right w:val="none" w:sz="0" w:space="0" w:color="auto"/>
      </w:divBdr>
    </w:div>
    <w:div w:id="93945837">
      <w:bodyDiv w:val="1"/>
      <w:marLeft w:val="0"/>
      <w:marRight w:val="0"/>
      <w:marTop w:val="0"/>
      <w:marBottom w:val="0"/>
      <w:divBdr>
        <w:top w:val="none" w:sz="0" w:space="0" w:color="auto"/>
        <w:left w:val="none" w:sz="0" w:space="0" w:color="auto"/>
        <w:bottom w:val="none" w:sz="0" w:space="0" w:color="auto"/>
        <w:right w:val="none" w:sz="0" w:space="0" w:color="auto"/>
      </w:divBdr>
    </w:div>
    <w:div w:id="135607283">
      <w:bodyDiv w:val="1"/>
      <w:marLeft w:val="0"/>
      <w:marRight w:val="0"/>
      <w:marTop w:val="0"/>
      <w:marBottom w:val="0"/>
      <w:divBdr>
        <w:top w:val="none" w:sz="0" w:space="0" w:color="auto"/>
        <w:left w:val="none" w:sz="0" w:space="0" w:color="auto"/>
        <w:bottom w:val="none" w:sz="0" w:space="0" w:color="auto"/>
        <w:right w:val="none" w:sz="0" w:space="0" w:color="auto"/>
      </w:divBdr>
    </w:div>
    <w:div w:id="240258443">
      <w:bodyDiv w:val="1"/>
      <w:marLeft w:val="0"/>
      <w:marRight w:val="0"/>
      <w:marTop w:val="0"/>
      <w:marBottom w:val="0"/>
      <w:divBdr>
        <w:top w:val="none" w:sz="0" w:space="0" w:color="auto"/>
        <w:left w:val="none" w:sz="0" w:space="0" w:color="auto"/>
        <w:bottom w:val="none" w:sz="0" w:space="0" w:color="auto"/>
        <w:right w:val="none" w:sz="0" w:space="0" w:color="auto"/>
      </w:divBdr>
    </w:div>
    <w:div w:id="244531113">
      <w:bodyDiv w:val="1"/>
      <w:marLeft w:val="0"/>
      <w:marRight w:val="0"/>
      <w:marTop w:val="0"/>
      <w:marBottom w:val="0"/>
      <w:divBdr>
        <w:top w:val="none" w:sz="0" w:space="0" w:color="auto"/>
        <w:left w:val="none" w:sz="0" w:space="0" w:color="auto"/>
        <w:bottom w:val="none" w:sz="0" w:space="0" w:color="auto"/>
        <w:right w:val="none" w:sz="0" w:space="0" w:color="auto"/>
      </w:divBdr>
    </w:div>
    <w:div w:id="253707701">
      <w:bodyDiv w:val="1"/>
      <w:marLeft w:val="0"/>
      <w:marRight w:val="0"/>
      <w:marTop w:val="0"/>
      <w:marBottom w:val="0"/>
      <w:divBdr>
        <w:top w:val="none" w:sz="0" w:space="0" w:color="auto"/>
        <w:left w:val="none" w:sz="0" w:space="0" w:color="auto"/>
        <w:bottom w:val="none" w:sz="0" w:space="0" w:color="auto"/>
        <w:right w:val="none" w:sz="0" w:space="0" w:color="auto"/>
      </w:divBdr>
    </w:div>
    <w:div w:id="321543592">
      <w:bodyDiv w:val="1"/>
      <w:marLeft w:val="0"/>
      <w:marRight w:val="0"/>
      <w:marTop w:val="0"/>
      <w:marBottom w:val="0"/>
      <w:divBdr>
        <w:top w:val="none" w:sz="0" w:space="0" w:color="auto"/>
        <w:left w:val="none" w:sz="0" w:space="0" w:color="auto"/>
        <w:bottom w:val="none" w:sz="0" w:space="0" w:color="auto"/>
        <w:right w:val="none" w:sz="0" w:space="0" w:color="auto"/>
      </w:divBdr>
    </w:div>
    <w:div w:id="326910350">
      <w:bodyDiv w:val="1"/>
      <w:marLeft w:val="0"/>
      <w:marRight w:val="0"/>
      <w:marTop w:val="0"/>
      <w:marBottom w:val="0"/>
      <w:divBdr>
        <w:top w:val="none" w:sz="0" w:space="0" w:color="auto"/>
        <w:left w:val="none" w:sz="0" w:space="0" w:color="auto"/>
        <w:bottom w:val="none" w:sz="0" w:space="0" w:color="auto"/>
        <w:right w:val="none" w:sz="0" w:space="0" w:color="auto"/>
      </w:divBdr>
    </w:div>
    <w:div w:id="333387147">
      <w:bodyDiv w:val="1"/>
      <w:marLeft w:val="0"/>
      <w:marRight w:val="0"/>
      <w:marTop w:val="0"/>
      <w:marBottom w:val="0"/>
      <w:divBdr>
        <w:top w:val="none" w:sz="0" w:space="0" w:color="auto"/>
        <w:left w:val="none" w:sz="0" w:space="0" w:color="auto"/>
        <w:bottom w:val="none" w:sz="0" w:space="0" w:color="auto"/>
        <w:right w:val="none" w:sz="0" w:space="0" w:color="auto"/>
      </w:divBdr>
    </w:div>
    <w:div w:id="363101148">
      <w:bodyDiv w:val="1"/>
      <w:marLeft w:val="0"/>
      <w:marRight w:val="0"/>
      <w:marTop w:val="0"/>
      <w:marBottom w:val="0"/>
      <w:divBdr>
        <w:top w:val="none" w:sz="0" w:space="0" w:color="auto"/>
        <w:left w:val="none" w:sz="0" w:space="0" w:color="auto"/>
        <w:bottom w:val="none" w:sz="0" w:space="0" w:color="auto"/>
        <w:right w:val="none" w:sz="0" w:space="0" w:color="auto"/>
      </w:divBdr>
    </w:div>
    <w:div w:id="398870161">
      <w:bodyDiv w:val="1"/>
      <w:marLeft w:val="0"/>
      <w:marRight w:val="0"/>
      <w:marTop w:val="0"/>
      <w:marBottom w:val="0"/>
      <w:divBdr>
        <w:top w:val="none" w:sz="0" w:space="0" w:color="auto"/>
        <w:left w:val="none" w:sz="0" w:space="0" w:color="auto"/>
        <w:bottom w:val="none" w:sz="0" w:space="0" w:color="auto"/>
        <w:right w:val="none" w:sz="0" w:space="0" w:color="auto"/>
      </w:divBdr>
    </w:div>
    <w:div w:id="436215024">
      <w:bodyDiv w:val="1"/>
      <w:marLeft w:val="0"/>
      <w:marRight w:val="0"/>
      <w:marTop w:val="0"/>
      <w:marBottom w:val="0"/>
      <w:divBdr>
        <w:top w:val="none" w:sz="0" w:space="0" w:color="auto"/>
        <w:left w:val="none" w:sz="0" w:space="0" w:color="auto"/>
        <w:bottom w:val="none" w:sz="0" w:space="0" w:color="auto"/>
        <w:right w:val="none" w:sz="0" w:space="0" w:color="auto"/>
      </w:divBdr>
    </w:div>
    <w:div w:id="490099449">
      <w:bodyDiv w:val="1"/>
      <w:marLeft w:val="0"/>
      <w:marRight w:val="0"/>
      <w:marTop w:val="0"/>
      <w:marBottom w:val="0"/>
      <w:divBdr>
        <w:top w:val="none" w:sz="0" w:space="0" w:color="auto"/>
        <w:left w:val="none" w:sz="0" w:space="0" w:color="auto"/>
        <w:bottom w:val="none" w:sz="0" w:space="0" w:color="auto"/>
        <w:right w:val="none" w:sz="0" w:space="0" w:color="auto"/>
      </w:divBdr>
    </w:div>
    <w:div w:id="561477856">
      <w:bodyDiv w:val="1"/>
      <w:marLeft w:val="0"/>
      <w:marRight w:val="0"/>
      <w:marTop w:val="0"/>
      <w:marBottom w:val="0"/>
      <w:divBdr>
        <w:top w:val="none" w:sz="0" w:space="0" w:color="auto"/>
        <w:left w:val="none" w:sz="0" w:space="0" w:color="auto"/>
        <w:bottom w:val="none" w:sz="0" w:space="0" w:color="auto"/>
        <w:right w:val="none" w:sz="0" w:space="0" w:color="auto"/>
      </w:divBdr>
    </w:div>
    <w:div w:id="588854465">
      <w:bodyDiv w:val="1"/>
      <w:marLeft w:val="0"/>
      <w:marRight w:val="0"/>
      <w:marTop w:val="0"/>
      <w:marBottom w:val="0"/>
      <w:divBdr>
        <w:top w:val="none" w:sz="0" w:space="0" w:color="auto"/>
        <w:left w:val="none" w:sz="0" w:space="0" w:color="auto"/>
        <w:bottom w:val="none" w:sz="0" w:space="0" w:color="auto"/>
        <w:right w:val="none" w:sz="0" w:space="0" w:color="auto"/>
      </w:divBdr>
    </w:div>
    <w:div w:id="632753074">
      <w:bodyDiv w:val="1"/>
      <w:marLeft w:val="0"/>
      <w:marRight w:val="0"/>
      <w:marTop w:val="0"/>
      <w:marBottom w:val="0"/>
      <w:divBdr>
        <w:top w:val="none" w:sz="0" w:space="0" w:color="auto"/>
        <w:left w:val="none" w:sz="0" w:space="0" w:color="auto"/>
        <w:bottom w:val="none" w:sz="0" w:space="0" w:color="auto"/>
        <w:right w:val="none" w:sz="0" w:space="0" w:color="auto"/>
      </w:divBdr>
    </w:div>
    <w:div w:id="655381137">
      <w:bodyDiv w:val="1"/>
      <w:marLeft w:val="0"/>
      <w:marRight w:val="0"/>
      <w:marTop w:val="0"/>
      <w:marBottom w:val="0"/>
      <w:divBdr>
        <w:top w:val="none" w:sz="0" w:space="0" w:color="auto"/>
        <w:left w:val="none" w:sz="0" w:space="0" w:color="auto"/>
        <w:bottom w:val="none" w:sz="0" w:space="0" w:color="auto"/>
        <w:right w:val="none" w:sz="0" w:space="0" w:color="auto"/>
      </w:divBdr>
    </w:div>
    <w:div w:id="686369198">
      <w:bodyDiv w:val="1"/>
      <w:marLeft w:val="0"/>
      <w:marRight w:val="0"/>
      <w:marTop w:val="0"/>
      <w:marBottom w:val="0"/>
      <w:divBdr>
        <w:top w:val="none" w:sz="0" w:space="0" w:color="auto"/>
        <w:left w:val="none" w:sz="0" w:space="0" w:color="auto"/>
        <w:bottom w:val="none" w:sz="0" w:space="0" w:color="auto"/>
        <w:right w:val="none" w:sz="0" w:space="0" w:color="auto"/>
      </w:divBdr>
      <w:divsChild>
        <w:div w:id="194735613">
          <w:marLeft w:val="0"/>
          <w:marRight w:val="0"/>
          <w:marTop w:val="0"/>
          <w:marBottom w:val="0"/>
          <w:divBdr>
            <w:top w:val="none" w:sz="0" w:space="0" w:color="auto"/>
            <w:left w:val="none" w:sz="0" w:space="0" w:color="auto"/>
            <w:bottom w:val="none" w:sz="0" w:space="0" w:color="auto"/>
            <w:right w:val="none" w:sz="0" w:space="0" w:color="auto"/>
          </w:divBdr>
        </w:div>
        <w:div w:id="736586341">
          <w:marLeft w:val="0"/>
          <w:marRight w:val="0"/>
          <w:marTop w:val="0"/>
          <w:marBottom w:val="0"/>
          <w:divBdr>
            <w:top w:val="none" w:sz="0" w:space="0" w:color="auto"/>
            <w:left w:val="none" w:sz="0" w:space="0" w:color="auto"/>
            <w:bottom w:val="none" w:sz="0" w:space="0" w:color="auto"/>
            <w:right w:val="none" w:sz="0" w:space="0" w:color="auto"/>
          </w:divBdr>
        </w:div>
        <w:div w:id="1121849705">
          <w:marLeft w:val="0"/>
          <w:marRight w:val="0"/>
          <w:marTop w:val="0"/>
          <w:marBottom w:val="0"/>
          <w:divBdr>
            <w:top w:val="none" w:sz="0" w:space="0" w:color="auto"/>
            <w:left w:val="none" w:sz="0" w:space="0" w:color="auto"/>
            <w:bottom w:val="none" w:sz="0" w:space="0" w:color="auto"/>
            <w:right w:val="none" w:sz="0" w:space="0" w:color="auto"/>
          </w:divBdr>
        </w:div>
        <w:div w:id="1854301864">
          <w:marLeft w:val="0"/>
          <w:marRight w:val="0"/>
          <w:marTop w:val="0"/>
          <w:marBottom w:val="0"/>
          <w:divBdr>
            <w:top w:val="none" w:sz="0" w:space="0" w:color="auto"/>
            <w:left w:val="none" w:sz="0" w:space="0" w:color="auto"/>
            <w:bottom w:val="none" w:sz="0" w:space="0" w:color="auto"/>
            <w:right w:val="none" w:sz="0" w:space="0" w:color="auto"/>
          </w:divBdr>
        </w:div>
      </w:divsChild>
    </w:div>
    <w:div w:id="710616214">
      <w:bodyDiv w:val="1"/>
      <w:marLeft w:val="0"/>
      <w:marRight w:val="0"/>
      <w:marTop w:val="0"/>
      <w:marBottom w:val="0"/>
      <w:divBdr>
        <w:top w:val="none" w:sz="0" w:space="0" w:color="auto"/>
        <w:left w:val="none" w:sz="0" w:space="0" w:color="auto"/>
        <w:bottom w:val="none" w:sz="0" w:space="0" w:color="auto"/>
        <w:right w:val="none" w:sz="0" w:space="0" w:color="auto"/>
      </w:divBdr>
    </w:div>
    <w:div w:id="787049703">
      <w:bodyDiv w:val="1"/>
      <w:marLeft w:val="0"/>
      <w:marRight w:val="0"/>
      <w:marTop w:val="0"/>
      <w:marBottom w:val="0"/>
      <w:divBdr>
        <w:top w:val="none" w:sz="0" w:space="0" w:color="auto"/>
        <w:left w:val="none" w:sz="0" w:space="0" w:color="auto"/>
        <w:bottom w:val="none" w:sz="0" w:space="0" w:color="auto"/>
        <w:right w:val="none" w:sz="0" w:space="0" w:color="auto"/>
      </w:divBdr>
    </w:div>
    <w:div w:id="811021724">
      <w:bodyDiv w:val="1"/>
      <w:marLeft w:val="0"/>
      <w:marRight w:val="0"/>
      <w:marTop w:val="0"/>
      <w:marBottom w:val="0"/>
      <w:divBdr>
        <w:top w:val="none" w:sz="0" w:space="0" w:color="auto"/>
        <w:left w:val="none" w:sz="0" w:space="0" w:color="auto"/>
        <w:bottom w:val="none" w:sz="0" w:space="0" w:color="auto"/>
        <w:right w:val="none" w:sz="0" w:space="0" w:color="auto"/>
      </w:divBdr>
    </w:div>
    <w:div w:id="857503800">
      <w:bodyDiv w:val="1"/>
      <w:marLeft w:val="0"/>
      <w:marRight w:val="0"/>
      <w:marTop w:val="0"/>
      <w:marBottom w:val="0"/>
      <w:divBdr>
        <w:top w:val="none" w:sz="0" w:space="0" w:color="auto"/>
        <w:left w:val="none" w:sz="0" w:space="0" w:color="auto"/>
        <w:bottom w:val="none" w:sz="0" w:space="0" w:color="auto"/>
        <w:right w:val="none" w:sz="0" w:space="0" w:color="auto"/>
      </w:divBdr>
    </w:div>
    <w:div w:id="862328766">
      <w:bodyDiv w:val="1"/>
      <w:marLeft w:val="0"/>
      <w:marRight w:val="0"/>
      <w:marTop w:val="0"/>
      <w:marBottom w:val="0"/>
      <w:divBdr>
        <w:top w:val="none" w:sz="0" w:space="0" w:color="auto"/>
        <w:left w:val="none" w:sz="0" w:space="0" w:color="auto"/>
        <w:bottom w:val="none" w:sz="0" w:space="0" w:color="auto"/>
        <w:right w:val="none" w:sz="0" w:space="0" w:color="auto"/>
      </w:divBdr>
    </w:div>
    <w:div w:id="897325131">
      <w:bodyDiv w:val="1"/>
      <w:marLeft w:val="0"/>
      <w:marRight w:val="0"/>
      <w:marTop w:val="0"/>
      <w:marBottom w:val="0"/>
      <w:divBdr>
        <w:top w:val="none" w:sz="0" w:space="0" w:color="auto"/>
        <w:left w:val="none" w:sz="0" w:space="0" w:color="auto"/>
        <w:bottom w:val="none" w:sz="0" w:space="0" w:color="auto"/>
        <w:right w:val="none" w:sz="0" w:space="0" w:color="auto"/>
      </w:divBdr>
    </w:div>
    <w:div w:id="914704677">
      <w:bodyDiv w:val="1"/>
      <w:marLeft w:val="0"/>
      <w:marRight w:val="0"/>
      <w:marTop w:val="0"/>
      <w:marBottom w:val="0"/>
      <w:divBdr>
        <w:top w:val="none" w:sz="0" w:space="0" w:color="auto"/>
        <w:left w:val="none" w:sz="0" w:space="0" w:color="auto"/>
        <w:bottom w:val="none" w:sz="0" w:space="0" w:color="auto"/>
        <w:right w:val="none" w:sz="0" w:space="0" w:color="auto"/>
      </w:divBdr>
    </w:div>
    <w:div w:id="961306815">
      <w:bodyDiv w:val="1"/>
      <w:marLeft w:val="0"/>
      <w:marRight w:val="0"/>
      <w:marTop w:val="0"/>
      <w:marBottom w:val="0"/>
      <w:divBdr>
        <w:top w:val="none" w:sz="0" w:space="0" w:color="auto"/>
        <w:left w:val="none" w:sz="0" w:space="0" w:color="auto"/>
        <w:bottom w:val="none" w:sz="0" w:space="0" w:color="auto"/>
        <w:right w:val="none" w:sz="0" w:space="0" w:color="auto"/>
      </w:divBdr>
    </w:div>
    <w:div w:id="966079996">
      <w:bodyDiv w:val="1"/>
      <w:marLeft w:val="0"/>
      <w:marRight w:val="0"/>
      <w:marTop w:val="0"/>
      <w:marBottom w:val="0"/>
      <w:divBdr>
        <w:top w:val="none" w:sz="0" w:space="0" w:color="auto"/>
        <w:left w:val="none" w:sz="0" w:space="0" w:color="auto"/>
        <w:bottom w:val="none" w:sz="0" w:space="0" w:color="auto"/>
        <w:right w:val="none" w:sz="0" w:space="0" w:color="auto"/>
      </w:divBdr>
    </w:div>
    <w:div w:id="989673207">
      <w:bodyDiv w:val="1"/>
      <w:marLeft w:val="0"/>
      <w:marRight w:val="0"/>
      <w:marTop w:val="0"/>
      <w:marBottom w:val="0"/>
      <w:divBdr>
        <w:top w:val="none" w:sz="0" w:space="0" w:color="auto"/>
        <w:left w:val="none" w:sz="0" w:space="0" w:color="auto"/>
        <w:bottom w:val="none" w:sz="0" w:space="0" w:color="auto"/>
        <w:right w:val="none" w:sz="0" w:space="0" w:color="auto"/>
      </w:divBdr>
    </w:div>
    <w:div w:id="997879856">
      <w:bodyDiv w:val="1"/>
      <w:marLeft w:val="0"/>
      <w:marRight w:val="0"/>
      <w:marTop w:val="0"/>
      <w:marBottom w:val="0"/>
      <w:divBdr>
        <w:top w:val="none" w:sz="0" w:space="0" w:color="auto"/>
        <w:left w:val="none" w:sz="0" w:space="0" w:color="auto"/>
        <w:bottom w:val="none" w:sz="0" w:space="0" w:color="auto"/>
        <w:right w:val="none" w:sz="0" w:space="0" w:color="auto"/>
      </w:divBdr>
    </w:div>
    <w:div w:id="999238196">
      <w:bodyDiv w:val="1"/>
      <w:marLeft w:val="0"/>
      <w:marRight w:val="0"/>
      <w:marTop w:val="0"/>
      <w:marBottom w:val="0"/>
      <w:divBdr>
        <w:top w:val="none" w:sz="0" w:space="0" w:color="auto"/>
        <w:left w:val="none" w:sz="0" w:space="0" w:color="auto"/>
        <w:bottom w:val="none" w:sz="0" w:space="0" w:color="auto"/>
        <w:right w:val="none" w:sz="0" w:space="0" w:color="auto"/>
      </w:divBdr>
    </w:div>
    <w:div w:id="1002396396">
      <w:bodyDiv w:val="1"/>
      <w:marLeft w:val="0"/>
      <w:marRight w:val="0"/>
      <w:marTop w:val="0"/>
      <w:marBottom w:val="0"/>
      <w:divBdr>
        <w:top w:val="none" w:sz="0" w:space="0" w:color="auto"/>
        <w:left w:val="none" w:sz="0" w:space="0" w:color="auto"/>
        <w:bottom w:val="none" w:sz="0" w:space="0" w:color="auto"/>
        <w:right w:val="none" w:sz="0" w:space="0" w:color="auto"/>
      </w:divBdr>
      <w:divsChild>
        <w:div w:id="893394559">
          <w:marLeft w:val="0"/>
          <w:marRight w:val="0"/>
          <w:marTop w:val="0"/>
          <w:marBottom w:val="0"/>
          <w:divBdr>
            <w:top w:val="none" w:sz="0" w:space="0" w:color="auto"/>
            <w:left w:val="none" w:sz="0" w:space="0" w:color="auto"/>
            <w:bottom w:val="none" w:sz="0" w:space="0" w:color="auto"/>
            <w:right w:val="none" w:sz="0" w:space="0" w:color="auto"/>
          </w:divBdr>
        </w:div>
        <w:div w:id="54857910">
          <w:marLeft w:val="0"/>
          <w:marRight w:val="0"/>
          <w:marTop w:val="0"/>
          <w:marBottom w:val="0"/>
          <w:divBdr>
            <w:top w:val="none" w:sz="0" w:space="0" w:color="auto"/>
            <w:left w:val="none" w:sz="0" w:space="0" w:color="auto"/>
            <w:bottom w:val="none" w:sz="0" w:space="0" w:color="auto"/>
            <w:right w:val="none" w:sz="0" w:space="0" w:color="auto"/>
          </w:divBdr>
        </w:div>
        <w:div w:id="602304502">
          <w:marLeft w:val="0"/>
          <w:marRight w:val="0"/>
          <w:marTop w:val="0"/>
          <w:marBottom w:val="0"/>
          <w:divBdr>
            <w:top w:val="none" w:sz="0" w:space="0" w:color="auto"/>
            <w:left w:val="none" w:sz="0" w:space="0" w:color="auto"/>
            <w:bottom w:val="none" w:sz="0" w:space="0" w:color="auto"/>
            <w:right w:val="none" w:sz="0" w:space="0" w:color="auto"/>
          </w:divBdr>
        </w:div>
        <w:div w:id="1544051023">
          <w:marLeft w:val="0"/>
          <w:marRight w:val="0"/>
          <w:marTop w:val="0"/>
          <w:marBottom w:val="0"/>
          <w:divBdr>
            <w:top w:val="none" w:sz="0" w:space="0" w:color="auto"/>
            <w:left w:val="none" w:sz="0" w:space="0" w:color="auto"/>
            <w:bottom w:val="none" w:sz="0" w:space="0" w:color="auto"/>
            <w:right w:val="none" w:sz="0" w:space="0" w:color="auto"/>
          </w:divBdr>
        </w:div>
      </w:divsChild>
    </w:div>
    <w:div w:id="1072509720">
      <w:bodyDiv w:val="1"/>
      <w:marLeft w:val="0"/>
      <w:marRight w:val="0"/>
      <w:marTop w:val="0"/>
      <w:marBottom w:val="0"/>
      <w:divBdr>
        <w:top w:val="none" w:sz="0" w:space="0" w:color="auto"/>
        <w:left w:val="none" w:sz="0" w:space="0" w:color="auto"/>
        <w:bottom w:val="none" w:sz="0" w:space="0" w:color="auto"/>
        <w:right w:val="none" w:sz="0" w:space="0" w:color="auto"/>
      </w:divBdr>
    </w:div>
    <w:div w:id="1179468916">
      <w:bodyDiv w:val="1"/>
      <w:marLeft w:val="0"/>
      <w:marRight w:val="0"/>
      <w:marTop w:val="0"/>
      <w:marBottom w:val="0"/>
      <w:divBdr>
        <w:top w:val="none" w:sz="0" w:space="0" w:color="auto"/>
        <w:left w:val="none" w:sz="0" w:space="0" w:color="auto"/>
        <w:bottom w:val="none" w:sz="0" w:space="0" w:color="auto"/>
        <w:right w:val="none" w:sz="0" w:space="0" w:color="auto"/>
      </w:divBdr>
    </w:div>
    <w:div w:id="1182090562">
      <w:bodyDiv w:val="1"/>
      <w:marLeft w:val="0"/>
      <w:marRight w:val="0"/>
      <w:marTop w:val="0"/>
      <w:marBottom w:val="0"/>
      <w:divBdr>
        <w:top w:val="none" w:sz="0" w:space="0" w:color="auto"/>
        <w:left w:val="none" w:sz="0" w:space="0" w:color="auto"/>
        <w:bottom w:val="none" w:sz="0" w:space="0" w:color="auto"/>
        <w:right w:val="none" w:sz="0" w:space="0" w:color="auto"/>
      </w:divBdr>
    </w:div>
    <w:div w:id="1211499909">
      <w:bodyDiv w:val="1"/>
      <w:marLeft w:val="0"/>
      <w:marRight w:val="0"/>
      <w:marTop w:val="0"/>
      <w:marBottom w:val="0"/>
      <w:divBdr>
        <w:top w:val="none" w:sz="0" w:space="0" w:color="auto"/>
        <w:left w:val="none" w:sz="0" w:space="0" w:color="auto"/>
        <w:bottom w:val="none" w:sz="0" w:space="0" w:color="auto"/>
        <w:right w:val="none" w:sz="0" w:space="0" w:color="auto"/>
      </w:divBdr>
    </w:div>
    <w:div w:id="1229343866">
      <w:bodyDiv w:val="1"/>
      <w:marLeft w:val="0"/>
      <w:marRight w:val="0"/>
      <w:marTop w:val="0"/>
      <w:marBottom w:val="0"/>
      <w:divBdr>
        <w:top w:val="none" w:sz="0" w:space="0" w:color="auto"/>
        <w:left w:val="none" w:sz="0" w:space="0" w:color="auto"/>
        <w:bottom w:val="none" w:sz="0" w:space="0" w:color="auto"/>
        <w:right w:val="none" w:sz="0" w:space="0" w:color="auto"/>
      </w:divBdr>
    </w:div>
    <w:div w:id="1285039597">
      <w:bodyDiv w:val="1"/>
      <w:marLeft w:val="0"/>
      <w:marRight w:val="0"/>
      <w:marTop w:val="0"/>
      <w:marBottom w:val="0"/>
      <w:divBdr>
        <w:top w:val="none" w:sz="0" w:space="0" w:color="auto"/>
        <w:left w:val="none" w:sz="0" w:space="0" w:color="auto"/>
        <w:bottom w:val="none" w:sz="0" w:space="0" w:color="auto"/>
        <w:right w:val="none" w:sz="0" w:space="0" w:color="auto"/>
      </w:divBdr>
    </w:div>
    <w:div w:id="1291203554">
      <w:bodyDiv w:val="1"/>
      <w:marLeft w:val="0"/>
      <w:marRight w:val="0"/>
      <w:marTop w:val="0"/>
      <w:marBottom w:val="0"/>
      <w:divBdr>
        <w:top w:val="none" w:sz="0" w:space="0" w:color="auto"/>
        <w:left w:val="none" w:sz="0" w:space="0" w:color="auto"/>
        <w:bottom w:val="none" w:sz="0" w:space="0" w:color="auto"/>
        <w:right w:val="none" w:sz="0" w:space="0" w:color="auto"/>
      </w:divBdr>
    </w:div>
    <w:div w:id="1331787298">
      <w:bodyDiv w:val="1"/>
      <w:marLeft w:val="0"/>
      <w:marRight w:val="0"/>
      <w:marTop w:val="0"/>
      <w:marBottom w:val="0"/>
      <w:divBdr>
        <w:top w:val="none" w:sz="0" w:space="0" w:color="auto"/>
        <w:left w:val="none" w:sz="0" w:space="0" w:color="auto"/>
        <w:bottom w:val="none" w:sz="0" w:space="0" w:color="auto"/>
        <w:right w:val="none" w:sz="0" w:space="0" w:color="auto"/>
      </w:divBdr>
    </w:div>
    <w:div w:id="1388453270">
      <w:bodyDiv w:val="1"/>
      <w:marLeft w:val="0"/>
      <w:marRight w:val="0"/>
      <w:marTop w:val="0"/>
      <w:marBottom w:val="0"/>
      <w:divBdr>
        <w:top w:val="none" w:sz="0" w:space="0" w:color="auto"/>
        <w:left w:val="none" w:sz="0" w:space="0" w:color="auto"/>
        <w:bottom w:val="none" w:sz="0" w:space="0" w:color="auto"/>
        <w:right w:val="none" w:sz="0" w:space="0" w:color="auto"/>
      </w:divBdr>
    </w:div>
    <w:div w:id="1416317835">
      <w:bodyDiv w:val="1"/>
      <w:marLeft w:val="0"/>
      <w:marRight w:val="0"/>
      <w:marTop w:val="0"/>
      <w:marBottom w:val="0"/>
      <w:divBdr>
        <w:top w:val="none" w:sz="0" w:space="0" w:color="auto"/>
        <w:left w:val="none" w:sz="0" w:space="0" w:color="auto"/>
        <w:bottom w:val="none" w:sz="0" w:space="0" w:color="auto"/>
        <w:right w:val="none" w:sz="0" w:space="0" w:color="auto"/>
      </w:divBdr>
    </w:div>
    <w:div w:id="1438018422">
      <w:bodyDiv w:val="1"/>
      <w:marLeft w:val="0"/>
      <w:marRight w:val="0"/>
      <w:marTop w:val="0"/>
      <w:marBottom w:val="0"/>
      <w:divBdr>
        <w:top w:val="none" w:sz="0" w:space="0" w:color="auto"/>
        <w:left w:val="none" w:sz="0" w:space="0" w:color="auto"/>
        <w:bottom w:val="none" w:sz="0" w:space="0" w:color="auto"/>
        <w:right w:val="none" w:sz="0" w:space="0" w:color="auto"/>
      </w:divBdr>
    </w:div>
    <w:div w:id="1521238717">
      <w:bodyDiv w:val="1"/>
      <w:marLeft w:val="0"/>
      <w:marRight w:val="0"/>
      <w:marTop w:val="0"/>
      <w:marBottom w:val="0"/>
      <w:divBdr>
        <w:top w:val="none" w:sz="0" w:space="0" w:color="auto"/>
        <w:left w:val="none" w:sz="0" w:space="0" w:color="auto"/>
        <w:bottom w:val="none" w:sz="0" w:space="0" w:color="auto"/>
        <w:right w:val="none" w:sz="0" w:space="0" w:color="auto"/>
      </w:divBdr>
    </w:div>
    <w:div w:id="1522818150">
      <w:bodyDiv w:val="1"/>
      <w:marLeft w:val="0"/>
      <w:marRight w:val="0"/>
      <w:marTop w:val="0"/>
      <w:marBottom w:val="0"/>
      <w:divBdr>
        <w:top w:val="none" w:sz="0" w:space="0" w:color="auto"/>
        <w:left w:val="none" w:sz="0" w:space="0" w:color="auto"/>
        <w:bottom w:val="none" w:sz="0" w:space="0" w:color="auto"/>
        <w:right w:val="none" w:sz="0" w:space="0" w:color="auto"/>
      </w:divBdr>
    </w:div>
    <w:div w:id="1537818074">
      <w:bodyDiv w:val="1"/>
      <w:marLeft w:val="0"/>
      <w:marRight w:val="0"/>
      <w:marTop w:val="0"/>
      <w:marBottom w:val="0"/>
      <w:divBdr>
        <w:top w:val="none" w:sz="0" w:space="0" w:color="auto"/>
        <w:left w:val="none" w:sz="0" w:space="0" w:color="auto"/>
        <w:bottom w:val="none" w:sz="0" w:space="0" w:color="auto"/>
        <w:right w:val="none" w:sz="0" w:space="0" w:color="auto"/>
      </w:divBdr>
    </w:div>
    <w:div w:id="1559122649">
      <w:bodyDiv w:val="1"/>
      <w:marLeft w:val="0"/>
      <w:marRight w:val="0"/>
      <w:marTop w:val="0"/>
      <w:marBottom w:val="0"/>
      <w:divBdr>
        <w:top w:val="none" w:sz="0" w:space="0" w:color="auto"/>
        <w:left w:val="none" w:sz="0" w:space="0" w:color="auto"/>
        <w:bottom w:val="none" w:sz="0" w:space="0" w:color="auto"/>
        <w:right w:val="none" w:sz="0" w:space="0" w:color="auto"/>
      </w:divBdr>
    </w:div>
    <w:div w:id="1578326730">
      <w:bodyDiv w:val="1"/>
      <w:marLeft w:val="0"/>
      <w:marRight w:val="0"/>
      <w:marTop w:val="0"/>
      <w:marBottom w:val="0"/>
      <w:divBdr>
        <w:top w:val="none" w:sz="0" w:space="0" w:color="auto"/>
        <w:left w:val="none" w:sz="0" w:space="0" w:color="auto"/>
        <w:bottom w:val="none" w:sz="0" w:space="0" w:color="auto"/>
        <w:right w:val="none" w:sz="0" w:space="0" w:color="auto"/>
      </w:divBdr>
    </w:div>
    <w:div w:id="1603874954">
      <w:bodyDiv w:val="1"/>
      <w:marLeft w:val="0"/>
      <w:marRight w:val="0"/>
      <w:marTop w:val="0"/>
      <w:marBottom w:val="0"/>
      <w:divBdr>
        <w:top w:val="none" w:sz="0" w:space="0" w:color="auto"/>
        <w:left w:val="none" w:sz="0" w:space="0" w:color="auto"/>
        <w:bottom w:val="none" w:sz="0" w:space="0" w:color="auto"/>
        <w:right w:val="none" w:sz="0" w:space="0" w:color="auto"/>
      </w:divBdr>
    </w:div>
    <w:div w:id="1637953899">
      <w:bodyDiv w:val="1"/>
      <w:marLeft w:val="0"/>
      <w:marRight w:val="0"/>
      <w:marTop w:val="0"/>
      <w:marBottom w:val="0"/>
      <w:divBdr>
        <w:top w:val="none" w:sz="0" w:space="0" w:color="auto"/>
        <w:left w:val="none" w:sz="0" w:space="0" w:color="auto"/>
        <w:bottom w:val="none" w:sz="0" w:space="0" w:color="auto"/>
        <w:right w:val="none" w:sz="0" w:space="0" w:color="auto"/>
      </w:divBdr>
    </w:div>
    <w:div w:id="1763063708">
      <w:bodyDiv w:val="1"/>
      <w:marLeft w:val="0"/>
      <w:marRight w:val="0"/>
      <w:marTop w:val="0"/>
      <w:marBottom w:val="0"/>
      <w:divBdr>
        <w:top w:val="none" w:sz="0" w:space="0" w:color="auto"/>
        <w:left w:val="none" w:sz="0" w:space="0" w:color="auto"/>
        <w:bottom w:val="none" w:sz="0" w:space="0" w:color="auto"/>
        <w:right w:val="none" w:sz="0" w:space="0" w:color="auto"/>
      </w:divBdr>
    </w:div>
    <w:div w:id="1819569291">
      <w:bodyDiv w:val="1"/>
      <w:marLeft w:val="0"/>
      <w:marRight w:val="0"/>
      <w:marTop w:val="0"/>
      <w:marBottom w:val="0"/>
      <w:divBdr>
        <w:top w:val="none" w:sz="0" w:space="0" w:color="auto"/>
        <w:left w:val="none" w:sz="0" w:space="0" w:color="auto"/>
        <w:bottom w:val="none" w:sz="0" w:space="0" w:color="auto"/>
        <w:right w:val="none" w:sz="0" w:space="0" w:color="auto"/>
      </w:divBdr>
    </w:div>
    <w:div w:id="1829663405">
      <w:bodyDiv w:val="1"/>
      <w:marLeft w:val="0"/>
      <w:marRight w:val="0"/>
      <w:marTop w:val="0"/>
      <w:marBottom w:val="0"/>
      <w:divBdr>
        <w:top w:val="none" w:sz="0" w:space="0" w:color="auto"/>
        <w:left w:val="none" w:sz="0" w:space="0" w:color="auto"/>
        <w:bottom w:val="none" w:sz="0" w:space="0" w:color="auto"/>
        <w:right w:val="none" w:sz="0" w:space="0" w:color="auto"/>
      </w:divBdr>
    </w:div>
    <w:div w:id="1871382146">
      <w:bodyDiv w:val="1"/>
      <w:marLeft w:val="0"/>
      <w:marRight w:val="0"/>
      <w:marTop w:val="0"/>
      <w:marBottom w:val="0"/>
      <w:divBdr>
        <w:top w:val="none" w:sz="0" w:space="0" w:color="auto"/>
        <w:left w:val="none" w:sz="0" w:space="0" w:color="auto"/>
        <w:bottom w:val="none" w:sz="0" w:space="0" w:color="auto"/>
        <w:right w:val="none" w:sz="0" w:space="0" w:color="auto"/>
      </w:divBdr>
    </w:div>
    <w:div w:id="1930700014">
      <w:bodyDiv w:val="1"/>
      <w:marLeft w:val="0"/>
      <w:marRight w:val="0"/>
      <w:marTop w:val="0"/>
      <w:marBottom w:val="0"/>
      <w:divBdr>
        <w:top w:val="none" w:sz="0" w:space="0" w:color="auto"/>
        <w:left w:val="none" w:sz="0" w:space="0" w:color="auto"/>
        <w:bottom w:val="none" w:sz="0" w:space="0" w:color="auto"/>
        <w:right w:val="none" w:sz="0" w:space="0" w:color="auto"/>
      </w:divBdr>
    </w:div>
    <w:div w:id="1936404860">
      <w:bodyDiv w:val="1"/>
      <w:marLeft w:val="0"/>
      <w:marRight w:val="0"/>
      <w:marTop w:val="0"/>
      <w:marBottom w:val="0"/>
      <w:divBdr>
        <w:top w:val="none" w:sz="0" w:space="0" w:color="auto"/>
        <w:left w:val="none" w:sz="0" w:space="0" w:color="auto"/>
        <w:bottom w:val="none" w:sz="0" w:space="0" w:color="auto"/>
        <w:right w:val="none" w:sz="0" w:space="0" w:color="auto"/>
      </w:divBdr>
    </w:div>
    <w:div w:id="1945575852">
      <w:bodyDiv w:val="1"/>
      <w:marLeft w:val="0"/>
      <w:marRight w:val="0"/>
      <w:marTop w:val="0"/>
      <w:marBottom w:val="0"/>
      <w:divBdr>
        <w:top w:val="none" w:sz="0" w:space="0" w:color="auto"/>
        <w:left w:val="none" w:sz="0" w:space="0" w:color="auto"/>
        <w:bottom w:val="none" w:sz="0" w:space="0" w:color="auto"/>
        <w:right w:val="none" w:sz="0" w:space="0" w:color="auto"/>
      </w:divBdr>
    </w:div>
    <w:div w:id="2023122990">
      <w:bodyDiv w:val="1"/>
      <w:marLeft w:val="0"/>
      <w:marRight w:val="0"/>
      <w:marTop w:val="0"/>
      <w:marBottom w:val="0"/>
      <w:divBdr>
        <w:top w:val="none" w:sz="0" w:space="0" w:color="auto"/>
        <w:left w:val="none" w:sz="0" w:space="0" w:color="auto"/>
        <w:bottom w:val="none" w:sz="0" w:space="0" w:color="auto"/>
        <w:right w:val="none" w:sz="0" w:space="0" w:color="auto"/>
      </w:divBdr>
    </w:div>
    <w:div w:id="2030645198">
      <w:bodyDiv w:val="1"/>
      <w:marLeft w:val="0"/>
      <w:marRight w:val="0"/>
      <w:marTop w:val="0"/>
      <w:marBottom w:val="0"/>
      <w:divBdr>
        <w:top w:val="none" w:sz="0" w:space="0" w:color="auto"/>
        <w:left w:val="none" w:sz="0" w:space="0" w:color="auto"/>
        <w:bottom w:val="none" w:sz="0" w:space="0" w:color="auto"/>
        <w:right w:val="none" w:sz="0" w:space="0" w:color="auto"/>
      </w:divBdr>
    </w:div>
    <w:div w:id="2051373712">
      <w:bodyDiv w:val="1"/>
      <w:marLeft w:val="0"/>
      <w:marRight w:val="0"/>
      <w:marTop w:val="0"/>
      <w:marBottom w:val="0"/>
      <w:divBdr>
        <w:top w:val="none" w:sz="0" w:space="0" w:color="auto"/>
        <w:left w:val="none" w:sz="0" w:space="0" w:color="auto"/>
        <w:bottom w:val="none" w:sz="0" w:space="0" w:color="auto"/>
        <w:right w:val="none" w:sz="0" w:space="0" w:color="auto"/>
      </w:divBdr>
    </w:div>
    <w:div w:id="2060930027">
      <w:bodyDiv w:val="1"/>
      <w:marLeft w:val="0"/>
      <w:marRight w:val="0"/>
      <w:marTop w:val="0"/>
      <w:marBottom w:val="0"/>
      <w:divBdr>
        <w:top w:val="none" w:sz="0" w:space="0" w:color="auto"/>
        <w:left w:val="none" w:sz="0" w:space="0" w:color="auto"/>
        <w:bottom w:val="none" w:sz="0" w:space="0" w:color="auto"/>
        <w:right w:val="none" w:sz="0" w:space="0" w:color="auto"/>
      </w:divBdr>
    </w:div>
    <w:div w:id="2074043796">
      <w:bodyDiv w:val="1"/>
      <w:marLeft w:val="0"/>
      <w:marRight w:val="0"/>
      <w:marTop w:val="0"/>
      <w:marBottom w:val="0"/>
      <w:divBdr>
        <w:top w:val="none" w:sz="0" w:space="0" w:color="auto"/>
        <w:left w:val="none" w:sz="0" w:space="0" w:color="auto"/>
        <w:bottom w:val="none" w:sz="0" w:space="0" w:color="auto"/>
        <w:right w:val="none" w:sz="0" w:space="0" w:color="auto"/>
      </w:divBdr>
    </w:div>
    <w:div w:id="209612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hart" Target="charts/chart1.xml"/><Relationship Id="rId12" Type="http://schemas.microsoft.com/office/2014/relationships/chartEx" Target="charts/chartEx2.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sec.gov/ix?doc=/Archives/edgar/data/0000825324/000121465922009903/gtim-20220628.htm" TargetMode="External"/><Relationship Id="rId20" Type="http://schemas.openxmlformats.org/officeDocument/2006/relationships/chart" Target="charts/chart4.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3.xm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chart" Target="charts/chart2.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ec.gov/Archives/edgar/data/825324/000121465924017548/ex99_1.htm"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ameelbrannon/Library/CloudStorage/Dropbox/Models/GTI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ameelbrannon/Library/CloudStorage/Dropbox/Models/GTIM.xlsx" TargetMode="External"/><Relationship Id="rId2" Type="http://schemas.microsoft.com/office/2011/relationships/chartColorStyle" Target="colors3.xml"/><Relationship Id="rId1" Type="http://schemas.microsoft.com/office/2011/relationships/chartStyle" Target="style3.xml"/></Relationships>
</file>

<file path=word/charts/_rels/chart3.xml.rels><?xml version="1.0" encoding="UTF-8" standalone="yes"?>
<Relationships xmlns="http://schemas.openxmlformats.org/package/2006/relationships"><Relationship Id="rId3" Type="http://schemas.openxmlformats.org/officeDocument/2006/relationships/oleObject" Target="file:////Users/jameelbrannon/Library/CloudStorage/Dropbox/Models/GTIM.xlsx" TargetMode="External"/><Relationship Id="rId2" Type="http://schemas.microsoft.com/office/2011/relationships/chartColorStyle" Target="colors4.xml"/><Relationship Id="rId1" Type="http://schemas.microsoft.com/office/2011/relationships/chartStyle" Target="style4.xml"/></Relationships>
</file>

<file path=word/charts/_rels/chart4.xml.rels><?xml version="1.0" encoding="UTF-8" standalone="yes"?>
<Relationships xmlns="http://schemas.openxmlformats.org/package/2006/relationships"><Relationship Id="rId3" Type="http://schemas.openxmlformats.org/officeDocument/2006/relationships/oleObject" Target="file:////Users/jameelbrannon/Library/CloudStorage/Dropbox/Models/GTIM.xlsx" TargetMode="External"/><Relationship Id="rId2" Type="http://schemas.microsoft.com/office/2011/relationships/chartColorStyle" Target="colors6.xml"/><Relationship Id="rId1" Type="http://schemas.microsoft.com/office/2011/relationships/chartStyle" Target="style6.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Users/jameelbrannon/Library/CloudStorage/Dropbox/Models/GTIM.xlsx" TargetMode="External"/></Relationships>
</file>

<file path=word/charts/_rels/chartEx2.xml.rels><?xml version="1.0" encoding="UTF-8" standalone="yes"?>
<Relationships xmlns="http://schemas.openxmlformats.org/package/2006/relationships"><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u="sng"/>
              <a:t>Growth Over</a:t>
            </a:r>
            <a:r>
              <a:rPr lang="en-US" b="1" u="sng" baseline="0"/>
              <a:t> Time</a:t>
            </a:r>
            <a:endParaRPr lang="en-US" b="1" u="sn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#REF!</c:f>
            </c:numRef>
          </c:xVal>
          <c:yVal>
            <c:numRef>
              <c:f>#REF!</c:f>
              <c:numCache>
                <c:formatCode>General</c:formatCode>
                <c:ptCount val="1"/>
                <c:pt idx="0">
                  <c:v>1</c:v>
                </c:pt>
              </c:numCache>
            </c:numRef>
          </c:yVal>
          <c:smooth val="0"/>
          <c:extLst>
            <c:ext xmlns:c15="http://schemas.microsoft.com/office/drawing/2012/chart" uri="{02D57815-91ED-43cb-92C2-25804820EDAC}">
              <c15:filteredSeriesTitle>
                <c15:tx>
                  <c:strRef>
                    <c:extLst>
                      <c:ext uri="{02D57815-91ED-43cb-92C2-25804820EDAC}">
                        <c15:formulaRef>
                          <c15:sqref>#REF!</c15:sqref>
                        </c15:formulaRef>
                      </c:ext>
                    </c:extLst>
                    <c:strCache>
                      <c:ptCount val="1"/>
                      <c:pt idx="0">
                        <c:v>#REF!</c:v>
                      </c:pt>
                    </c:strCache>
                  </c:strRef>
                </c15:tx>
              </c15:filteredSeriesTitle>
            </c:ext>
            <c:ext xmlns:c16="http://schemas.microsoft.com/office/drawing/2014/chart" uri="{C3380CC4-5D6E-409C-BE32-E72D297353CC}">
              <c16:uniqueId val="{00000000-9AC8-EC47-BD19-C8057AEE65D3}"/>
            </c:ext>
          </c:extLst>
        </c:ser>
        <c:ser>
          <c:idx val="1"/>
          <c:order val="1"/>
          <c:spPr>
            <a:ln w="25400" cap="rnd">
              <a:noFill/>
              <a:round/>
            </a:ln>
            <a:effectLst/>
          </c:spPr>
          <c:marker>
            <c:symbol val="circle"/>
            <c:size val="5"/>
            <c:spPr>
              <a:solidFill>
                <a:schemeClr val="accent2"/>
              </a:solidFill>
              <a:ln w="9525">
                <a:solidFill>
                  <a:schemeClr val="accent2"/>
                </a:solidFill>
              </a:ln>
              <a:effectLst/>
            </c:spPr>
          </c:marker>
          <c:xVal>
            <c:numRef>
              <c:f>#REF!</c:f>
            </c:numRef>
          </c:xVal>
          <c:yVal>
            <c:numRef>
              <c:f>#REF!</c:f>
              <c:numCache>
                <c:formatCode>General</c:formatCode>
                <c:ptCount val="1"/>
                <c:pt idx="0">
                  <c:v>1</c:v>
                </c:pt>
              </c:numCache>
            </c:numRef>
          </c:yVal>
          <c:smooth val="0"/>
          <c:extLst>
            <c:ext xmlns:c15="http://schemas.microsoft.com/office/drawing/2012/chart" uri="{02D57815-91ED-43cb-92C2-25804820EDAC}">
              <c15:filteredSeriesTitle>
                <c15:tx>
                  <c:strRef>
                    <c:extLst>
                      <c:ext uri="{02D57815-91ED-43cb-92C2-25804820EDAC}">
                        <c15:formulaRef>
                          <c15:sqref>#REF!</c15:sqref>
                        </c15:formulaRef>
                      </c:ext>
                    </c:extLst>
                    <c:strCache>
                      <c:ptCount val="1"/>
                      <c:pt idx="0">
                        <c:v>#REF!</c:v>
                      </c:pt>
                    </c:strCache>
                  </c:strRef>
                </c15:tx>
              </c15:filteredSeriesTitle>
            </c:ext>
            <c:ext xmlns:c16="http://schemas.microsoft.com/office/drawing/2014/chart" uri="{C3380CC4-5D6E-409C-BE32-E72D297353CC}">
              <c16:uniqueId val="{00000001-9AC8-EC47-BD19-C8057AEE65D3}"/>
            </c:ext>
          </c:extLst>
        </c:ser>
        <c:dLbls>
          <c:showLegendKey val="0"/>
          <c:showVal val="0"/>
          <c:showCatName val="0"/>
          <c:showSerName val="0"/>
          <c:showPercent val="0"/>
          <c:showBubbleSize val="0"/>
        </c:dLbls>
        <c:axId val="1871768032"/>
        <c:axId val="1931849904"/>
      </c:scatterChart>
      <c:valAx>
        <c:axId val="1871768032"/>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1849904"/>
        <c:crosses val="autoZero"/>
        <c:crossBetween val="midCat"/>
      </c:valAx>
      <c:valAx>
        <c:axId val="1931849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17680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Restaurant</a:t>
            </a:r>
            <a:r>
              <a:rPr lang="en-US" b="1" baseline="0"/>
              <a:t> </a:t>
            </a:r>
            <a:r>
              <a:rPr lang="en-US" b="1"/>
              <a:t>Expenses as % of Total Revenue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#REF!</c:f>
              <c:numCache>
                <c:formatCode>General</c:formatCode>
                <c:ptCount val="1"/>
                <c:pt idx="0">
                  <c:v>1</c:v>
                </c:pt>
              </c:numCache>
            </c:numRef>
          </c:val>
          <c:extLst>
            <c:ext xmlns:c15="http://schemas.microsoft.com/office/drawing/2012/chart" uri="{02D57815-91ED-43cb-92C2-25804820EDAC}">
              <c15:filteredSeriesTitle>
                <c15:tx>
                  <c:strRef>
                    <c:extLst>
                      <c:ext uri="{02D57815-91ED-43cb-92C2-25804820EDAC}">
                        <c15:formulaRef>
                          <c15:sqref>#REF!</c15:sqref>
                        </c15:formulaRef>
                      </c:ext>
                    </c:extLst>
                    <c:strCache>
                      <c:ptCount val="1"/>
                      <c:pt idx="0">
                        <c:v>#REF!</c:v>
                      </c:pt>
                    </c:strCache>
                  </c:strRef>
                </c15:tx>
              </c15:filteredSeriesTitle>
            </c:ext>
            <c:ext xmlns:c15="http://schemas.microsoft.com/office/drawing/2012/chart" uri="{02D57815-91ED-43cb-92C2-25804820EDAC}">
              <c15:filteredCategoryTitle>
                <c15:cat>
                  <c:multiLvlStrRef>
                    <c:extLst>
                      <c:ext uri="{02D57815-91ED-43cb-92C2-25804820EDAC}">
                        <c15:formulaRef>
                          <c15:sqref>#REF!</c15:sqref>
                        </c15:formulaRef>
                      </c:ext>
                    </c:extLst>
                  </c:multiLvlStrRef>
                </c15:cat>
              </c15:filteredCategoryTitle>
            </c:ext>
            <c:ext xmlns:c16="http://schemas.microsoft.com/office/drawing/2014/chart" uri="{C3380CC4-5D6E-409C-BE32-E72D297353CC}">
              <c16:uniqueId val="{00000000-C4E2-CF47-93ED-3CDF6A339AA1}"/>
            </c:ext>
          </c:extLst>
        </c:ser>
        <c:ser>
          <c:idx val="1"/>
          <c:order val="1"/>
          <c:spPr>
            <a:solidFill>
              <a:schemeClr val="accent2"/>
            </a:solidFill>
            <a:ln>
              <a:noFill/>
            </a:ln>
            <a:effectLst/>
          </c:spPr>
          <c:invertIfNegative val="0"/>
          <c:val>
            <c:numRef>
              <c:f>#REF!</c:f>
              <c:numCache>
                <c:formatCode>General</c:formatCode>
                <c:ptCount val="1"/>
                <c:pt idx="0">
                  <c:v>1</c:v>
                </c:pt>
              </c:numCache>
            </c:numRef>
          </c:val>
          <c:extLst>
            <c:ext xmlns:c15="http://schemas.microsoft.com/office/drawing/2012/chart" uri="{02D57815-91ED-43cb-92C2-25804820EDAC}">
              <c15:filteredSeriesTitle>
                <c15:tx>
                  <c:strRef>
                    <c:extLst>
                      <c:ext uri="{02D57815-91ED-43cb-92C2-25804820EDAC}">
                        <c15:formulaRef>
                          <c15:sqref>#REF!</c15:sqref>
                        </c15:formulaRef>
                      </c:ext>
                    </c:extLst>
                    <c:strCache>
                      <c:ptCount val="1"/>
                      <c:pt idx="0">
                        <c:v>#REF!</c:v>
                      </c:pt>
                    </c:strCache>
                  </c:strRef>
                </c15:tx>
              </c15:filteredSeriesTitle>
            </c:ext>
            <c:ext xmlns:c15="http://schemas.microsoft.com/office/drawing/2012/chart" uri="{02D57815-91ED-43cb-92C2-25804820EDAC}">
              <c15:filteredCategoryTitle>
                <c15:cat>
                  <c:multiLvlStrRef>
                    <c:extLst>
                      <c:ext uri="{02D57815-91ED-43cb-92C2-25804820EDAC}">
                        <c15:formulaRef>
                          <c15:sqref>#REF!</c15:sqref>
                        </c15:formulaRef>
                      </c:ext>
                    </c:extLst>
                  </c:multiLvlStrRef>
                </c15:cat>
              </c15:filteredCategoryTitle>
            </c:ext>
            <c:ext xmlns:c16="http://schemas.microsoft.com/office/drawing/2014/chart" uri="{C3380CC4-5D6E-409C-BE32-E72D297353CC}">
              <c16:uniqueId val="{00000001-C4E2-CF47-93ED-3CDF6A339AA1}"/>
            </c:ext>
          </c:extLst>
        </c:ser>
        <c:ser>
          <c:idx val="2"/>
          <c:order val="2"/>
          <c:spPr>
            <a:solidFill>
              <a:schemeClr val="accent3"/>
            </a:solidFill>
            <a:ln>
              <a:noFill/>
            </a:ln>
            <a:effectLst/>
          </c:spPr>
          <c:invertIfNegative val="0"/>
          <c:val>
            <c:numRef>
              <c:f>#REF!</c:f>
              <c:numCache>
                <c:formatCode>General</c:formatCode>
                <c:ptCount val="1"/>
                <c:pt idx="0">
                  <c:v>1</c:v>
                </c:pt>
              </c:numCache>
            </c:numRef>
          </c:val>
          <c:extLst>
            <c:ext xmlns:c15="http://schemas.microsoft.com/office/drawing/2012/chart" uri="{02D57815-91ED-43cb-92C2-25804820EDAC}">
              <c15:filteredSeriesTitle>
                <c15:tx>
                  <c:strRef>
                    <c:extLst>
                      <c:ext uri="{02D57815-91ED-43cb-92C2-25804820EDAC}">
                        <c15:formulaRef>
                          <c15:sqref>#REF!</c15:sqref>
                        </c15:formulaRef>
                      </c:ext>
                    </c:extLst>
                    <c:strCache>
                      <c:ptCount val="1"/>
                      <c:pt idx="0">
                        <c:v>#REF!</c:v>
                      </c:pt>
                    </c:strCache>
                  </c:strRef>
                </c15:tx>
              </c15:filteredSeriesTitle>
            </c:ext>
            <c:ext xmlns:c15="http://schemas.microsoft.com/office/drawing/2012/chart" uri="{02D57815-91ED-43cb-92C2-25804820EDAC}">
              <c15:filteredCategoryTitle>
                <c15:cat>
                  <c:multiLvlStrRef>
                    <c:extLst>
                      <c:ext uri="{02D57815-91ED-43cb-92C2-25804820EDAC}">
                        <c15:formulaRef>
                          <c15:sqref>#REF!</c15:sqref>
                        </c15:formulaRef>
                      </c:ext>
                    </c:extLst>
                  </c:multiLvlStrRef>
                </c15:cat>
              </c15:filteredCategoryTitle>
            </c:ext>
            <c:ext xmlns:c16="http://schemas.microsoft.com/office/drawing/2014/chart" uri="{C3380CC4-5D6E-409C-BE32-E72D297353CC}">
              <c16:uniqueId val="{00000002-C4E2-CF47-93ED-3CDF6A339AA1}"/>
            </c:ext>
          </c:extLst>
        </c:ser>
        <c:ser>
          <c:idx val="3"/>
          <c:order val="3"/>
          <c:spPr>
            <a:solidFill>
              <a:schemeClr val="accent4"/>
            </a:solidFill>
            <a:ln>
              <a:noFill/>
            </a:ln>
            <a:effectLst/>
          </c:spPr>
          <c:invertIfNegative val="0"/>
          <c:val>
            <c:numRef>
              <c:f>#REF!</c:f>
              <c:numCache>
                <c:formatCode>General</c:formatCode>
                <c:ptCount val="1"/>
                <c:pt idx="0">
                  <c:v>1</c:v>
                </c:pt>
              </c:numCache>
            </c:numRef>
          </c:val>
          <c:extLst>
            <c:ext xmlns:c15="http://schemas.microsoft.com/office/drawing/2012/chart" uri="{02D57815-91ED-43cb-92C2-25804820EDAC}">
              <c15:filteredSeriesTitle>
                <c15:tx>
                  <c:strRef>
                    <c:extLst>
                      <c:ext uri="{02D57815-91ED-43cb-92C2-25804820EDAC}">
                        <c15:formulaRef>
                          <c15:sqref>#REF!</c15:sqref>
                        </c15:formulaRef>
                      </c:ext>
                    </c:extLst>
                    <c:strCache>
                      <c:ptCount val="1"/>
                      <c:pt idx="0">
                        <c:v>#REF!</c:v>
                      </c:pt>
                    </c:strCache>
                  </c:strRef>
                </c15:tx>
              </c15:filteredSeriesTitle>
            </c:ext>
            <c:ext xmlns:c15="http://schemas.microsoft.com/office/drawing/2012/chart" uri="{02D57815-91ED-43cb-92C2-25804820EDAC}">
              <c15:filteredCategoryTitle>
                <c15:cat>
                  <c:multiLvlStrRef>
                    <c:extLst>
                      <c:ext uri="{02D57815-91ED-43cb-92C2-25804820EDAC}">
                        <c15:formulaRef>
                          <c15:sqref>#REF!</c15:sqref>
                        </c15:formulaRef>
                      </c:ext>
                    </c:extLst>
                  </c:multiLvlStrRef>
                </c15:cat>
              </c15:filteredCategoryTitle>
            </c:ext>
            <c:ext xmlns:c16="http://schemas.microsoft.com/office/drawing/2014/chart" uri="{C3380CC4-5D6E-409C-BE32-E72D297353CC}">
              <c16:uniqueId val="{00000003-C4E2-CF47-93ED-3CDF6A339AA1}"/>
            </c:ext>
          </c:extLst>
        </c:ser>
        <c:dLbls>
          <c:showLegendKey val="0"/>
          <c:showVal val="0"/>
          <c:showCatName val="0"/>
          <c:showSerName val="0"/>
          <c:showPercent val="0"/>
          <c:showBubbleSize val="0"/>
        </c:dLbls>
        <c:gapWidth val="150"/>
        <c:axId val="254741567"/>
        <c:axId val="601020175"/>
      </c:barChart>
      <c:catAx>
        <c:axId val="254741567"/>
        <c:scaling>
          <c:orientation val="minMax"/>
        </c:scaling>
        <c:delete val="0"/>
        <c:axPos val="b"/>
        <c:numFmt formatCode="0"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020175"/>
        <c:crosses val="autoZero"/>
        <c:auto val="1"/>
        <c:lblAlgn val="ctr"/>
        <c:lblOffset val="100"/>
        <c:noMultiLvlLbl val="0"/>
      </c:catAx>
      <c:valAx>
        <c:axId val="601020175"/>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7415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r>
              <a:rPr lang="en-US" b="1">
                <a:solidFill>
                  <a:schemeClr val="bg1"/>
                </a:solidFill>
              </a:rPr>
              <a:t>Y/Y</a:t>
            </a:r>
            <a:r>
              <a:rPr lang="en-US" b="1" baseline="0">
                <a:solidFill>
                  <a:schemeClr val="bg1"/>
                </a:solidFill>
              </a:rPr>
              <a:t> Revenue Growth Vs.  Restaurant Margin</a:t>
            </a:r>
            <a:endParaRPr lang="en-US" b="1">
              <a:solidFill>
                <a:schemeClr val="bg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#REF!</c:f>
            </c:numRef>
          </c:xVal>
          <c:yVal>
            <c:numRef>
              <c:f>#REF!</c:f>
              <c:numCache>
                <c:formatCode>General</c:formatCode>
                <c:ptCount val="1"/>
                <c:pt idx="0">
                  <c:v>1</c:v>
                </c:pt>
              </c:numCache>
            </c:numRef>
          </c:yVal>
          <c:smooth val="0"/>
          <c:extLst>
            <c:ext xmlns:c15="http://schemas.microsoft.com/office/drawing/2012/chart" uri="{02D57815-91ED-43cb-92C2-25804820EDAC}">
              <c15:filteredSeriesTitle>
                <c15:tx>
                  <c:strRef>
                    <c:extLst>
                      <c:ext uri="{02D57815-91ED-43cb-92C2-25804820EDAC}">
                        <c15:formulaRef>
                          <c15:sqref>#REF!</c15:sqref>
                        </c15:formulaRef>
                      </c:ext>
                    </c:extLst>
                    <c:strCache>
                      <c:ptCount val="1"/>
                      <c:pt idx="0">
                        <c:v>#REF!</c:v>
                      </c:pt>
                    </c:strCache>
                  </c:strRef>
                </c15:tx>
              </c15:filteredSeriesTitle>
            </c:ext>
            <c:ext xmlns:c16="http://schemas.microsoft.com/office/drawing/2014/chart" uri="{C3380CC4-5D6E-409C-BE32-E72D297353CC}">
              <c16:uniqueId val="{00000000-6C06-4F41-B2D3-6D8BF5E00087}"/>
            </c:ext>
          </c:extLst>
        </c:ser>
        <c:ser>
          <c:idx val="1"/>
          <c:order val="1"/>
          <c:spPr>
            <a:ln w="25400" cap="rnd">
              <a:noFill/>
              <a:round/>
            </a:ln>
            <a:effectLst/>
          </c:spPr>
          <c:marker>
            <c:symbol val="circle"/>
            <c:size val="5"/>
            <c:spPr>
              <a:solidFill>
                <a:schemeClr val="accent2"/>
              </a:solidFill>
              <a:ln w="9525">
                <a:solidFill>
                  <a:schemeClr val="accent2"/>
                </a:solidFill>
              </a:ln>
              <a:effectLst/>
            </c:spPr>
          </c:marker>
          <c:xVal>
            <c:numRef>
              <c:f>#REF!</c:f>
            </c:numRef>
          </c:xVal>
          <c:yVal>
            <c:numRef>
              <c:f>#REF!</c:f>
              <c:numCache>
                <c:formatCode>General</c:formatCode>
                <c:ptCount val="1"/>
                <c:pt idx="0">
                  <c:v>1</c:v>
                </c:pt>
              </c:numCache>
            </c:numRef>
          </c:yVal>
          <c:smooth val="0"/>
          <c:extLst>
            <c:ext xmlns:c15="http://schemas.microsoft.com/office/drawing/2012/chart" uri="{02D57815-91ED-43cb-92C2-25804820EDAC}">
              <c15:filteredSeriesTitle>
                <c15:tx>
                  <c:strRef>
                    <c:extLst>
                      <c:ext uri="{02D57815-91ED-43cb-92C2-25804820EDAC}">
                        <c15:formulaRef>
                          <c15:sqref>#REF!</c15:sqref>
                        </c15:formulaRef>
                      </c:ext>
                    </c:extLst>
                    <c:strCache>
                      <c:ptCount val="1"/>
                      <c:pt idx="0">
                        <c:v>#REF!</c:v>
                      </c:pt>
                    </c:strCache>
                  </c:strRef>
                </c15:tx>
              </c15:filteredSeriesTitle>
            </c:ext>
            <c:ext xmlns:c16="http://schemas.microsoft.com/office/drawing/2014/chart" uri="{C3380CC4-5D6E-409C-BE32-E72D297353CC}">
              <c16:uniqueId val="{00000001-6C06-4F41-B2D3-6D8BF5E00087}"/>
            </c:ext>
          </c:extLst>
        </c:ser>
        <c:dLbls>
          <c:showLegendKey val="0"/>
          <c:showVal val="0"/>
          <c:showCatName val="0"/>
          <c:showSerName val="0"/>
          <c:showPercent val="0"/>
          <c:showBubbleSize val="0"/>
        </c:dLbls>
        <c:axId val="1164131664"/>
        <c:axId val="898450799"/>
      </c:scatterChart>
      <c:valAx>
        <c:axId val="1164131664"/>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crossAx val="898450799"/>
        <c:crosses val="autoZero"/>
        <c:crossBetween val="midCat"/>
      </c:valAx>
      <c:valAx>
        <c:axId val="898450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crossAx val="11641316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tx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r>
              <a:rPr lang="en-US" b="1">
                <a:solidFill>
                  <a:schemeClr val="bg1"/>
                </a:solidFill>
              </a:rPr>
              <a:t>Growth</a:t>
            </a:r>
            <a:r>
              <a:rPr lang="en-US" b="1" baseline="0">
                <a:solidFill>
                  <a:schemeClr val="bg1"/>
                </a:solidFill>
              </a:rPr>
              <a:t> Y/Y</a:t>
            </a:r>
            <a:endParaRPr lang="en-US" b="1">
              <a:solidFill>
                <a:schemeClr val="bg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#REF!</c:f>
              <c:numCache>
                <c:formatCode>General</c:formatCode>
                <c:ptCount val="1"/>
                <c:pt idx="0">
                  <c:v>1</c:v>
                </c:pt>
              </c:numCache>
            </c:numRef>
          </c:val>
          <c:smooth val="0"/>
          <c:extLst>
            <c:ext xmlns:c15="http://schemas.microsoft.com/office/drawing/2012/chart" uri="{02D57815-91ED-43cb-92C2-25804820EDAC}">
              <c15:filteredSeriesTitle>
                <c15:tx>
                  <c:strRef>
                    <c:extLst>
                      <c:ext uri="{02D57815-91ED-43cb-92C2-25804820EDAC}">
                        <c15:formulaRef>
                          <c15:sqref>#REF!</c15:sqref>
                        </c15:formulaRef>
                      </c:ext>
                    </c:extLst>
                    <c:strCache>
                      <c:ptCount val="1"/>
                      <c:pt idx="0">
                        <c:v>#REF!</c:v>
                      </c:pt>
                    </c:strCache>
                  </c:strRef>
                </c15:tx>
              </c15:filteredSeriesTitle>
            </c:ext>
            <c:ext xmlns:c15="http://schemas.microsoft.com/office/drawing/2012/chart" uri="{02D57815-91ED-43cb-92C2-25804820EDAC}">
              <c15:filteredCategoryTitle>
                <c15:cat>
                  <c:multiLvlStrRef>
                    <c:extLst>
                      <c:ext uri="{02D57815-91ED-43cb-92C2-25804820EDAC}">
                        <c15:formulaRef>
                          <c15:sqref>#REF!</c15:sqref>
                        </c15:formulaRef>
                      </c:ext>
                    </c:extLst>
                  </c:multiLvlStrRef>
                </c15:cat>
              </c15:filteredCategoryTitle>
            </c:ext>
            <c:ext xmlns:c16="http://schemas.microsoft.com/office/drawing/2014/chart" uri="{C3380CC4-5D6E-409C-BE32-E72D297353CC}">
              <c16:uniqueId val="{00000000-138F-B042-8F36-4C00AAEE5504}"/>
            </c:ext>
          </c:extLst>
        </c:ser>
        <c:ser>
          <c:idx val="1"/>
          <c:order val="1"/>
          <c:spPr>
            <a:ln w="28575" cap="rnd">
              <a:solidFill>
                <a:schemeClr val="accent2"/>
              </a:solidFill>
              <a:round/>
            </a:ln>
            <a:effectLst/>
          </c:spPr>
          <c:marker>
            <c:symbol val="none"/>
          </c:marker>
          <c:val>
            <c:numRef>
              <c:f>#REF!</c:f>
              <c:numCache>
                <c:formatCode>General</c:formatCode>
                <c:ptCount val="1"/>
                <c:pt idx="0">
                  <c:v>1</c:v>
                </c:pt>
              </c:numCache>
            </c:numRef>
          </c:val>
          <c:smooth val="0"/>
          <c:extLst>
            <c:ext xmlns:c15="http://schemas.microsoft.com/office/drawing/2012/chart" uri="{02D57815-91ED-43cb-92C2-25804820EDAC}">
              <c15:filteredSeriesTitle>
                <c15:tx>
                  <c:strRef>
                    <c:extLst>
                      <c:ext uri="{02D57815-91ED-43cb-92C2-25804820EDAC}">
                        <c15:formulaRef>
                          <c15:sqref>#REF!</c15:sqref>
                        </c15:formulaRef>
                      </c:ext>
                    </c:extLst>
                    <c:strCache>
                      <c:ptCount val="1"/>
                      <c:pt idx="0">
                        <c:v>#REF!</c:v>
                      </c:pt>
                    </c:strCache>
                  </c:strRef>
                </c15:tx>
              </c15:filteredSeriesTitle>
            </c:ext>
            <c:ext xmlns:c15="http://schemas.microsoft.com/office/drawing/2012/chart" uri="{02D57815-91ED-43cb-92C2-25804820EDAC}">
              <c15:filteredCategoryTitle>
                <c15:cat>
                  <c:multiLvlStrRef>
                    <c:extLst>
                      <c:ext uri="{02D57815-91ED-43cb-92C2-25804820EDAC}">
                        <c15:formulaRef>
                          <c15:sqref>#REF!</c15:sqref>
                        </c15:formulaRef>
                      </c:ext>
                    </c:extLst>
                  </c:multiLvlStrRef>
                </c15:cat>
              </c15:filteredCategoryTitle>
            </c:ext>
            <c:ext xmlns:c16="http://schemas.microsoft.com/office/drawing/2014/chart" uri="{C3380CC4-5D6E-409C-BE32-E72D297353CC}">
              <c16:uniqueId val="{00000001-138F-B042-8F36-4C00AAEE5504}"/>
            </c:ext>
          </c:extLst>
        </c:ser>
        <c:ser>
          <c:idx val="2"/>
          <c:order val="2"/>
          <c:spPr>
            <a:ln w="28575" cap="rnd">
              <a:solidFill>
                <a:schemeClr val="accent3"/>
              </a:solidFill>
              <a:round/>
            </a:ln>
            <a:effectLst/>
          </c:spPr>
          <c:marker>
            <c:symbol val="none"/>
          </c:marker>
          <c:val>
            <c:numRef>
              <c:f>#REF!</c:f>
              <c:numCache>
                <c:formatCode>General</c:formatCode>
                <c:ptCount val="1"/>
                <c:pt idx="0">
                  <c:v>1</c:v>
                </c:pt>
              </c:numCache>
            </c:numRef>
          </c:val>
          <c:smooth val="0"/>
          <c:extLst>
            <c:ext xmlns:c15="http://schemas.microsoft.com/office/drawing/2012/chart" uri="{02D57815-91ED-43cb-92C2-25804820EDAC}">
              <c15:filteredSeriesTitle>
                <c15:tx>
                  <c:strRef>
                    <c:extLst>
                      <c:ext uri="{02D57815-91ED-43cb-92C2-25804820EDAC}">
                        <c15:formulaRef>
                          <c15:sqref>#REF!</c15:sqref>
                        </c15:formulaRef>
                      </c:ext>
                    </c:extLst>
                    <c:strCache>
                      <c:ptCount val="1"/>
                      <c:pt idx="0">
                        <c:v>#REF!</c:v>
                      </c:pt>
                    </c:strCache>
                  </c:strRef>
                </c15:tx>
              </c15:filteredSeriesTitle>
            </c:ext>
            <c:ext xmlns:c15="http://schemas.microsoft.com/office/drawing/2012/chart" uri="{02D57815-91ED-43cb-92C2-25804820EDAC}">
              <c15:filteredCategoryTitle>
                <c15:cat>
                  <c:multiLvlStrRef>
                    <c:extLst>
                      <c:ext uri="{02D57815-91ED-43cb-92C2-25804820EDAC}">
                        <c15:formulaRef>
                          <c15:sqref>#REF!</c15:sqref>
                        </c15:formulaRef>
                      </c:ext>
                    </c:extLst>
                  </c:multiLvlStrRef>
                </c15:cat>
              </c15:filteredCategoryTitle>
            </c:ext>
            <c:ext xmlns:c16="http://schemas.microsoft.com/office/drawing/2014/chart" uri="{C3380CC4-5D6E-409C-BE32-E72D297353CC}">
              <c16:uniqueId val="{00000002-138F-B042-8F36-4C00AAEE5504}"/>
            </c:ext>
          </c:extLst>
        </c:ser>
        <c:ser>
          <c:idx val="3"/>
          <c:order val="3"/>
          <c:spPr>
            <a:ln w="28575" cap="rnd">
              <a:solidFill>
                <a:schemeClr val="accent4"/>
              </a:solidFill>
              <a:round/>
            </a:ln>
            <a:effectLst/>
          </c:spPr>
          <c:marker>
            <c:symbol val="none"/>
          </c:marker>
          <c:val>
            <c:numRef>
              <c:f>#REF!</c:f>
              <c:numCache>
                <c:formatCode>General</c:formatCode>
                <c:ptCount val="1"/>
                <c:pt idx="0">
                  <c:v>1</c:v>
                </c:pt>
              </c:numCache>
            </c:numRef>
          </c:val>
          <c:smooth val="0"/>
          <c:extLst>
            <c:ext xmlns:c15="http://schemas.microsoft.com/office/drawing/2012/chart" uri="{02D57815-91ED-43cb-92C2-25804820EDAC}">
              <c15:filteredSeriesTitle>
                <c15:tx>
                  <c:strRef>
                    <c:extLst>
                      <c:ext uri="{02D57815-91ED-43cb-92C2-25804820EDAC}">
                        <c15:formulaRef>
                          <c15:sqref>#REF!</c15:sqref>
                        </c15:formulaRef>
                      </c:ext>
                    </c:extLst>
                    <c:strCache>
                      <c:ptCount val="1"/>
                      <c:pt idx="0">
                        <c:v>#REF!</c:v>
                      </c:pt>
                    </c:strCache>
                  </c:strRef>
                </c15:tx>
              </c15:filteredSeriesTitle>
            </c:ext>
            <c:ext xmlns:c15="http://schemas.microsoft.com/office/drawing/2012/chart" uri="{02D57815-91ED-43cb-92C2-25804820EDAC}">
              <c15:filteredCategoryTitle>
                <c15:cat>
                  <c:multiLvlStrRef>
                    <c:extLst>
                      <c:ext uri="{02D57815-91ED-43cb-92C2-25804820EDAC}">
                        <c15:formulaRef>
                          <c15:sqref>#REF!</c15:sqref>
                        </c15:formulaRef>
                      </c:ext>
                    </c:extLst>
                  </c:multiLvlStrRef>
                </c15:cat>
              </c15:filteredCategoryTitle>
            </c:ext>
            <c:ext xmlns:c16="http://schemas.microsoft.com/office/drawing/2014/chart" uri="{C3380CC4-5D6E-409C-BE32-E72D297353CC}">
              <c16:uniqueId val="{00000003-138F-B042-8F36-4C00AAEE5504}"/>
            </c:ext>
          </c:extLst>
        </c:ser>
        <c:ser>
          <c:idx val="4"/>
          <c:order val="4"/>
          <c:spPr>
            <a:ln w="28575" cap="rnd">
              <a:solidFill>
                <a:schemeClr val="accent5"/>
              </a:solidFill>
              <a:round/>
            </a:ln>
            <a:effectLst/>
          </c:spPr>
          <c:marker>
            <c:symbol val="none"/>
          </c:marker>
          <c:val>
            <c:numRef>
              <c:f>#REF!</c:f>
              <c:numCache>
                <c:formatCode>General</c:formatCode>
                <c:ptCount val="1"/>
                <c:pt idx="0">
                  <c:v>1</c:v>
                </c:pt>
              </c:numCache>
            </c:numRef>
          </c:val>
          <c:smooth val="0"/>
          <c:extLst>
            <c:ext xmlns:c15="http://schemas.microsoft.com/office/drawing/2012/chart" uri="{02D57815-91ED-43cb-92C2-25804820EDAC}">
              <c15:filteredSeriesTitle>
                <c15:tx>
                  <c:strRef>
                    <c:extLst>
                      <c:ext uri="{02D57815-91ED-43cb-92C2-25804820EDAC}">
                        <c15:formulaRef>
                          <c15:sqref>#REF!</c15:sqref>
                        </c15:formulaRef>
                      </c:ext>
                    </c:extLst>
                    <c:strCache>
                      <c:ptCount val="1"/>
                      <c:pt idx="0">
                        <c:v>#REF!</c:v>
                      </c:pt>
                    </c:strCache>
                  </c:strRef>
                </c15:tx>
              </c15:filteredSeriesTitle>
            </c:ext>
            <c:ext xmlns:c15="http://schemas.microsoft.com/office/drawing/2012/chart" uri="{02D57815-91ED-43cb-92C2-25804820EDAC}">
              <c15:filteredCategoryTitle>
                <c15:cat>
                  <c:multiLvlStrRef>
                    <c:extLst>
                      <c:ext uri="{02D57815-91ED-43cb-92C2-25804820EDAC}">
                        <c15:formulaRef>
                          <c15:sqref>#REF!</c15:sqref>
                        </c15:formulaRef>
                      </c:ext>
                    </c:extLst>
                  </c:multiLvlStrRef>
                </c15:cat>
              </c15:filteredCategoryTitle>
            </c:ext>
            <c:ext xmlns:c16="http://schemas.microsoft.com/office/drawing/2014/chart" uri="{C3380CC4-5D6E-409C-BE32-E72D297353CC}">
              <c16:uniqueId val="{00000004-138F-B042-8F36-4C00AAEE5504}"/>
            </c:ext>
          </c:extLst>
        </c:ser>
        <c:dLbls>
          <c:showLegendKey val="0"/>
          <c:showVal val="0"/>
          <c:showCatName val="0"/>
          <c:showSerName val="0"/>
          <c:showPercent val="0"/>
          <c:showBubbleSize val="0"/>
        </c:dLbls>
        <c:smooth val="0"/>
        <c:axId val="1233936960"/>
        <c:axId val="1882695216"/>
      </c:lineChart>
      <c:catAx>
        <c:axId val="1233936960"/>
        <c:scaling>
          <c:orientation val="minMax"/>
        </c:scaling>
        <c:delete val="0"/>
        <c:axPos val="b"/>
        <c:numFmt formatCode="0"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crossAx val="1882695216"/>
        <c:crosses val="autoZero"/>
        <c:auto val="1"/>
        <c:lblAlgn val="ctr"/>
        <c:lblOffset val="100"/>
        <c:noMultiLvlLbl val="0"/>
      </c:catAx>
      <c:valAx>
        <c:axId val="188269521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crossAx val="1233936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legend>
    <c:plotVisOnly val="1"/>
    <c:dispBlanksAs val="gap"/>
    <c:showDLblsOverMax val="0"/>
  </c:chart>
  <c:spPr>
    <a:solidFill>
      <a:schemeClr val="tx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 dir="row">Segmentation!$C$128:$N$128</cx:f>
        <cx:lvl ptCount="12">
          <cx:pt idx="0">Q122</cx:pt>
          <cx:pt idx="1">Q222</cx:pt>
          <cx:pt idx="2">Q322</cx:pt>
          <cx:pt idx="3">Q422</cx:pt>
          <cx:pt idx="4">Q123</cx:pt>
          <cx:pt idx="5">Q223</cx:pt>
          <cx:pt idx="6">Q323</cx:pt>
          <cx:pt idx="7">Q423</cx:pt>
          <cx:pt idx="8">Q124</cx:pt>
          <cx:pt idx="9">Q224</cx:pt>
          <cx:pt idx="10">Q324</cx:pt>
          <cx:pt idx="11">Q424</cx:pt>
        </cx:lvl>
      </cx:strDim>
      <cx:numDim type="val">
        <cx:f dir="row">Segmentation!$C$129:$N$129</cx:f>
        <cx:lvl ptCount="12" formatCode="0.0%">
          <cx:pt idx="0">0.23999999999999999</cx:pt>
          <cx:pt idx="1">0.155</cx:pt>
          <cx:pt idx="2">0.052999999999999999</cx:pt>
          <cx:pt idx="3">0.112</cx:pt>
          <cx:pt idx="4">0.024</cx:pt>
          <cx:pt idx="5">0.045999999999999999</cx:pt>
          <cx:pt idx="6">-0.014</cx:pt>
          <cx:pt idx="7">0.001</cx:pt>
          <cx:pt idx="8">0.062</cx:pt>
          <cx:pt idx="9">-0.032000000000000001</cx:pt>
          <cx:pt idx="10">0.012</cx:pt>
          <cx:pt idx="11">0.029000000000000001</cx:pt>
        </cx:lvl>
      </cx:numDim>
    </cx:data>
    <cx:data id="1">
      <cx:strDim type="cat">
        <cx:f dir="row">Segmentation!$C$128:$N$128</cx:f>
        <cx:lvl ptCount="12">
          <cx:pt idx="0">Q122</cx:pt>
          <cx:pt idx="1">Q222</cx:pt>
          <cx:pt idx="2">Q322</cx:pt>
          <cx:pt idx="3">Q422</cx:pt>
          <cx:pt idx="4">Q123</cx:pt>
          <cx:pt idx="5">Q223</cx:pt>
          <cx:pt idx="6">Q323</cx:pt>
          <cx:pt idx="7">Q423</cx:pt>
          <cx:pt idx="8">Q124</cx:pt>
          <cx:pt idx="9">Q224</cx:pt>
          <cx:pt idx="10">Q324</cx:pt>
          <cx:pt idx="11">Q424</cx:pt>
        </cx:lvl>
      </cx:strDim>
      <cx:numDim type="val">
        <cx:f dir="row">Segmentation!$C$130:$N$130</cx:f>
        <cx:lvl ptCount="12" formatCode="0.0%">
          <cx:pt idx="0">-0.025000000000000001</cx:pt>
          <cx:pt idx="1">0.0089999999999999993</cx:pt>
          <cx:pt idx="2">0.016</cx:pt>
          <cx:pt idx="3">0.010999999999999999</cx:pt>
          <cx:pt idx="4">0.029999999999999999</cx:pt>
          <cx:pt idx="5">0.075999999999999998</cx:pt>
          <cx:pt idx="6">0.021000000000000001</cx:pt>
          <cx:pt idx="7">0.036999999999999998</cx:pt>
          <cx:pt idx="8">0.041000000000000002</cx:pt>
          <cx:pt idx="9">0.0089999999999999993</cx:pt>
          <cx:pt idx="10">0.058000000000000003</cx:pt>
          <cx:pt idx="11">-0.001</cx:pt>
        </cx:lvl>
      </cx:numDim>
    </cx:data>
  </cx:chartData>
  <cx:chart>
    <cx:title pos="t" align="ctr" overlay="0">
      <cx:tx>
        <cx:rich>
          <a:bodyPr rot="0" spcFirstLastPara="1" vertOverflow="ellipsis" vert="horz" wrap="square" lIns="38100" tIns="19050" rIns="38100" bIns="19050" anchor="ctr" anchorCtr="1" compatLnSpc="0"/>
          <a:lstStyle/>
          <a:p>
            <a:pPr algn="ctr" rtl="0">
              <a:defRPr sz="1440" b="0" i="0" u="none" strike="noStrike" kern="1200" spc="0" baseline="0">
                <a:solidFill>
                  <a:schemeClr val="bg1"/>
                </a:solidFill>
                <a:latin typeface="+mn-lt"/>
                <a:ea typeface="+mn-ea"/>
                <a:cs typeface="+mn-cs"/>
              </a:defRPr>
            </a:pPr>
            <a:r>
              <a:rPr kumimoji="0" lang="en-US" sz="1440" b="0" i="0" u="none" strike="noStrike" kern="1200" cap="none" spc="0" normalizeH="0" baseline="0" noProof="0">
                <a:ln>
                  <a:noFill/>
                </a:ln>
                <a:solidFill>
                  <a:schemeClr val="bg1"/>
                </a:solidFill>
                <a:effectLst/>
                <a:uLnTx/>
                <a:uFillTx/>
                <a:latin typeface="Aptos Narrow" panose="02110004020202020204"/>
              </a:rPr>
              <a:t>Same Store Sales (SSS)</a:t>
            </a:r>
            <a:endParaRPr lang="en-US">
              <a:solidFill>
                <a:schemeClr val="bg1"/>
              </a:solidFill>
            </a:endParaRPr>
          </a:p>
        </cx:rich>
      </cx:tx>
    </cx:title>
    <cx:plotArea>
      <cx:plotAreaRegion>
        <cx:series layoutId="boxWhisker" uniqueId="{E0CFEDA4-6486-624F-A489-5656C8DA6043}">
          <cx:tx>
            <cx:txData>
              <cx:f>Segmentation!$B$129</cx:f>
              <cx:v>Bad Daddy's </cx:v>
            </cx:txData>
          </cx:tx>
          <cx:dataId val="0"/>
          <cx:layoutPr>
            <cx:statistics quartileMethod="exclusive"/>
          </cx:layoutPr>
        </cx:series>
        <cx:series layoutId="boxWhisker" uniqueId="{71191959-EE1F-2443-BF96-93C34728E917}">
          <cx:tx>
            <cx:txData>
              <cx:f>Segmentation!$B$130</cx:f>
              <cx:v>Good Times</cx:v>
            </cx:txData>
          </cx:tx>
          <cx:dataId val="1"/>
          <cx:layoutPr>
            <cx:statistics quartileMethod="exclusive"/>
          </cx:layoutPr>
        </cx:series>
      </cx:plotAreaRegion>
      <cx:axis id="0">
        <cx:catScaling gapWidth="1.5"/>
        <cx:tickLabels/>
        <cx:txPr>
          <a:bodyPr spcFirstLastPara="1" vertOverflow="ellipsis" horzOverflow="overflow" wrap="square" lIns="0" tIns="0" rIns="0" bIns="0" anchor="ctr" anchorCtr="1"/>
          <a:lstStyle/>
          <a:p>
            <a:pPr algn="ctr" rtl="0">
              <a:defRPr>
                <a:solidFill>
                  <a:schemeClr val="bg1"/>
                </a:solidFill>
              </a:defRPr>
            </a:pPr>
            <a:endParaRPr lang="en-US" sz="900" b="0" i="0" u="none" strike="noStrike" kern="1200" baseline="0">
              <a:solidFill>
                <a:schemeClr val="bg1"/>
              </a:solidFill>
              <a:latin typeface="Aptos Narrow" panose="02110004020202020204"/>
            </a:endParaRPr>
          </a:p>
        </cx:txPr>
      </cx:axis>
      <cx:axis id="1">
        <cx:valScaling/>
        <cx:majorGridlines/>
        <cx:tickLabels/>
        <cx:txPr>
          <a:bodyPr spcFirstLastPara="1" vertOverflow="ellipsis" horzOverflow="overflow" wrap="square" lIns="0" tIns="0" rIns="0" bIns="0" anchor="ctr" anchorCtr="1"/>
          <a:lstStyle/>
          <a:p>
            <a:pPr algn="ctr" rtl="0">
              <a:defRPr>
                <a:solidFill>
                  <a:schemeClr val="bg1"/>
                </a:solidFill>
              </a:defRPr>
            </a:pPr>
            <a:endParaRPr lang="en-US" sz="900" b="0" i="0" u="none" strike="noStrike" kern="1200" baseline="0">
              <a:solidFill>
                <a:schemeClr val="bg1"/>
              </a:solidFill>
              <a:latin typeface="Aptos Narrow" panose="02110004020202020204"/>
            </a:endParaRPr>
          </a:p>
        </cx:txPr>
      </cx:axis>
    </cx:plotArea>
    <cx:legend pos="t" align="ctr" overlay="0">
      <cx:txPr>
        <a:bodyPr spcFirstLastPara="1" vertOverflow="ellipsis" horzOverflow="overflow" wrap="square" lIns="0" tIns="0" rIns="0" bIns="0" anchor="ctr" anchorCtr="1"/>
        <a:lstStyle/>
        <a:p>
          <a:pPr algn="ctr" rtl="0">
            <a:defRPr>
              <a:solidFill>
                <a:schemeClr val="bg1"/>
              </a:solidFill>
            </a:defRPr>
          </a:pPr>
          <a:endParaRPr lang="en-US" sz="900" b="0" i="0" u="none" strike="noStrike" kern="1200" baseline="0">
            <a:solidFill>
              <a:schemeClr val="bg1"/>
            </a:solidFill>
            <a:latin typeface="Aptos Narrow" panose="02110004020202020204"/>
          </a:endParaRPr>
        </a:p>
      </cx:txPr>
    </cx:legend>
  </cx:chart>
  <cx:spPr>
    <a:solidFill>
      <a:schemeClr val="tx1"/>
    </a:solidFill>
  </cx:spPr>
</cx:chartSpace>
</file>

<file path=word/charts/chartEx2.xml><?xml version="1.0" encoding="utf-8"?>
<cx:chartSpace xmlns:a="http://schemas.openxmlformats.org/drawingml/2006/main" xmlns:r="http://schemas.openxmlformats.org/officeDocument/2006/relationships" xmlns:cx="http://schemas.microsoft.com/office/drawing/2014/chartex">
  <cx:chart>
    <cx:title pos="t" align="ctr" overlay="0">
      <cx:tx>
        <cx:txData>
          <cx:v>Distribution of Restaurant  Margins (13Y Analysis)</cx:v>
        </cx:txData>
      </cx:tx>
      <cx:txPr>
        <a:bodyPr spcFirstLastPara="1" vertOverflow="ellipsis" horzOverflow="overflow" wrap="square" lIns="0" tIns="0" rIns="0" bIns="0" anchor="ctr" anchorCtr="1"/>
        <a:lstStyle/>
        <a:p>
          <a:pPr algn="ctr" rtl="0">
            <a:defRPr>
              <a:solidFill>
                <a:schemeClr val="bg1"/>
              </a:solidFill>
            </a:defRPr>
          </a:pPr>
          <a:r>
            <a:rPr lang="en-US" sz="1400" b="0" i="0" u="none" strike="noStrike" baseline="0">
              <a:solidFill>
                <a:schemeClr val="bg1"/>
              </a:solidFill>
              <a:latin typeface="Aptos Narrow" panose="02110004020202020204"/>
            </a:rPr>
            <a:t>Distribution of Restaurant  Margins (13Y Analysis)</a:t>
          </a:r>
        </a:p>
      </cx:txPr>
    </cx:title>
    <cx:plotArea>
      <cx:plotAreaRegion/>
    </cx:plotArea>
  </cx:chart>
  <cx:spPr>
    <a:solidFill>
      <a:schemeClr val="tx1"/>
    </a:solidFill>
  </cx:spPr>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2365</TotalTime>
  <Pages>14</Pages>
  <Words>3537</Words>
  <Characters>20162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jameel</dc:creator>
  <cp:keywords/>
  <dc:description/>
  <cp:lastModifiedBy>jameel</cp:lastModifiedBy>
  <cp:revision>31</cp:revision>
  <dcterms:created xsi:type="dcterms:W3CDTF">2024-11-18T05:14:00Z</dcterms:created>
  <dcterms:modified xsi:type="dcterms:W3CDTF">2024-11-22T05:48:00Z</dcterms:modified>
</cp:coreProperties>
</file>