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3A1F" w14:textId="77777777" w:rsidR="00CA6940" w:rsidRDefault="00CA6940" w:rsidP="00CA6940">
      <w:pPr>
        <w:jc w:val="center"/>
        <w:rPr>
          <w:b/>
          <w:bCs/>
        </w:rPr>
      </w:pPr>
    </w:p>
    <w:p w14:paraId="766F78C0" w14:textId="77777777" w:rsidR="00CA6940" w:rsidRDefault="00CA6940" w:rsidP="00CA6940">
      <w:pPr>
        <w:jc w:val="center"/>
        <w:rPr>
          <w:b/>
          <w:bCs/>
        </w:rPr>
      </w:pPr>
    </w:p>
    <w:p w14:paraId="7C0CDE94" w14:textId="77777777" w:rsidR="00CA6940" w:rsidRDefault="00CA6940" w:rsidP="00CA6940">
      <w:pPr>
        <w:jc w:val="center"/>
        <w:rPr>
          <w:b/>
          <w:bCs/>
        </w:rPr>
      </w:pPr>
    </w:p>
    <w:p w14:paraId="379F0328" w14:textId="77777777" w:rsidR="00CA6940" w:rsidRDefault="00CA6940" w:rsidP="00CA6940">
      <w:pPr>
        <w:jc w:val="center"/>
        <w:rPr>
          <w:b/>
          <w:bCs/>
        </w:rPr>
      </w:pPr>
    </w:p>
    <w:p w14:paraId="071D2ED7" w14:textId="77777777" w:rsidR="00CA6940" w:rsidRDefault="00CA6940" w:rsidP="00CA6940">
      <w:pPr>
        <w:jc w:val="center"/>
        <w:rPr>
          <w:b/>
          <w:bCs/>
        </w:rPr>
      </w:pPr>
    </w:p>
    <w:p w14:paraId="17AE88E2" w14:textId="77777777" w:rsidR="00CA6940" w:rsidRDefault="00CA6940" w:rsidP="00CA6940">
      <w:pPr>
        <w:jc w:val="center"/>
        <w:rPr>
          <w:b/>
          <w:bCs/>
        </w:rPr>
      </w:pPr>
    </w:p>
    <w:p w14:paraId="79ACAF57" w14:textId="77777777" w:rsidR="00CA6940" w:rsidRDefault="00CA6940" w:rsidP="006810BA">
      <w:pPr>
        <w:rPr>
          <w:b/>
          <w:bCs/>
        </w:rPr>
      </w:pPr>
    </w:p>
    <w:p w14:paraId="671BAA3E" w14:textId="77777777" w:rsidR="00CA6940" w:rsidRDefault="00CA6940" w:rsidP="00CA6940">
      <w:pPr>
        <w:jc w:val="center"/>
        <w:rPr>
          <w:b/>
          <w:bCs/>
        </w:rPr>
      </w:pPr>
    </w:p>
    <w:p w14:paraId="735F07F4" w14:textId="77777777" w:rsidR="00CA6940" w:rsidRDefault="00CA6940" w:rsidP="007F40F7">
      <w:pPr>
        <w:rPr>
          <w:b/>
          <w:bCs/>
        </w:rPr>
      </w:pPr>
    </w:p>
    <w:p w14:paraId="4CF18F40" w14:textId="77777777" w:rsidR="00CA6940" w:rsidRDefault="00CA6940" w:rsidP="00CA6940">
      <w:pPr>
        <w:jc w:val="center"/>
        <w:rPr>
          <w:b/>
          <w:bCs/>
        </w:rPr>
      </w:pPr>
    </w:p>
    <w:p w14:paraId="225195CC" w14:textId="1FC1128E" w:rsidR="00CA6940" w:rsidRDefault="00CA6940" w:rsidP="00CA6940">
      <w:pPr>
        <w:jc w:val="center"/>
        <w:rPr>
          <w:b/>
          <w:bCs/>
        </w:rPr>
      </w:pPr>
      <w:r w:rsidRPr="00CA6940">
        <w:rPr>
          <w:b/>
          <w:bCs/>
        </w:rPr>
        <w:t>The Restaurant Industry</w:t>
      </w:r>
    </w:p>
    <w:p w14:paraId="6846480D" w14:textId="77777777" w:rsidR="006810BA" w:rsidRPr="006810BA" w:rsidRDefault="006810BA" w:rsidP="006810BA">
      <w:pPr>
        <w:jc w:val="both"/>
      </w:pPr>
      <w:r w:rsidRPr="006810BA">
        <w:t>Publicly traded restaurants operate under similar business models, with some owning all their units, others franchising to third parties, and some adopting a hybrid approach. Regardless of the structure, one fundamental truth remains: </w:t>
      </w:r>
      <w:r w:rsidRPr="006810BA">
        <w:rPr>
          <w:b/>
          <w:bCs/>
        </w:rPr>
        <w:t>every restaurant competes for a finite pool of consumer dollars.</w:t>
      </w:r>
      <w:r w:rsidRPr="006810BA">
        <w:t> With limited discretionary spending, each brand must work to capture its share of existing demand.</w:t>
      </w:r>
    </w:p>
    <w:p w14:paraId="6B4717A0" w14:textId="0A194CAE" w:rsidR="006810BA" w:rsidRPr="006810BA" w:rsidRDefault="006810BA" w:rsidP="006810BA">
      <w:pPr>
        <w:jc w:val="both"/>
      </w:pPr>
      <w:r w:rsidRPr="006810BA">
        <w:t xml:space="preserve">While the </w:t>
      </w:r>
      <w:r w:rsidRPr="006810BA">
        <w:t>goal</w:t>
      </w:r>
      <w:r w:rsidRPr="006810BA">
        <w:t xml:space="preserve"> of any firm is to maximize </w:t>
      </w:r>
      <w:r w:rsidRPr="006810BA">
        <w:rPr>
          <w:b/>
          <w:bCs/>
        </w:rPr>
        <w:t>profits</w:t>
      </w:r>
      <w:r w:rsidRPr="006810BA">
        <w:t>, public restaurants often focus on </w:t>
      </w:r>
      <w:r w:rsidRPr="006810BA">
        <w:rPr>
          <w:b/>
          <w:bCs/>
        </w:rPr>
        <w:t>increasing revenue</w:t>
      </w:r>
      <w:r w:rsidRPr="006810BA">
        <w:t> as a pathway to capturing market share and achieving sustainable profitability over time. This focus on revenue reflects the competitive and growth-oriented nature of the industry, where firms must first attract consumer spending before optimizing for costs and margins.</w:t>
      </w:r>
    </w:p>
    <w:p w14:paraId="0A8DF3AF" w14:textId="77777777" w:rsidR="007F40F7" w:rsidRDefault="007F40F7" w:rsidP="00CA6940">
      <w:pPr>
        <w:jc w:val="both"/>
      </w:pPr>
    </w:p>
    <w:p w14:paraId="24974D3D" w14:textId="77777777" w:rsidR="007F40F7" w:rsidRDefault="007F40F7" w:rsidP="00CA6940">
      <w:pPr>
        <w:jc w:val="both"/>
      </w:pPr>
    </w:p>
    <w:p w14:paraId="141B4971" w14:textId="77777777" w:rsidR="007F40F7" w:rsidRDefault="007F40F7" w:rsidP="00CA6940">
      <w:pPr>
        <w:jc w:val="both"/>
      </w:pPr>
    </w:p>
    <w:p w14:paraId="4C8CF27B" w14:textId="77777777" w:rsidR="007F40F7" w:rsidRDefault="007F40F7" w:rsidP="00CA6940">
      <w:pPr>
        <w:jc w:val="both"/>
      </w:pPr>
    </w:p>
    <w:p w14:paraId="0BBCD627" w14:textId="03E4330A" w:rsidR="00CA6940" w:rsidRDefault="007F40F7" w:rsidP="00CA6940">
      <w:pPr>
        <w:jc w:val="both"/>
        <w:rPr>
          <w:b/>
          <w:bCs/>
        </w:rPr>
      </w:pPr>
      <w:r w:rsidRPr="007F40F7">
        <w:rPr>
          <w:b/>
          <w:bCs/>
        </w:rPr>
        <w:t xml:space="preserve">Disclaimer:  I am long and short multiple securities some of which are mentioned in this writing.  This is not financial advice.  </w:t>
      </w:r>
    </w:p>
    <w:p w14:paraId="1F9BB5FA" w14:textId="77777777" w:rsidR="00A02EBB" w:rsidRPr="00A02EBB" w:rsidRDefault="00A02EBB" w:rsidP="00CA6940">
      <w:pPr>
        <w:jc w:val="both"/>
        <w:rPr>
          <w:b/>
          <w:bCs/>
        </w:rPr>
      </w:pPr>
    </w:p>
    <w:p w14:paraId="7E97BBA9" w14:textId="77777777" w:rsidR="00CA6940" w:rsidRDefault="00CA6940" w:rsidP="00CA6940">
      <w:pPr>
        <w:jc w:val="both"/>
      </w:pPr>
    </w:p>
    <w:p w14:paraId="153154C0" w14:textId="7F10548D" w:rsidR="00CA6940" w:rsidRDefault="00CA6940" w:rsidP="00CA6940">
      <w:pPr>
        <w:jc w:val="center"/>
        <w:rPr>
          <w:b/>
          <w:bCs/>
        </w:rPr>
      </w:pPr>
      <w:r w:rsidRPr="00CA6940">
        <w:rPr>
          <w:b/>
          <w:bCs/>
        </w:rPr>
        <w:lastRenderedPageBreak/>
        <w:t>Overview</w:t>
      </w:r>
    </w:p>
    <w:p w14:paraId="4B20DE88" w14:textId="77777777" w:rsidR="007F40F7" w:rsidRPr="007F40F7" w:rsidRDefault="007F40F7" w:rsidP="007F40F7">
      <w:pPr>
        <w:jc w:val="both"/>
      </w:pPr>
      <w:r w:rsidRPr="007F40F7">
        <w:t>All food originates from the ground and follows two main paths: </w:t>
      </w:r>
      <w:r w:rsidRPr="007F40F7">
        <w:rPr>
          <w:b/>
          <w:bCs/>
        </w:rPr>
        <w:t>(A)</w:t>
      </w:r>
      <w:r w:rsidRPr="007F40F7">
        <w:t> from the farm to the grocery store or </w:t>
      </w:r>
      <w:r w:rsidRPr="007F40F7">
        <w:rPr>
          <w:b/>
          <w:bCs/>
        </w:rPr>
        <w:t>(B)</w:t>
      </w:r>
      <w:r w:rsidRPr="007F40F7">
        <w:t> from the farm to a restaurant or food facility. For the goods that follow path (B), companies compete aggressively for consumer dollars through branding, pricing, operational strategies, and unique offerings. This competition forms the foundation of this analysis.</w:t>
      </w:r>
    </w:p>
    <w:p w14:paraId="4705F1A8" w14:textId="77777777" w:rsidR="007F40F7" w:rsidRPr="007F40F7" w:rsidRDefault="007F40F7" w:rsidP="007F40F7">
      <w:pPr>
        <w:jc w:val="both"/>
      </w:pPr>
      <w:r w:rsidRPr="007F40F7">
        <w:t>Publicly traded restaurants operate across several distinct categories:</w:t>
      </w:r>
    </w:p>
    <w:p w14:paraId="4A14833C" w14:textId="77777777" w:rsidR="007F40F7" w:rsidRPr="007F40F7" w:rsidRDefault="007F40F7" w:rsidP="00A14E32">
      <w:pPr>
        <w:numPr>
          <w:ilvl w:val="0"/>
          <w:numId w:val="6"/>
        </w:numPr>
        <w:spacing w:line="240" w:lineRule="auto"/>
        <w:jc w:val="both"/>
      </w:pPr>
      <w:r w:rsidRPr="007F40F7">
        <w:rPr>
          <w:b/>
          <w:bCs/>
        </w:rPr>
        <w:t>Quick Service Restaurants (QSRs):</w:t>
      </w:r>
      <w:r w:rsidRPr="007F40F7">
        <w:t> Examples include McDonald’s (MCD) and </w:t>
      </w:r>
      <w:proofErr w:type="gramStart"/>
      <w:r w:rsidRPr="007F40F7">
        <w:t>Yum</w:t>
      </w:r>
      <w:proofErr w:type="gramEnd"/>
      <w:r w:rsidRPr="007F40F7">
        <w:t>! Brands (YUM).</w:t>
      </w:r>
    </w:p>
    <w:p w14:paraId="0FFB8066" w14:textId="0AC314D2" w:rsidR="007F40F7" w:rsidRPr="007F40F7" w:rsidRDefault="007F40F7" w:rsidP="00A14E32">
      <w:pPr>
        <w:numPr>
          <w:ilvl w:val="0"/>
          <w:numId w:val="6"/>
        </w:numPr>
        <w:spacing w:line="240" w:lineRule="auto"/>
        <w:jc w:val="both"/>
      </w:pPr>
      <w:r w:rsidRPr="007F40F7">
        <w:rPr>
          <w:b/>
          <w:bCs/>
        </w:rPr>
        <w:t xml:space="preserve">Fast </w:t>
      </w:r>
      <w:r w:rsidR="00A14E32" w:rsidRPr="00A14E32">
        <w:rPr>
          <w:b/>
          <w:bCs/>
        </w:rPr>
        <w:t>Casual Restaurants:</w:t>
      </w:r>
      <w:r w:rsidR="00A14E32">
        <w:t xml:space="preserve"> </w:t>
      </w:r>
      <w:r w:rsidRPr="007F40F7">
        <w:t>Represented by brands such as Chipotle (CMG), Sweetgreen (SG), Cava (CAVA), and Shake Shack (SHAK).</w:t>
      </w:r>
    </w:p>
    <w:p w14:paraId="3E79763D" w14:textId="77777777" w:rsidR="007F40F7" w:rsidRPr="007F40F7" w:rsidRDefault="007F40F7" w:rsidP="00A14E32">
      <w:pPr>
        <w:numPr>
          <w:ilvl w:val="0"/>
          <w:numId w:val="6"/>
        </w:numPr>
        <w:spacing w:line="240" w:lineRule="auto"/>
        <w:jc w:val="both"/>
      </w:pPr>
      <w:r w:rsidRPr="007F40F7">
        <w:rPr>
          <w:b/>
          <w:bCs/>
        </w:rPr>
        <w:t>Casual Dining Restaurants:</w:t>
      </w:r>
      <w:r w:rsidRPr="007F40F7">
        <w:t> Companies like Brinker International (EAT) and Darden Restaurants (DRI).</w:t>
      </w:r>
    </w:p>
    <w:p w14:paraId="54B9C9F1" w14:textId="77777777" w:rsidR="007F40F7" w:rsidRPr="007F40F7" w:rsidRDefault="007F40F7" w:rsidP="00A14E32">
      <w:pPr>
        <w:numPr>
          <w:ilvl w:val="0"/>
          <w:numId w:val="6"/>
        </w:numPr>
        <w:spacing w:line="240" w:lineRule="auto"/>
        <w:jc w:val="both"/>
      </w:pPr>
      <w:r w:rsidRPr="007F40F7">
        <w:rPr>
          <w:b/>
          <w:bCs/>
        </w:rPr>
        <w:t>Fine Dining Restaurants:</w:t>
      </w:r>
      <w:r w:rsidRPr="007F40F7">
        <w:t> Also represented by Darden Restaurants through brands like The Capital Grille.</w:t>
      </w:r>
    </w:p>
    <w:p w14:paraId="7684FCD6" w14:textId="77777777" w:rsidR="007F40F7" w:rsidRPr="007F40F7" w:rsidRDefault="007F40F7" w:rsidP="007F40F7">
      <w:pPr>
        <w:jc w:val="both"/>
      </w:pPr>
      <w:r w:rsidRPr="007F40F7">
        <w:t>Despite differences in positioning, all public restaurant equities share a common goal: </w:t>
      </w:r>
      <w:r w:rsidRPr="007F40F7">
        <w:rPr>
          <w:b/>
          <w:bCs/>
        </w:rPr>
        <w:t>competing for a finite share of consumer spending.</w:t>
      </w:r>
      <w:r w:rsidRPr="007F40F7">
        <w:t> This is not a market with “extra” money; each dollar spent at one chain represents a missed opportunity for another. A key metric used to evaluate performance across the industry is </w:t>
      </w:r>
      <w:r w:rsidRPr="007F40F7">
        <w:rPr>
          <w:b/>
          <w:bCs/>
        </w:rPr>
        <w:t>Same Store Sales (SSS)</w:t>
      </w:r>
      <w:r w:rsidRPr="007F40F7">
        <w:t>, which measures year-over-year performance for units operating at least 12 months under comparable conditions. While definitions of SSS may vary, its purpose remains the same: to assess the sustainability and growth of a chain’s established locations.</w:t>
      </w:r>
    </w:p>
    <w:p w14:paraId="66E49939" w14:textId="77777777" w:rsidR="007F40F7" w:rsidRPr="007F40F7" w:rsidRDefault="007F40F7" w:rsidP="007F40F7">
      <w:pPr>
        <w:jc w:val="both"/>
      </w:pPr>
      <w:r w:rsidRPr="007F40F7">
        <w:t>The growth of a restaurant business is primarily driven by two factors: </w:t>
      </w:r>
      <w:r w:rsidRPr="007F40F7">
        <w:rPr>
          <w:b/>
          <w:bCs/>
        </w:rPr>
        <w:t>SSS growth and operational efficiency</w:t>
      </w:r>
      <w:r w:rsidRPr="007F40F7">
        <w:t>, alongside the </w:t>
      </w:r>
      <w:r w:rsidRPr="007F40F7">
        <w:rPr>
          <w:b/>
          <w:bCs/>
        </w:rPr>
        <w:t>expansion of new units.</w:t>
      </w:r>
      <w:r w:rsidRPr="007F40F7">
        <w:t> However, the competitive and capital-intensive nature of the industry often creates significant challenges for sustained growth.</w:t>
      </w:r>
    </w:p>
    <w:p w14:paraId="79A40036" w14:textId="77777777" w:rsidR="000E383A" w:rsidRDefault="000E383A" w:rsidP="002770E4">
      <w:pPr>
        <w:jc w:val="both"/>
      </w:pPr>
    </w:p>
    <w:p w14:paraId="5F51ABDC" w14:textId="59801ED7" w:rsidR="00FA40E6" w:rsidRPr="00FA40E6" w:rsidRDefault="00FA40E6" w:rsidP="002770E4">
      <w:pPr>
        <w:jc w:val="both"/>
        <w:rPr>
          <w:b/>
          <w:bCs/>
        </w:rPr>
      </w:pPr>
      <w:r w:rsidRPr="00FA40E6">
        <w:rPr>
          <w:b/>
          <w:bCs/>
        </w:rPr>
        <w:t>Generational Shifts: A Key Driver of Change</w:t>
      </w:r>
    </w:p>
    <w:p w14:paraId="65AE3523" w14:textId="0C6BB4F3" w:rsidR="006810BA" w:rsidRDefault="006810BA" w:rsidP="006810BA">
      <w:pPr>
        <w:jc w:val="both"/>
      </w:pPr>
      <w:r>
        <w:t>T</w:t>
      </w:r>
      <w:r w:rsidRPr="006810BA">
        <w:t xml:space="preserve">he success and longevity of restaurant chains are closely tied to generational shifts in preferences and behavior. Many older chains thrived by catering to Baby Boomers, who valued simplicity and nostalgia. However, as technology became more prevalent, Generation X began exploring modern alternatives, and Millennials (Generation Y) accelerated these shifts by embracing cross-cultural communication, unique dining experiences, and technology-driven options. Economic constraints like inflation and </w:t>
      </w:r>
      <w:r w:rsidRPr="006810BA">
        <w:lastRenderedPageBreak/>
        <w:t>evolving lifestyles have further reallocated spending toward modern, experience-driven brands.</w:t>
      </w:r>
    </w:p>
    <w:p w14:paraId="26603215" w14:textId="77777777" w:rsidR="007F40F7" w:rsidRPr="007F40F7" w:rsidRDefault="007F40F7" w:rsidP="007F40F7">
      <w:pPr>
        <w:jc w:val="both"/>
      </w:pPr>
      <w:r w:rsidRPr="007F40F7">
        <w:t>As each generation grows more detached from the traditions of the previous one, </w:t>
      </w:r>
      <w:r w:rsidRPr="007F40F7">
        <w:rPr>
          <w:b/>
          <w:bCs/>
        </w:rPr>
        <w:t>resources increasingly flow toward brands that align with modern values, tastes, and lifestyles.</w:t>
      </w:r>
      <w:r w:rsidRPr="007F40F7">
        <w:t> This evolution creates opportunities for innovative brands while posing challenges for older ones.</w:t>
      </w:r>
    </w:p>
    <w:p w14:paraId="2DEC67DB" w14:textId="77777777" w:rsidR="00CA6940" w:rsidRDefault="00CA6940" w:rsidP="00A15981">
      <w:pPr>
        <w:jc w:val="both"/>
      </w:pPr>
    </w:p>
    <w:p w14:paraId="50A2E1AF" w14:textId="77777777" w:rsidR="007F40F7" w:rsidRDefault="007F40F7" w:rsidP="00FA40E6">
      <w:pPr>
        <w:jc w:val="both"/>
        <w:rPr>
          <w:b/>
          <w:bCs/>
        </w:rPr>
      </w:pPr>
      <w:r w:rsidRPr="007F40F7">
        <w:rPr>
          <w:b/>
          <w:bCs/>
        </w:rPr>
        <w:t xml:space="preserve">Adaptation and Survival: Lessons from Industry </w:t>
      </w:r>
      <w:proofErr w:type="spellStart"/>
      <w:r w:rsidRPr="007F40F7">
        <w:rPr>
          <w:b/>
          <w:bCs/>
        </w:rPr>
        <w:t>Leaders</w:t>
      </w:r>
    </w:p>
    <w:p w14:paraId="5889C65A" w14:textId="3D178D6D" w:rsidR="006810BA" w:rsidRPr="007F40F7" w:rsidRDefault="006810BA" w:rsidP="007F40F7">
      <w:pPr>
        <w:jc w:val="both"/>
      </w:pPr>
      <w:proofErr w:type="spellEnd"/>
      <w:r w:rsidRPr="006810BA">
        <w:t>Older chains must adapt to remain competitive. McDonald’s (MCD) demonstrates the importance of building emotional connections across generations. By embedding itself in consumers' memories through initiatives like the Ronald McDonald Playhouse and Happy Meals, McDonald’s has sustained its relevance. In contrast, Wendy’s (WEN) has relied on pricing strategies like the “4 for $4” menu, which appeals to cost-conscious consumers but lacks the emotional resonance needed for long-term loyalty.</w:t>
      </w:r>
    </w:p>
    <w:p w14:paraId="48DA5888" w14:textId="77777777" w:rsidR="007F40F7" w:rsidRPr="007F40F7" w:rsidRDefault="007F40F7" w:rsidP="007F40F7">
      <w:pPr>
        <w:jc w:val="both"/>
        <w:rPr>
          <w:b/>
          <w:bCs/>
        </w:rPr>
      </w:pPr>
      <w:r w:rsidRPr="007F40F7">
        <w:rPr>
          <w:b/>
          <w:bCs/>
        </w:rPr>
        <w:t>Chains Facing Risks:</w:t>
      </w:r>
    </w:p>
    <w:p w14:paraId="7B833E68" w14:textId="77777777" w:rsidR="007F40F7" w:rsidRPr="007F40F7" w:rsidRDefault="007F40F7" w:rsidP="007F40F7">
      <w:pPr>
        <w:jc w:val="both"/>
      </w:pPr>
      <w:r w:rsidRPr="007F40F7">
        <w:t>Several older chains face challenges in adapting to modern tastes and operational realities:</w:t>
      </w:r>
    </w:p>
    <w:p w14:paraId="74FE1649" w14:textId="0BA0A6CC" w:rsidR="007F40F7" w:rsidRPr="007F40F7" w:rsidRDefault="007F40F7" w:rsidP="007F40F7">
      <w:pPr>
        <w:numPr>
          <w:ilvl w:val="0"/>
          <w:numId w:val="8"/>
        </w:numPr>
        <w:jc w:val="both"/>
      </w:pPr>
      <w:r w:rsidRPr="007F40F7">
        <w:rPr>
          <w:b/>
          <w:bCs/>
        </w:rPr>
        <w:t>Denny’s (DENN):</w:t>
      </w:r>
      <w:r w:rsidRPr="007F40F7">
        <w:t xml:space="preserve"> The traditional diner concept struggles to attract younger consumers </w:t>
      </w:r>
      <w:r>
        <w:t>(It’s innovative branch: “</w:t>
      </w:r>
      <w:proofErr w:type="spellStart"/>
      <w:r>
        <w:t>keke’s</w:t>
      </w:r>
      <w:proofErr w:type="spellEnd"/>
      <w:r>
        <w:t>” may offset this in time)</w:t>
      </w:r>
    </w:p>
    <w:p w14:paraId="52A9EE1F" w14:textId="77777777" w:rsidR="007F40F7" w:rsidRPr="007F40F7" w:rsidRDefault="007F40F7" w:rsidP="007F40F7">
      <w:pPr>
        <w:numPr>
          <w:ilvl w:val="0"/>
          <w:numId w:val="8"/>
        </w:numPr>
        <w:jc w:val="both"/>
      </w:pPr>
      <w:r w:rsidRPr="007F40F7">
        <w:rPr>
          <w:b/>
          <w:bCs/>
        </w:rPr>
        <w:t>Cracker Barrel (CBRL):</w:t>
      </w:r>
      <w:r w:rsidRPr="007F40F7">
        <w:t> Its old-fashioned appeal resonates with a shrinking demographic and has limited modernization efforts.</w:t>
      </w:r>
    </w:p>
    <w:p w14:paraId="5C2101FD" w14:textId="77777777" w:rsidR="007F40F7" w:rsidRPr="007F40F7" w:rsidRDefault="007F40F7" w:rsidP="007F40F7">
      <w:pPr>
        <w:numPr>
          <w:ilvl w:val="0"/>
          <w:numId w:val="8"/>
        </w:numPr>
        <w:jc w:val="both"/>
      </w:pPr>
      <w:r w:rsidRPr="007F40F7">
        <w:rPr>
          <w:b/>
          <w:bCs/>
        </w:rPr>
        <w:t>Red Robin (RRGB):</w:t>
      </w:r>
      <w:r w:rsidRPr="007F40F7">
        <w:t> Inconsistent branding and management decisions have hindered its ability to compete effectively.</w:t>
      </w:r>
    </w:p>
    <w:p w14:paraId="795621DF" w14:textId="77777777" w:rsidR="007F40F7" w:rsidRPr="007F40F7" w:rsidRDefault="007F40F7" w:rsidP="007F40F7">
      <w:pPr>
        <w:numPr>
          <w:ilvl w:val="0"/>
          <w:numId w:val="8"/>
        </w:numPr>
        <w:jc w:val="both"/>
      </w:pPr>
      <w:r w:rsidRPr="007F40F7">
        <w:rPr>
          <w:b/>
          <w:bCs/>
        </w:rPr>
        <w:t>Papa John’s (PZZA):</w:t>
      </w:r>
      <w:r w:rsidRPr="007F40F7">
        <w:t> Leadership controversies and weak innovation have damaged its brand reputation.</w:t>
      </w:r>
    </w:p>
    <w:p w14:paraId="785E557B" w14:textId="77777777" w:rsidR="007F40F7" w:rsidRPr="007F40F7" w:rsidRDefault="007F40F7" w:rsidP="007F40F7">
      <w:pPr>
        <w:numPr>
          <w:ilvl w:val="0"/>
          <w:numId w:val="8"/>
        </w:numPr>
        <w:jc w:val="both"/>
      </w:pPr>
      <w:r w:rsidRPr="007F40F7">
        <w:rPr>
          <w:b/>
          <w:bCs/>
        </w:rPr>
        <w:t>Portillo’s (PTLO):</w:t>
      </w:r>
      <w:r w:rsidRPr="007F40F7">
        <w:t> Despite strong regional loyalty, its scalability and national brand recognition remain limited.</w:t>
      </w:r>
    </w:p>
    <w:p w14:paraId="5602380F" w14:textId="77777777" w:rsidR="007F40F7" w:rsidRPr="007F40F7" w:rsidRDefault="007F40F7" w:rsidP="007F40F7">
      <w:pPr>
        <w:numPr>
          <w:ilvl w:val="0"/>
          <w:numId w:val="8"/>
        </w:numPr>
        <w:jc w:val="both"/>
      </w:pPr>
      <w:r w:rsidRPr="007F40F7">
        <w:rPr>
          <w:b/>
          <w:bCs/>
        </w:rPr>
        <w:t>GEN Korean BBQ (GENK):</w:t>
      </w:r>
      <w:r w:rsidRPr="007F40F7">
        <w:t> Its niche dining model may face scalability and operational challenges as it grows.</w:t>
      </w:r>
    </w:p>
    <w:p w14:paraId="2E2D7257" w14:textId="77777777" w:rsidR="007F40F7" w:rsidRPr="007F40F7" w:rsidRDefault="007F40F7" w:rsidP="007F40F7">
      <w:pPr>
        <w:numPr>
          <w:ilvl w:val="0"/>
          <w:numId w:val="8"/>
        </w:numPr>
        <w:jc w:val="both"/>
      </w:pPr>
      <w:r w:rsidRPr="007F40F7">
        <w:rPr>
          <w:b/>
          <w:bCs/>
        </w:rPr>
        <w:t>Habit Burger Grill (YUM):</w:t>
      </w:r>
      <w:r w:rsidRPr="007F40F7">
        <w:t> Risks being overshadowed within Yum! Brands’ portfolio without significant differentiation.</w:t>
      </w:r>
    </w:p>
    <w:p w14:paraId="208833BF" w14:textId="77777777" w:rsidR="007F40F7" w:rsidRPr="007F40F7" w:rsidRDefault="007F40F7" w:rsidP="007F40F7">
      <w:pPr>
        <w:jc w:val="both"/>
      </w:pPr>
      <w:r w:rsidRPr="007F40F7">
        <w:lastRenderedPageBreak/>
        <w:t>While not all these brands are guaranteed to fail, their ability to thrive hinges on innovation, operational efficiency, and relevance to younger generations.</w:t>
      </w:r>
    </w:p>
    <w:p w14:paraId="331B599E" w14:textId="4E39149D" w:rsidR="005D2699" w:rsidRPr="00FA40E6" w:rsidRDefault="00FA40E6" w:rsidP="00CA6940">
      <w:pPr>
        <w:jc w:val="both"/>
        <w:rPr>
          <w:b/>
          <w:bCs/>
        </w:rPr>
      </w:pPr>
      <w:r w:rsidRPr="00FA40E6">
        <w:rPr>
          <w:b/>
          <w:bCs/>
        </w:rPr>
        <w:t>Modern Innovators: A Case for Growth</w:t>
      </w:r>
    </w:p>
    <w:p w14:paraId="41E14273" w14:textId="77777777" w:rsidR="007F40F7" w:rsidRPr="007F40F7" w:rsidRDefault="007F40F7" w:rsidP="007F40F7">
      <w:pPr>
        <w:jc w:val="both"/>
      </w:pPr>
      <w:r w:rsidRPr="007F40F7">
        <w:t>Chains like </w:t>
      </w:r>
      <w:r w:rsidRPr="007F40F7">
        <w:rPr>
          <w:b/>
          <w:bCs/>
        </w:rPr>
        <w:t>Chipotle (CMG)</w:t>
      </w:r>
      <w:r w:rsidRPr="007F40F7">
        <w:t>, </w:t>
      </w:r>
      <w:r w:rsidRPr="007F40F7">
        <w:rPr>
          <w:b/>
          <w:bCs/>
        </w:rPr>
        <w:t>Sweetgreen (SG)</w:t>
      </w:r>
      <w:r w:rsidRPr="007F40F7">
        <w:t>, and </w:t>
      </w:r>
      <w:r w:rsidRPr="007F40F7">
        <w:rPr>
          <w:b/>
          <w:bCs/>
        </w:rPr>
        <w:t>Cava (CAVA)</w:t>
      </w:r>
      <w:r w:rsidRPr="007F40F7">
        <w:t> exemplify the power of innovation. Their dining models emphasize personalization, transparency, and a casual yet modern experience, resonating strongly with younger consumers.</w:t>
      </w:r>
    </w:p>
    <w:p w14:paraId="79BF1BC0" w14:textId="77777777" w:rsidR="007F40F7" w:rsidRPr="007F40F7" w:rsidRDefault="007F40F7" w:rsidP="007F40F7">
      <w:pPr>
        <w:jc w:val="both"/>
      </w:pPr>
      <w:r w:rsidRPr="007F40F7">
        <w:t>These brands have also embraced technology and automation to streamline operations and reduce labor costs. For example, Chipotle’s "</w:t>
      </w:r>
      <w:proofErr w:type="spellStart"/>
      <w:r w:rsidRPr="007F40F7">
        <w:t>Autocado</w:t>
      </w:r>
      <w:proofErr w:type="spellEnd"/>
      <w:r w:rsidRPr="007F40F7">
        <w:t>" and automated bowl assembly lines demonstrate how robotics can improve efficiency. In contrast, many older brands remain encumbered by </w:t>
      </w:r>
      <w:r w:rsidRPr="007F40F7">
        <w:rPr>
          <w:b/>
          <w:bCs/>
        </w:rPr>
        <w:t>capital-intensive buildings and underutilized real estate</w:t>
      </w:r>
      <w:r w:rsidRPr="007F40F7">
        <w:t>, which drive higher overhead costs and reduce flexibility.</w:t>
      </w:r>
    </w:p>
    <w:p w14:paraId="1C874DD8" w14:textId="77777777" w:rsidR="005D2699" w:rsidRDefault="005D2699" w:rsidP="00CA6940">
      <w:pPr>
        <w:jc w:val="both"/>
      </w:pPr>
    </w:p>
    <w:p w14:paraId="3D2717B3" w14:textId="77777777" w:rsidR="007F40F7" w:rsidRDefault="007F40F7" w:rsidP="00CA6940">
      <w:pPr>
        <w:jc w:val="both"/>
        <w:rPr>
          <w:b/>
          <w:bCs/>
        </w:rPr>
      </w:pPr>
    </w:p>
    <w:p w14:paraId="6DDF4264" w14:textId="49FAFF75" w:rsidR="00CA6940" w:rsidRPr="00FA40E6" w:rsidRDefault="00FA40E6" w:rsidP="00CA6940">
      <w:pPr>
        <w:jc w:val="both"/>
        <w:rPr>
          <w:b/>
          <w:bCs/>
        </w:rPr>
      </w:pPr>
      <w:r w:rsidRPr="00FA40E6">
        <w:rPr>
          <w:b/>
          <w:bCs/>
        </w:rPr>
        <w:t>Conclusion: Navigating Opportunities and Risks</w:t>
      </w:r>
    </w:p>
    <w:p w14:paraId="30F18AF5" w14:textId="77777777" w:rsidR="007F40F7" w:rsidRPr="007F40F7" w:rsidRDefault="007F40F7" w:rsidP="007F40F7">
      <w:pPr>
        <w:jc w:val="both"/>
      </w:pPr>
      <w:r w:rsidRPr="007F40F7">
        <w:t>A macro-level view of the restaurant industry reveals opportunities for both </w:t>
      </w:r>
      <w:r w:rsidRPr="007F40F7">
        <w:rPr>
          <w:b/>
          <w:bCs/>
        </w:rPr>
        <w:t>long and short positions</w:t>
      </w:r>
      <w:r w:rsidRPr="007F40F7">
        <w:t>, though the precise timing of these opportunities remains uncertain. Staying informed, reassessing assumptions, and maintaining a clear analytical framework are essential for identifying potential winners and losers.</w:t>
      </w:r>
    </w:p>
    <w:p w14:paraId="3D6CA49B" w14:textId="77777777" w:rsidR="007F40F7" w:rsidRPr="007F40F7" w:rsidRDefault="007F40F7" w:rsidP="007F40F7">
      <w:pPr>
        <w:jc w:val="both"/>
      </w:pPr>
      <w:r w:rsidRPr="007F40F7">
        <w:t>At its core, every restaurant shares the same objective: </w:t>
      </w:r>
      <w:r w:rsidRPr="007F40F7">
        <w:rPr>
          <w:b/>
          <w:bCs/>
        </w:rPr>
        <w:t>maximize revenue and operational efficiency to sustain growth and reward shareholders.</w:t>
      </w:r>
      <w:r w:rsidRPr="007F40F7">
        <w:t> In this competitive industry, execution is paramount. The key questions are:</w:t>
      </w:r>
    </w:p>
    <w:p w14:paraId="0BF3B2B7" w14:textId="77777777" w:rsidR="007F40F7" w:rsidRPr="007F40F7" w:rsidRDefault="007F40F7" w:rsidP="007F40F7">
      <w:pPr>
        <w:numPr>
          <w:ilvl w:val="0"/>
          <w:numId w:val="9"/>
        </w:numPr>
        <w:jc w:val="both"/>
      </w:pPr>
      <w:r w:rsidRPr="007F40F7">
        <w:rPr>
          <w:b/>
          <w:bCs/>
        </w:rPr>
        <w:t>Who is innovating and growing the fastest?</w:t>
      </w:r>
    </w:p>
    <w:p w14:paraId="1F1BD93E" w14:textId="77777777" w:rsidR="007F40F7" w:rsidRPr="007F40F7" w:rsidRDefault="007F40F7" w:rsidP="007F40F7">
      <w:pPr>
        <w:numPr>
          <w:ilvl w:val="0"/>
          <w:numId w:val="9"/>
        </w:numPr>
        <w:jc w:val="both"/>
      </w:pPr>
      <w:r w:rsidRPr="007F40F7">
        <w:rPr>
          <w:b/>
          <w:bCs/>
        </w:rPr>
        <w:t xml:space="preserve">Who is </w:t>
      </w:r>
      <w:proofErr w:type="gramStart"/>
      <w:r w:rsidRPr="007F40F7">
        <w:rPr>
          <w:b/>
          <w:bCs/>
        </w:rPr>
        <w:t>lagging behind</w:t>
      </w:r>
      <w:proofErr w:type="gramEnd"/>
      <w:r w:rsidRPr="007F40F7">
        <w:rPr>
          <w:b/>
          <w:bCs/>
        </w:rPr>
        <w:t>?</w:t>
      </w:r>
    </w:p>
    <w:p w14:paraId="0A69F34C" w14:textId="77777777" w:rsidR="007F40F7" w:rsidRPr="007F40F7" w:rsidRDefault="007F40F7" w:rsidP="007F40F7">
      <w:pPr>
        <w:numPr>
          <w:ilvl w:val="0"/>
          <w:numId w:val="9"/>
        </w:numPr>
        <w:jc w:val="both"/>
      </w:pPr>
      <w:r w:rsidRPr="007F40F7">
        <w:rPr>
          <w:b/>
          <w:bCs/>
        </w:rPr>
        <w:t>Who is maintaining steady but unremarkable performance?</w:t>
      </w:r>
    </w:p>
    <w:p w14:paraId="1DA760EF" w14:textId="77777777" w:rsidR="007F40F7" w:rsidRPr="007F40F7" w:rsidRDefault="007F40F7" w:rsidP="007F40F7">
      <w:pPr>
        <w:jc w:val="both"/>
      </w:pPr>
      <w:r w:rsidRPr="007F40F7">
        <w:t>By analyzing factors like generational preferences, operational efficiency, and consumer sentiment, we can identify which companies are poised for success and which face structural challenges. Sound equity research requires diligence, critical thinking, and the ability to adapt as market conditions evolve.</w:t>
      </w:r>
    </w:p>
    <w:p w14:paraId="59550175" w14:textId="77777777" w:rsidR="00CA6940" w:rsidRPr="00CA6940" w:rsidRDefault="00CA6940" w:rsidP="00CA6940">
      <w:pPr>
        <w:jc w:val="both"/>
      </w:pPr>
    </w:p>
    <w:sectPr w:rsidR="00CA6940" w:rsidRPr="00CA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3DD7"/>
    <w:multiLevelType w:val="multilevel"/>
    <w:tmpl w:val="34BC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56B4"/>
    <w:multiLevelType w:val="multilevel"/>
    <w:tmpl w:val="E712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E4683"/>
    <w:multiLevelType w:val="multilevel"/>
    <w:tmpl w:val="BA88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64868"/>
    <w:multiLevelType w:val="multilevel"/>
    <w:tmpl w:val="F3E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04D4"/>
    <w:multiLevelType w:val="multilevel"/>
    <w:tmpl w:val="B76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8528B"/>
    <w:multiLevelType w:val="multilevel"/>
    <w:tmpl w:val="AB8A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B4CDC"/>
    <w:multiLevelType w:val="multilevel"/>
    <w:tmpl w:val="A146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41D50"/>
    <w:multiLevelType w:val="multilevel"/>
    <w:tmpl w:val="7AFC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C6ADE"/>
    <w:multiLevelType w:val="hybridMultilevel"/>
    <w:tmpl w:val="4496A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684250">
    <w:abstractNumId w:val="2"/>
  </w:num>
  <w:num w:numId="2" w16cid:durableId="706100728">
    <w:abstractNumId w:val="8"/>
  </w:num>
  <w:num w:numId="3" w16cid:durableId="1416783603">
    <w:abstractNumId w:val="5"/>
  </w:num>
  <w:num w:numId="4" w16cid:durableId="1559584286">
    <w:abstractNumId w:val="6"/>
  </w:num>
  <w:num w:numId="5" w16cid:durableId="1996762135">
    <w:abstractNumId w:val="7"/>
  </w:num>
  <w:num w:numId="6" w16cid:durableId="35325817">
    <w:abstractNumId w:val="0"/>
  </w:num>
  <w:num w:numId="7" w16cid:durableId="1055856656">
    <w:abstractNumId w:val="1"/>
  </w:num>
  <w:num w:numId="8" w16cid:durableId="1176074574">
    <w:abstractNumId w:val="4"/>
  </w:num>
  <w:num w:numId="9" w16cid:durableId="148600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40"/>
    <w:rsid w:val="000E383A"/>
    <w:rsid w:val="002770E4"/>
    <w:rsid w:val="005D2699"/>
    <w:rsid w:val="0060614C"/>
    <w:rsid w:val="0067211F"/>
    <w:rsid w:val="006810BA"/>
    <w:rsid w:val="007F40F7"/>
    <w:rsid w:val="00A02EBB"/>
    <w:rsid w:val="00A14E32"/>
    <w:rsid w:val="00A15981"/>
    <w:rsid w:val="00C170A7"/>
    <w:rsid w:val="00CA6940"/>
    <w:rsid w:val="00FA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4AF8"/>
  <w15:chartTrackingRefBased/>
  <w15:docId w15:val="{17516CBD-CC8E-3644-9A1D-9772A93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40"/>
    <w:rPr>
      <w:rFonts w:eastAsiaTheme="majorEastAsia" w:cstheme="majorBidi"/>
      <w:color w:val="272727" w:themeColor="text1" w:themeTint="D8"/>
    </w:rPr>
  </w:style>
  <w:style w:type="paragraph" w:styleId="Title">
    <w:name w:val="Title"/>
    <w:basedOn w:val="Normal"/>
    <w:next w:val="Normal"/>
    <w:link w:val="TitleChar"/>
    <w:uiPriority w:val="10"/>
    <w:qFormat/>
    <w:rsid w:val="00CA69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40"/>
    <w:pPr>
      <w:spacing w:before="160"/>
      <w:jc w:val="center"/>
    </w:pPr>
    <w:rPr>
      <w:i/>
      <w:iCs/>
      <w:color w:val="404040" w:themeColor="text1" w:themeTint="BF"/>
    </w:rPr>
  </w:style>
  <w:style w:type="character" w:customStyle="1" w:styleId="QuoteChar">
    <w:name w:val="Quote Char"/>
    <w:basedOn w:val="DefaultParagraphFont"/>
    <w:link w:val="Quote"/>
    <w:uiPriority w:val="29"/>
    <w:rsid w:val="00CA6940"/>
    <w:rPr>
      <w:i/>
      <w:iCs/>
      <w:color w:val="404040" w:themeColor="text1" w:themeTint="BF"/>
    </w:rPr>
  </w:style>
  <w:style w:type="paragraph" w:styleId="ListParagraph">
    <w:name w:val="List Paragraph"/>
    <w:basedOn w:val="Normal"/>
    <w:uiPriority w:val="34"/>
    <w:qFormat/>
    <w:rsid w:val="00CA6940"/>
    <w:pPr>
      <w:ind w:left="720"/>
      <w:contextualSpacing/>
    </w:pPr>
  </w:style>
  <w:style w:type="character" w:styleId="IntenseEmphasis">
    <w:name w:val="Intense Emphasis"/>
    <w:basedOn w:val="DefaultParagraphFont"/>
    <w:uiPriority w:val="21"/>
    <w:qFormat/>
    <w:rsid w:val="00CA6940"/>
    <w:rPr>
      <w:i/>
      <w:iCs/>
      <w:color w:val="0F4761" w:themeColor="accent1" w:themeShade="BF"/>
    </w:rPr>
  </w:style>
  <w:style w:type="paragraph" w:styleId="IntenseQuote">
    <w:name w:val="Intense Quote"/>
    <w:basedOn w:val="Normal"/>
    <w:next w:val="Normal"/>
    <w:link w:val="IntenseQuoteChar"/>
    <w:uiPriority w:val="30"/>
    <w:qFormat/>
    <w:rsid w:val="00CA6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940"/>
    <w:rPr>
      <w:i/>
      <w:iCs/>
      <w:color w:val="0F4761" w:themeColor="accent1" w:themeShade="BF"/>
    </w:rPr>
  </w:style>
  <w:style w:type="character" w:styleId="IntenseReference">
    <w:name w:val="Intense Reference"/>
    <w:basedOn w:val="DefaultParagraphFont"/>
    <w:uiPriority w:val="32"/>
    <w:qFormat/>
    <w:rsid w:val="00CA69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8276">
      <w:bodyDiv w:val="1"/>
      <w:marLeft w:val="0"/>
      <w:marRight w:val="0"/>
      <w:marTop w:val="0"/>
      <w:marBottom w:val="0"/>
      <w:divBdr>
        <w:top w:val="none" w:sz="0" w:space="0" w:color="auto"/>
        <w:left w:val="none" w:sz="0" w:space="0" w:color="auto"/>
        <w:bottom w:val="none" w:sz="0" w:space="0" w:color="auto"/>
        <w:right w:val="none" w:sz="0" w:space="0" w:color="auto"/>
      </w:divBdr>
    </w:div>
    <w:div w:id="96801948">
      <w:bodyDiv w:val="1"/>
      <w:marLeft w:val="0"/>
      <w:marRight w:val="0"/>
      <w:marTop w:val="0"/>
      <w:marBottom w:val="0"/>
      <w:divBdr>
        <w:top w:val="none" w:sz="0" w:space="0" w:color="auto"/>
        <w:left w:val="none" w:sz="0" w:space="0" w:color="auto"/>
        <w:bottom w:val="none" w:sz="0" w:space="0" w:color="auto"/>
        <w:right w:val="none" w:sz="0" w:space="0" w:color="auto"/>
      </w:divBdr>
    </w:div>
    <w:div w:id="155189312">
      <w:bodyDiv w:val="1"/>
      <w:marLeft w:val="0"/>
      <w:marRight w:val="0"/>
      <w:marTop w:val="0"/>
      <w:marBottom w:val="0"/>
      <w:divBdr>
        <w:top w:val="none" w:sz="0" w:space="0" w:color="auto"/>
        <w:left w:val="none" w:sz="0" w:space="0" w:color="auto"/>
        <w:bottom w:val="none" w:sz="0" w:space="0" w:color="auto"/>
        <w:right w:val="none" w:sz="0" w:space="0" w:color="auto"/>
      </w:divBdr>
    </w:div>
    <w:div w:id="269631141">
      <w:bodyDiv w:val="1"/>
      <w:marLeft w:val="0"/>
      <w:marRight w:val="0"/>
      <w:marTop w:val="0"/>
      <w:marBottom w:val="0"/>
      <w:divBdr>
        <w:top w:val="none" w:sz="0" w:space="0" w:color="auto"/>
        <w:left w:val="none" w:sz="0" w:space="0" w:color="auto"/>
        <w:bottom w:val="none" w:sz="0" w:space="0" w:color="auto"/>
        <w:right w:val="none" w:sz="0" w:space="0" w:color="auto"/>
      </w:divBdr>
    </w:div>
    <w:div w:id="270667552">
      <w:bodyDiv w:val="1"/>
      <w:marLeft w:val="0"/>
      <w:marRight w:val="0"/>
      <w:marTop w:val="0"/>
      <w:marBottom w:val="0"/>
      <w:divBdr>
        <w:top w:val="none" w:sz="0" w:space="0" w:color="auto"/>
        <w:left w:val="none" w:sz="0" w:space="0" w:color="auto"/>
        <w:bottom w:val="none" w:sz="0" w:space="0" w:color="auto"/>
        <w:right w:val="none" w:sz="0" w:space="0" w:color="auto"/>
      </w:divBdr>
    </w:div>
    <w:div w:id="299194073">
      <w:bodyDiv w:val="1"/>
      <w:marLeft w:val="0"/>
      <w:marRight w:val="0"/>
      <w:marTop w:val="0"/>
      <w:marBottom w:val="0"/>
      <w:divBdr>
        <w:top w:val="none" w:sz="0" w:space="0" w:color="auto"/>
        <w:left w:val="none" w:sz="0" w:space="0" w:color="auto"/>
        <w:bottom w:val="none" w:sz="0" w:space="0" w:color="auto"/>
        <w:right w:val="none" w:sz="0" w:space="0" w:color="auto"/>
      </w:divBdr>
    </w:div>
    <w:div w:id="521432738">
      <w:bodyDiv w:val="1"/>
      <w:marLeft w:val="0"/>
      <w:marRight w:val="0"/>
      <w:marTop w:val="0"/>
      <w:marBottom w:val="0"/>
      <w:divBdr>
        <w:top w:val="none" w:sz="0" w:space="0" w:color="auto"/>
        <w:left w:val="none" w:sz="0" w:space="0" w:color="auto"/>
        <w:bottom w:val="none" w:sz="0" w:space="0" w:color="auto"/>
        <w:right w:val="none" w:sz="0" w:space="0" w:color="auto"/>
      </w:divBdr>
    </w:div>
    <w:div w:id="569464828">
      <w:bodyDiv w:val="1"/>
      <w:marLeft w:val="0"/>
      <w:marRight w:val="0"/>
      <w:marTop w:val="0"/>
      <w:marBottom w:val="0"/>
      <w:divBdr>
        <w:top w:val="none" w:sz="0" w:space="0" w:color="auto"/>
        <w:left w:val="none" w:sz="0" w:space="0" w:color="auto"/>
        <w:bottom w:val="none" w:sz="0" w:space="0" w:color="auto"/>
        <w:right w:val="none" w:sz="0" w:space="0" w:color="auto"/>
      </w:divBdr>
    </w:div>
    <w:div w:id="724836839">
      <w:bodyDiv w:val="1"/>
      <w:marLeft w:val="0"/>
      <w:marRight w:val="0"/>
      <w:marTop w:val="0"/>
      <w:marBottom w:val="0"/>
      <w:divBdr>
        <w:top w:val="none" w:sz="0" w:space="0" w:color="auto"/>
        <w:left w:val="none" w:sz="0" w:space="0" w:color="auto"/>
        <w:bottom w:val="none" w:sz="0" w:space="0" w:color="auto"/>
        <w:right w:val="none" w:sz="0" w:space="0" w:color="auto"/>
      </w:divBdr>
    </w:div>
    <w:div w:id="767966234">
      <w:bodyDiv w:val="1"/>
      <w:marLeft w:val="0"/>
      <w:marRight w:val="0"/>
      <w:marTop w:val="0"/>
      <w:marBottom w:val="0"/>
      <w:divBdr>
        <w:top w:val="none" w:sz="0" w:space="0" w:color="auto"/>
        <w:left w:val="none" w:sz="0" w:space="0" w:color="auto"/>
        <w:bottom w:val="none" w:sz="0" w:space="0" w:color="auto"/>
        <w:right w:val="none" w:sz="0" w:space="0" w:color="auto"/>
      </w:divBdr>
    </w:div>
    <w:div w:id="847870225">
      <w:bodyDiv w:val="1"/>
      <w:marLeft w:val="0"/>
      <w:marRight w:val="0"/>
      <w:marTop w:val="0"/>
      <w:marBottom w:val="0"/>
      <w:divBdr>
        <w:top w:val="none" w:sz="0" w:space="0" w:color="auto"/>
        <w:left w:val="none" w:sz="0" w:space="0" w:color="auto"/>
        <w:bottom w:val="none" w:sz="0" w:space="0" w:color="auto"/>
        <w:right w:val="none" w:sz="0" w:space="0" w:color="auto"/>
      </w:divBdr>
    </w:div>
    <w:div w:id="858856529">
      <w:bodyDiv w:val="1"/>
      <w:marLeft w:val="0"/>
      <w:marRight w:val="0"/>
      <w:marTop w:val="0"/>
      <w:marBottom w:val="0"/>
      <w:divBdr>
        <w:top w:val="none" w:sz="0" w:space="0" w:color="auto"/>
        <w:left w:val="none" w:sz="0" w:space="0" w:color="auto"/>
        <w:bottom w:val="none" w:sz="0" w:space="0" w:color="auto"/>
        <w:right w:val="none" w:sz="0" w:space="0" w:color="auto"/>
      </w:divBdr>
    </w:div>
    <w:div w:id="869226890">
      <w:bodyDiv w:val="1"/>
      <w:marLeft w:val="0"/>
      <w:marRight w:val="0"/>
      <w:marTop w:val="0"/>
      <w:marBottom w:val="0"/>
      <w:divBdr>
        <w:top w:val="none" w:sz="0" w:space="0" w:color="auto"/>
        <w:left w:val="none" w:sz="0" w:space="0" w:color="auto"/>
        <w:bottom w:val="none" w:sz="0" w:space="0" w:color="auto"/>
        <w:right w:val="none" w:sz="0" w:space="0" w:color="auto"/>
      </w:divBdr>
    </w:div>
    <w:div w:id="878905714">
      <w:bodyDiv w:val="1"/>
      <w:marLeft w:val="0"/>
      <w:marRight w:val="0"/>
      <w:marTop w:val="0"/>
      <w:marBottom w:val="0"/>
      <w:divBdr>
        <w:top w:val="none" w:sz="0" w:space="0" w:color="auto"/>
        <w:left w:val="none" w:sz="0" w:space="0" w:color="auto"/>
        <w:bottom w:val="none" w:sz="0" w:space="0" w:color="auto"/>
        <w:right w:val="none" w:sz="0" w:space="0" w:color="auto"/>
      </w:divBdr>
    </w:div>
    <w:div w:id="957250975">
      <w:bodyDiv w:val="1"/>
      <w:marLeft w:val="0"/>
      <w:marRight w:val="0"/>
      <w:marTop w:val="0"/>
      <w:marBottom w:val="0"/>
      <w:divBdr>
        <w:top w:val="none" w:sz="0" w:space="0" w:color="auto"/>
        <w:left w:val="none" w:sz="0" w:space="0" w:color="auto"/>
        <w:bottom w:val="none" w:sz="0" w:space="0" w:color="auto"/>
        <w:right w:val="none" w:sz="0" w:space="0" w:color="auto"/>
      </w:divBdr>
    </w:div>
    <w:div w:id="959994467">
      <w:bodyDiv w:val="1"/>
      <w:marLeft w:val="0"/>
      <w:marRight w:val="0"/>
      <w:marTop w:val="0"/>
      <w:marBottom w:val="0"/>
      <w:divBdr>
        <w:top w:val="none" w:sz="0" w:space="0" w:color="auto"/>
        <w:left w:val="none" w:sz="0" w:space="0" w:color="auto"/>
        <w:bottom w:val="none" w:sz="0" w:space="0" w:color="auto"/>
        <w:right w:val="none" w:sz="0" w:space="0" w:color="auto"/>
      </w:divBdr>
    </w:div>
    <w:div w:id="1003700667">
      <w:bodyDiv w:val="1"/>
      <w:marLeft w:val="0"/>
      <w:marRight w:val="0"/>
      <w:marTop w:val="0"/>
      <w:marBottom w:val="0"/>
      <w:divBdr>
        <w:top w:val="none" w:sz="0" w:space="0" w:color="auto"/>
        <w:left w:val="none" w:sz="0" w:space="0" w:color="auto"/>
        <w:bottom w:val="none" w:sz="0" w:space="0" w:color="auto"/>
        <w:right w:val="none" w:sz="0" w:space="0" w:color="auto"/>
      </w:divBdr>
    </w:div>
    <w:div w:id="1162357190">
      <w:bodyDiv w:val="1"/>
      <w:marLeft w:val="0"/>
      <w:marRight w:val="0"/>
      <w:marTop w:val="0"/>
      <w:marBottom w:val="0"/>
      <w:divBdr>
        <w:top w:val="none" w:sz="0" w:space="0" w:color="auto"/>
        <w:left w:val="none" w:sz="0" w:space="0" w:color="auto"/>
        <w:bottom w:val="none" w:sz="0" w:space="0" w:color="auto"/>
        <w:right w:val="none" w:sz="0" w:space="0" w:color="auto"/>
      </w:divBdr>
    </w:div>
    <w:div w:id="1171945168">
      <w:bodyDiv w:val="1"/>
      <w:marLeft w:val="0"/>
      <w:marRight w:val="0"/>
      <w:marTop w:val="0"/>
      <w:marBottom w:val="0"/>
      <w:divBdr>
        <w:top w:val="none" w:sz="0" w:space="0" w:color="auto"/>
        <w:left w:val="none" w:sz="0" w:space="0" w:color="auto"/>
        <w:bottom w:val="none" w:sz="0" w:space="0" w:color="auto"/>
        <w:right w:val="none" w:sz="0" w:space="0" w:color="auto"/>
      </w:divBdr>
    </w:div>
    <w:div w:id="1189366703">
      <w:bodyDiv w:val="1"/>
      <w:marLeft w:val="0"/>
      <w:marRight w:val="0"/>
      <w:marTop w:val="0"/>
      <w:marBottom w:val="0"/>
      <w:divBdr>
        <w:top w:val="none" w:sz="0" w:space="0" w:color="auto"/>
        <w:left w:val="none" w:sz="0" w:space="0" w:color="auto"/>
        <w:bottom w:val="none" w:sz="0" w:space="0" w:color="auto"/>
        <w:right w:val="none" w:sz="0" w:space="0" w:color="auto"/>
      </w:divBdr>
    </w:div>
    <w:div w:id="1272782597">
      <w:bodyDiv w:val="1"/>
      <w:marLeft w:val="0"/>
      <w:marRight w:val="0"/>
      <w:marTop w:val="0"/>
      <w:marBottom w:val="0"/>
      <w:divBdr>
        <w:top w:val="none" w:sz="0" w:space="0" w:color="auto"/>
        <w:left w:val="none" w:sz="0" w:space="0" w:color="auto"/>
        <w:bottom w:val="none" w:sz="0" w:space="0" w:color="auto"/>
        <w:right w:val="none" w:sz="0" w:space="0" w:color="auto"/>
      </w:divBdr>
    </w:div>
    <w:div w:id="1298410578">
      <w:bodyDiv w:val="1"/>
      <w:marLeft w:val="0"/>
      <w:marRight w:val="0"/>
      <w:marTop w:val="0"/>
      <w:marBottom w:val="0"/>
      <w:divBdr>
        <w:top w:val="none" w:sz="0" w:space="0" w:color="auto"/>
        <w:left w:val="none" w:sz="0" w:space="0" w:color="auto"/>
        <w:bottom w:val="none" w:sz="0" w:space="0" w:color="auto"/>
        <w:right w:val="none" w:sz="0" w:space="0" w:color="auto"/>
      </w:divBdr>
    </w:div>
    <w:div w:id="1361779351">
      <w:bodyDiv w:val="1"/>
      <w:marLeft w:val="0"/>
      <w:marRight w:val="0"/>
      <w:marTop w:val="0"/>
      <w:marBottom w:val="0"/>
      <w:divBdr>
        <w:top w:val="none" w:sz="0" w:space="0" w:color="auto"/>
        <w:left w:val="none" w:sz="0" w:space="0" w:color="auto"/>
        <w:bottom w:val="none" w:sz="0" w:space="0" w:color="auto"/>
        <w:right w:val="none" w:sz="0" w:space="0" w:color="auto"/>
      </w:divBdr>
    </w:div>
    <w:div w:id="1480268834">
      <w:bodyDiv w:val="1"/>
      <w:marLeft w:val="0"/>
      <w:marRight w:val="0"/>
      <w:marTop w:val="0"/>
      <w:marBottom w:val="0"/>
      <w:divBdr>
        <w:top w:val="none" w:sz="0" w:space="0" w:color="auto"/>
        <w:left w:val="none" w:sz="0" w:space="0" w:color="auto"/>
        <w:bottom w:val="none" w:sz="0" w:space="0" w:color="auto"/>
        <w:right w:val="none" w:sz="0" w:space="0" w:color="auto"/>
      </w:divBdr>
    </w:div>
    <w:div w:id="1487816132">
      <w:bodyDiv w:val="1"/>
      <w:marLeft w:val="0"/>
      <w:marRight w:val="0"/>
      <w:marTop w:val="0"/>
      <w:marBottom w:val="0"/>
      <w:divBdr>
        <w:top w:val="none" w:sz="0" w:space="0" w:color="auto"/>
        <w:left w:val="none" w:sz="0" w:space="0" w:color="auto"/>
        <w:bottom w:val="none" w:sz="0" w:space="0" w:color="auto"/>
        <w:right w:val="none" w:sz="0" w:space="0" w:color="auto"/>
      </w:divBdr>
    </w:div>
    <w:div w:id="1504512567">
      <w:bodyDiv w:val="1"/>
      <w:marLeft w:val="0"/>
      <w:marRight w:val="0"/>
      <w:marTop w:val="0"/>
      <w:marBottom w:val="0"/>
      <w:divBdr>
        <w:top w:val="none" w:sz="0" w:space="0" w:color="auto"/>
        <w:left w:val="none" w:sz="0" w:space="0" w:color="auto"/>
        <w:bottom w:val="none" w:sz="0" w:space="0" w:color="auto"/>
        <w:right w:val="none" w:sz="0" w:space="0" w:color="auto"/>
      </w:divBdr>
    </w:div>
    <w:div w:id="1560826294">
      <w:bodyDiv w:val="1"/>
      <w:marLeft w:val="0"/>
      <w:marRight w:val="0"/>
      <w:marTop w:val="0"/>
      <w:marBottom w:val="0"/>
      <w:divBdr>
        <w:top w:val="none" w:sz="0" w:space="0" w:color="auto"/>
        <w:left w:val="none" w:sz="0" w:space="0" w:color="auto"/>
        <w:bottom w:val="none" w:sz="0" w:space="0" w:color="auto"/>
        <w:right w:val="none" w:sz="0" w:space="0" w:color="auto"/>
      </w:divBdr>
    </w:div>
    <w:div w:id="1582716660">
      <w:bodyDiv w:val="1"/>
      <w:marLeft w:val="0"/>
      <w:marRight w:val="0"/>
      <w:marTop w:val="0"/>
      <w:marBottom w:val="0"/>
      <w:divBdr>
        <w:top w:val="none" w:sz="0" w:space="0" w:color="auto"/>
        <w:left w:val="none" w:sz="0" w:space="0" w:color="auto"/>
        <w:bottom w:val="none" w:sz="0" w:space="0" w:color="auto"/>
        <w:right w:val="none" w:sz="0" w:space="0" w:color="auto"/>
      </w:divBdr>
    </w:div>
    <w:div w:id="1594776318">
      <w:bodyDiv w:val="1"/>
      <w:marLeft w:val="0"/>
      <w:marRight w:val="0"/>
      <w:marTop w:val="0"/>
      <w:marBottom w:val="0"/>
      <w:divBdr>
        <w:top w:val="none" w:sz="0" w:space="0" w:color="auto"/>
        <w:left w:val="none" w:sz="0" w:space="0" w:color="auto"/>
        <w:bottom w:val="none" w:sz="0" w:space="0" w:color="auto"/>
        <w:right w:val="none" w:sz="0" w:space="0" w:color="auto"/>
      </w:divBdr>
    </w:div>
    <w:div w:id="1629388241">
      <w:bodyDiv w:val="1"/>
      <w:marLeft w:val="0"/>
      <w:marRight w:val="0"/>
      <w:marTop w:val="0"/>
      <w:marBottom w:val="0"/>
      <w:divBdr>
        <w:top w:val="none" w:sz="0" w:space="0" w:color="auto"/>
        <w:left w:val="none" w:sz="0" w:space="0" w:color="auto"/>
        <w:bottom w:val="none" w:sz="0" w:space="0" w:color="auto"/>
        <w:right w:val="none" w:sz="0" w:space="0" w:color="auto"/>
      </w:divBdr>
    </w:div>
    <w:div w:id="1668512448">
      <w:bodyDiv w:val="1"/>
      <w:marLeft w:val="0"/>
      <w:marRight w:val="0"/>
      <w:marTop w:val="0"/>
      <w:marBottom w:val="0"/>
      <w:divBdr>
        <w:top w:val="none" w:sz="0" w:space="0" w:color="auto"/>
        <w:left w:val="none" w:sz="0" w:space="0" w:color="auto"/>
        <w:bottom w:val="none" w:sz="0" w:space="0" w:color="auto"/>
        <w:right w:val="none" w:sz="0" w:space="0" w:color="auto"/>
      </w:divBdr>
    </w:div>
    <w:div w:id="1746561835">
      <w:bodyDiv w:val="1"/>
      <w:marLeft w:val="0"/>
      <w:marRight w:val="0"/>
      <w:marTop w:val="0"/>
      <w:marBottom w:val="0"/>
      <w:divBdr>
        <w:top w:val="none" w:sz="0" w:space="0" w:color="auto"/>
        <w:left w:val="none" w:sz="0" w:space="0" w:color="auto"/>
        <w:bottom w:val="none" w:sz="0" w:space="0" w:color="auto"/>
        <w:right w:val="none" w:sz="0" w:space="0" w:color="auto"/>
      </w:divBdr>
    </w:div>
    <w:div w:id="1795055418">
      <w:bodyDiv w:val="1"/>
      <w:marLeft w:val="0"/>
      <w:marRight w:val="0"/>
      <w:marTop w:val="0"/>
      <w:marBottom w:val="0"/>
      <w:divBdr>
        <w:top w:val="none" w:sz="0" w:space="0" w:color="auto"/>
        <w:left w:val="none" w:sz="0" w:space="0" w:color="auto"/>
        <w:bottom w:val="none" w:sz="0" w:space="0" w:color="auto"/>
        <w:right w:val="none" w:sz="0" w:space="0" w:color="auto"/>
      </w:divBdr>
    </w:div>
    <w:div w:id="214141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dc:creator>
  <cp:keywords/>
  <dc:description/>
  <cp:lastModifiedBy>jameel</cp:lastModifiedBy>
  <cp:revision>5</cp:revision>
  <dcterms:created xsi:type="dcterms:W3CDTF">2024-12-01T16:43:00Z</dcterms:created>
  <dcterms:modified xsi:type="dcterms:W3CDTF">2024-12-01T18:16:00Z</dcterms:modified>
</cp:coreProperties>
</file>