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100" w:before="0"/>
        <w:jc w:val="center"/>
      </w:pPr>
      <w:r>
        <w:rPr>
          <w:rFonts w:ascii="Arial" w:cs="Arial" w:eastAsia="Arial" w:hAnsi="Arial"/>
          <w:b/>
          <w:bCs/>
          <w:color w:val="888888"/>
          <w:sz w:val="20"/>
          <w:szCs w:val="20"/>
        </w:rPr>
        <w:t xml:space="preserve">HELIO URBAN DEVELOPMENT</w:t>
      </w:r>
    </w:p>
    <w:p>
      <w:pPr>
        <w:spacing w:after="400" w:before="0"/>
        <w:jc w:val="center"/>
      </w:pPr>
      <w:r>
        <w:rPr>
          <w:rFonts w:ascii="Arial" w:cs="Arial" w:eastAsia="Arial" w:hAnsi="Arial"/>
          <w:color w:val="888888"/>
          <w:sz w:val="20"/>
          <w:szCs w:val="20"/>
        </w:rPr>
        <w:t xml:space="preserve">INTERNAL OPERATIONS PLAYBOOK</w:t>
      </w:r>
    </w:p>
    <w:p>
      <w:pPr>
        <w:spacing w:after="120" w:before="0"/>
        <w:jc w:val="center"/>
      </w:pPr>
      <w:r>
        <w:rPr>
          <w:rFonts w:ascii="Arial" w:cs="Arial" w:eastAsia="Arial" w:hAnsi="Arial"/>
          <w:b/>
          <w:bCs/>
          <w:color w:val="1B2A4A"/>
          <w:sz w:val="52"/>
          <w:szCs w:val="52"/>
        </w:rPr>
        <w:t xml:space="preserve">Discharging Development Agreements</w:t>
      </w:r>
    </w:p>
    <w:p>
      <w:pPr>
        <w:spacing w:after="400" w:before="0"/>
        <w:jc w:val="center"/>
      </w:pPr>
      <w:r>
        <w:rPr>
          <w:rFonts w:ascii="Arial" w:cs="Arial" w:eastAsia="Arial" w:hAnsi="Arial"/>
          <w:b/>
          <w:bCs/>
          <w:color w:val="E07B39"/>
          <w:sz w:val="52"/>
          <w:szCs w:val="52"/>
        </w:rPr>
        <w:t xml:space="preserve">&amp; Restrictive Covenants in HRM</w:t>
      </w:r>
    </w:p>
    <w:p>
      <w:pPr>
        <w:pBdr>
          <w:bottom w:val="single" w:color="1B2A4A" w:sz="4" w:space="1"/>
        </w:pBdr>
        <w:spacing w:after="300" w:before="0"/>
      </w:pPr>
    </w:p>
    <w:p>
      <w:pPr>
        <w:spacing w:after="200" w:before="0"/>
        <w:jc w:val="center"/>
      </w:pPr>
      <w:r>
        <w:rPr>
          <w:rFonts w:ascii="Arial" w:cs="Arial" w:eastAsia="Arial" w:hAnsi="Arial"/>
          <w:i/>
          <w:iCs/>
          <w:color w:val="2E4A6B"/>
          <w:sz w:val="22"/>
          <w:szCs w:val="22"/>
        </w:rPr>
        <w:t xml:space="preserve">HRM Charter §244  |  HRM Charter §257A  |  PPLC Filing Guide  |  Annotated Case Studies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color="FFFFFF" w:sz="0"/>
              <w:left w:val="none" w:color="FFFFFF" w:sz="0"/>
              <w:bottom w:val="none" w:color="FFFFFF" w:sz="0"/>
              <w:right w:val="none" w:color="FFFFFF" w:sz="0"/>
            </w:tcBorders>
            <w:shd w:fill="EFF3F8" w:val="clear"/>
            <w:tcMar>
              <w:top w:type="dxa" w:w="120"/>
              <w:left w:type="dxa" w:w="200"/>
              <w:bottom w:type="dxa" w:w="120"/>
              <w:right w:type="dxa" w:w="200"/>
            </w:tcMar>
          </w:tcPr>
          <w:p>
            <w:pPr>
              <w:spacing w:after="80" w:before="80"/>
            </w:pPr>
            <w:r>
              <w:rPr>
                <w:rFonts w:ascii="Arial" w:cs="Arial" w:eastAsia="Arial" w:hAnsi="Arial"/>
                <w:b/>
                <w:bCs/>
                <w:color w:val="2E4A6B"/>
                <w:sz w:val="22"/>
                <w:szCs w:val="22"/>
              </w:rPr>
              <w:t xml:space="preserve">Document ID: </w:t>
            </w:r>
            <w:r>
              <w:rPr>
                <w:rFonts w:ascii="Arial" w:cs="Arial" w:eastAsia="Arial" w:hAnsi="Arial"/>
                <w:color w:val="1A1A1A"/>
                <w:sz w:val="22"/>
                <w:szCs w:val="22"/>
              </w:rPr>
              <w:t xml:space="preserve">HUD-OPS-RC-001</w:t>
            </w:r>
          </w:p>
        </w:tc>
        <w:tc>
          <w:tcPr>
            <w:tcBorders>
              <w:top w:val="none" w:color="FFFFFF" w:sz="0"/>
              <w:left w:val="none" w:color="FFFFFF" w:sz="0"/>
              <w:bottom w:val="none" w:color="FFFFFF" w:sz="0"/>
              <w:right w:val="none" w:color="FFFFFF" w:sz="0"/>
            </w:tcBorders>
            <w:shd w:fill="EFF3F8" w:val="clear"/>
            <w:tcMar>
              <w:top w:type="dxa" w:w="120"/>
              <w:left w:type="dxa" w:w="200"/>
              <w:bottom w:type="dxa" w:w="120"/>
              <w:right w:type="dxa" w:w="200"/>
            </w:tcMar>
          </w:tcPr>
          <w:p>
            <w:pPr>
              <w:spacing w:after="80" w:before="80"/>
            </w:pPr>
            <w:r>
              <w:rPr>
                <w:rFonts w:ascii="Arial" w:cs="Arial" w:eastAsia="Arial" w:hAnsi="Arial"/>
                <w:b/>
                <w:bCs/>
                <w:color w:val="2E4A6B"/>
                <w:sz w:val="22"/>
                <w:szCs w:val="22"/>
              </w:rPr>
              <w:t xml:space="preserve">Version: </w:t>
            </w:r>
            <w:r>
              <w:rPr>
                <w:rFonts w:ascii="Arial" w:cs="Arial" w:eastAsia="Arial" w:hAnsi="Arial"/>
                <w:color w:val="1A1A1A"/>
                <w:sz w:val="22"/>
                <w:szCs w:val="22"/>
              </w:rPr>
              <w:t xml:space="preserve">1.0  |  March 2026</w:t>
            </w:r>
          </w:p>
        </w:tc>
      </w:tr>
      <w:tr>
        <w:tc>
          <w:tcPr>
            <w:tcBorders>
              <w:top w:val="none" w:color="FFFFFF" w:sz="0"/>
              <w:left w:val="none" w:color="FFFFFF" w:sz="0"/>
              <w:bottom w:val="none" w:color="FFFFFF" w:sz="0"/>
              <w:right w:val="none" w:color="FFFFFF" w:sz="0"/>
            </w:tcBorders>
            <w:shd w:fill="EFF3F8" w:val="clear"/>
            <w:tcMar>
              <w:top w:type="dxa" w:w="80"/>
              <w:left w:type="dxa" w:w="200"/>
              <w:bottom w:type="dxa" w:w="120"/>
              <w:right w:type="dxa" w:w="200"/>
            </w:tcMar>
          </w:tcPr>
          <w:p>
            <w:pPr>
              <w:spacing w:after="80" w:before="80"/>
            </w:pPr>
            <w:r>
              <w:rPr>
                <w:rFonts w:ascii="Arial" w:cs="Arial" w:eastAsia="Arial" w:hAnsi="Arial"/>
                <w:b/>
                <w:bCs/>
                <w:color w:val="2E4A6B"/>
                <w:sz w:val="22"/>
                <w:szCs w:val="22"/>
              </w:rPr>
              <w:t xml:space="preserve">Jurisdiction: </w:t>
            </w:r>
            <w:r>
              <w:rPr>
                <w:rFonts w:ascii="Arial" w:cs="Arial" w:eastAsia="Arial" w:hAnsi="Arial"/>
                <w:color w:val="1A1A1A"/>
                <w:sz w:val="22"/>
                <w:szCs w:val="22"/>
              </w:rPr>
              <w:t xml:space="preserve">Halifax Regional Municipality (HRM), NS</w:t>
            </w:r>
          </w:p>
        </w:tc>
        <w:tc>
          <w:tcPr>
            <w:tcBorders>
              <w:top w:val="none" w:color="FFFFFF" w:sz="0"/>
              <w:left w:val="none" w:color="FFFFFF" w:sz="0"/>
              <w:bottom w:val="none" w:color="FFFFFF" w:sz="0"/>
              <w:right w:val="none" w:color="FFFFFF" w:sz="0"/>
            </w:tcBorders>
            <w:shd w:fill="EFF3F8" w:val="clear"/>
            <w:tcMar>
              <w:top w:type="dxa" w:w="80"/>
              <w:left w:type="dxa" w:w="200"/>
              <w:bottom w:type="dxa" w:w="120"/>
              <w:right w:type="dxa" w:w="200"/>
            </w:tcMar>
          </w:tcPr>
          <w:p>
            <w:pPr>
              <w:spacing w:after="80" w:before="80"/>
            </w:pPr>
            <w:r>
              <w:rPr>
                <w:rFonts w:ascii="Arial" w:cs="Arial" w:eastAsia="Arial" w:hAnsi="Arial"/>
                <w:b/>
                <w:bCs/>
                <w:color w:val="2E4A6B"/>
                <w:sz w:val="22"/>
                <w:szCs w:val="22"/>
              </w:rPr>
              <w:t xml:space="preserve">Audience: </w:t>
            </w:r>
            <w:r>
              <w:rPr>
                <w:rFonts w:ascii="Arial" w:cs="Arial" w:eastAsia="Arial" w:hAnsi="Arial"/>
                <w:color w:val="1A1A1A"/>
                <w:sz w:val="22"/>
                <w:szCs w:val="22"/>
              </w:rPr>
              <w:t xml:space="preserve">Project Coordinators, Pre-Development Team</w:t>
            </w:r>
          </w:p>
        </w:tc>
      </w:tr>
    </w:tbl>
    <w:p>
      <w:pPr>
        <w:spacing w:after="80" w:before="80"/>
      </w:pPr>
      <w:r>
        <w:rPr>
          <w:rFonts w:ascii="Arial" w:cs="Arial" w:eastAsia="Arial" w:hAnsi="Arial"/>
          <w:sz w:val="22"/>
          <w:szCs w:val="22"/>
        </w:rPr>
        <w:t xml:space="preserve"/>
      </w:r>
    </w:p>
    <w:p>
      <w:r>
        <w:br w:type="page"/>
      </w:r>
    </w:p>
    <w:p>
      <w:pPr>
        <w:pStyle w:val="Heading1"/>
        <w:pBdr>
          <w:bottom w:val="single" w:color="1B2A4A" w:sz="8" w:space="4"/>
        </w:pBdr>
        <w:spacing w:after="160" w:before="400"/>
      </w:pPr>
      <w:r>
        <w:rPr>
          <w:rFonts w:ascii="Arial" w:cs="Arial" w:eastAsia="Arial" w:hAnsi="Arial"/>
          <w:b/>
          <w:bCs/>
          <w:color w:val="1B2A4A"/>
          <w:sz w:val="36"/>
          <w:szCs w:val="36"/>
        </w:rPr>
        <w:t xml:space="preserve">1. Why This Matters — The Practical Problem</w:t>
      </w:r>
    </w:p>
    <w:p>
      <w:pPr>
        <w:spacing w:after="80" w:before="80"/>
      </w:pPr>
      <w:r>
        <w:rPr>
          <w:rFonts w:ascii="Arial" w:cs="Arial" w:eastAsia="Arial" w:hAnsi="Arial"/>
          <w:sz w:val="22"/>
          <w:szCs w:val="22"/>
        </w:rPr>
        <w:t xml:space="preserve">When a client comes to Helio wanting to build 4 units on a serviced parcel that is zoned for 4 units, the answer is often 'not yet.' Two instruments from the parcel's past can sit on title and block construction — even though the municipality today wants exactly that density to happen. This playbook is your complete guide to identifying those instruments, understanding what they are, and removing them so the project can proceed.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permit chain: </w:t>
      </w:r>
      <w:r>
        <w:rPr>
          <w:rFonts w:ascii="Arial" w:cs="Arial" w:eastAsia="Arial" w:hAnsi="Arial"/>
          <w:sz w:val="22"/>
          <w:szCs w:val="22"/>
        </w:rPr>
        <w:t xml:space="preserve">The Nova Scotia Building Code Regulations require that all applicable requirements — including any land use bylaw, subdivision bylaw, lot grading plan, or </w:t>
      </w:r>
      <w:r>
        <w:rPr>
          <w:rFonts w:ascii="Arial" w:cs="Arial" w:eastAsia="Arial" w:hAnsi="Arial"/>
          <w:b/>
          <w:bCs/>
          <w:sz w:val="22"/>
          <w:szCs w:val="22"/>
        </w:rPr>
        <w:t xml:space="preserve">development agreement</w:t>
      </w:r>
      <w:r>
        <w:rPr>
          <w:rFonts w:ascii="Arial" w:cs="Arial" w:eastAsia="Arial" w:hAnsi="Arial"/>
          <w:sz w:val="22"/>
          <w:szCs w:val="22"/>
        </w:rPr>
        <w:t xml:space="preserve"> — have been complied with before a building permit can be issued. If a development agreement restricts use to single-family and you apply for a 4-unit permit, the development officer will refuse. The DA is the municipal gate.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Covenants are different: </w:t>
      </w:r>
      <w:r>
        <w:rPr>
          <w:rFonts w:ascii="Arial" w:cs="Arial" w:eastAsia="Arial" w:hAnsi="Arial"/>
          <w:sz w:val="22"/>
          <w:szCs w:val="22"/>
        </w:rPr>
        <w:t xml:space="preserve">HRM does not enforce private restrictive covenants when processing permit applications. If the proposed use meets the Land Use Bylaw, the permit will issue regardless of whether a covenant exists on title. However, the original covenant holder (often the original subdivider) can take the owner to NS Supreme Court to enforce it. The covenant discharge is about eliminating civil litigation risk — it is the private law gate.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1B2A4A"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1B2A4A"/>
                <w:sz w:val="20"/>
                <w:szCs w:val="20"/>
              </w:rPr>
              <w:t xml:space="preserve">KEY DISTINCTION — Municipal vs. Private</w:t>
            </w:r>
          </w:p>
          <w:p>
            <w:pPr>
              <w:spacing w:after="80" w:before="80"/>
            </w:pPr>
            <w:r>
              <w:rPr>
                <w:rFonts w:ascii="Arial" w:cs="Arial" w:eastAsia="Arial" w:hAnsi="Arial"/>
                <w:b/>
                <w:bCs/>
                <w:sz w:val="22"/>
                <w:szCs w:val="22"/>
              </w:rPr>
              <w:t xml:space="preserve">Development Agreement (DA): </w:t>
            </w:r>
            <w:r>
              <w:rPr>
                <w:rFonts w:ascii="Arial" w:cs="Arial" w:eastAsia="Arial" w:hAnsi="Arial"/>
                <w:sz w:val="22"/>
                <w:szCs w:val="22"/>
              </w:rPr>
              <w:t xml:space="preserve">A contract between the property owner and HRM. Enforced at the permit counter. Must be discharged through Community Council (§244) before a permit will issue for non-conforming uses.</w:t>
            </w:r>
          </w:p>
          <w:p>
            <w:pPr>
              <w:spacing w:after="80" w:before="80"/>
            </w:pPr>
            <w:r>
              <w:rPr>
                <w:rFonts w:ascii="Arial" w:cs="Arial" w:eastAsia="Arial" w:hAnsi="Arial"/>
                <w:b/>
                <w:bCs/>
                <w:sz w:val="22"/>
                <w:szCs w:val="22"/>
              </w:rPr>
              <w:t xml:space="preserve">Restrictive Covenant: </w:t>
            </w:r>
            <w:r>
              <w:rPr>
                <w:rFonts w:ascii="Arial" w:cs="Arial" w:eastAsia="Arial" w:hAnsi="Arial"/>
                <w:sz w:val="22"/>
                <w:szCs w:val="22"/>
              </w:rPr>
              <w:t xml:space="preserve">A contract between private parties (e.g., original developer and lot buyers). HRM will not refuse a permit because of it. The risk is civil litigation from the covenant holder. Discharged through the HRM CAO (§257A) or negotiated release.</w:t>
            </w:r>
          </w:p>
        </w:tc>
      </w:tr>
    </w:tbl>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2. Understanding the Instruments</w:t>
      </w:r>
    </w:p>
    <w:p>
      <w:pPr>
        <w:pStyle w:val="Heading2"/>
        <w:spacing w:after="120" w:before="320"/>
      </w:pPr>
      <w:r>
        <w:rPr>
          <w:rFonts w:ascii="Arial" w:cs="Arial" w:eastAsia="Arial" w:hAnsi="Arial"/>
          <w:b/>
          <w:bCs/>
          <w:color w:val="2E4A6B"/>
          <w:sz w:val="28"/>
          <w:szCs w:val="28"/>
        </w:rPr>
        <w:t xml:space="preserve">2.1  Development Agreements (DAs)</w:t>
      </w:r>
    </w:p>
    <w:p>
      <w:pPr>
        <w:spacing w:after="80" w:before="80"/>
      </w:pPr>
      <w:r>
        <w:rPr>
          <w:rFonts w:ascii="Arial" w:cs="Arial" w:eastAsia="Arial" w:hAnsi="Arial"/>
          <w:sz w:val="22"/>
          <w:szCs w:val="22"/>
        </w:rPr>
        <w:t xml:space="preserve">A development agreement is a registered contract between a property owner and HRM that governs how land may be developed. It is negotiated as part of a planning approval — for example, when the original developer of a subdivision wanted to build uses not permitted as-of-right under the then-applicable Land Use Bylaw. The DA was the municipality's tool for saying 'we'll allow this, but only under these conditions.'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DAs are registered at the Registry of Deeds (Land Registration Office) as encumbrances on title. They bind all subsequent owners. The DA from 2004 that permitted a subdivision on a parent parcel is now binding on every lot that was created from that parent — even though the current owner has no connection to the original developer.</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DAs commonly restrict for residential parcels:</w:t>
      </w:r>
      <w:r>
        <w:rPr>
          <w:rFonts w:ascii="Arial" w:cs="Arial" w:eastAsia="Arial" w:hAnsi="Arial"/>
          <w:sz w:val="22"/>
          <w:szCs w:val="22"/>
        </w:rPr>
        <w:t xml:space="preserve"> single-family dwelling use only; prohibition on subdivision; caps on unit count; specific dwelling footprint or height requirements; lot coverage maximums; tree preservation obligations; requirements to construct specific infrastructure before development.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HOW A DA ENDS UP ON YOUR CLIENT'S LOT</w:t>
            </w:r>
          </w:p>
          <w:p>
            <w:pPr>
              <w:spacing w:after="80" w:before="80"/>
            </w:pPr>
            <w:r>
              <w:rPr>
                <w:rFonts w:ascii="Arial" w:cs="Arial" w:eastAsia="Arial" w:hAnsi="Arial"/>
                <w:sz w:val="22"/>
                <w:szCs w:val="22"/>
              </w:rPr>
              <w:t xml:space="preserve">The original developer (Ramar Developments, Twin Oaks Homes, etc.) applied to HRM to subdivide a large parcel into lots. As a condition of approval, HRM required them to sign a DA — typically restricting lots to single-family use, setting servicing standards, and requiring certain infrastructure. That DA was registered on the parent parcel and flowed through to each lot as it was conveyed. The current owner never agreed to it — they inherited it with the title.</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2.2  Restrictive Covenants</w:t>
      </w:r>
    </w:p>
    <w:p>
      <w:pPr>
        <w:spacing w:after="80" w:before="80"/>
      </w:pPr>
      <w:r>
        <w:rPr>
          <w:rFonts w:ascii="Arial" w:cs="Arial" w:eastAsia="Arial" w:hAnsi="Arial"/>
          <w:sz w:val="22"/>
          <w:szCs w:val="22"/>
        </w:rPr>
        <w:t xml:space="preserve">A restrictive covenant is an agreement between private parties — typically the developer and each lot purchaser — imposing obligations on how the land may be used. Unlike a DA, the counterparty is a private party (the developer or their successors), not the municipality.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 standard subdivision practice, the original developer registers a covenant package at the time of selling lots. These covenants enforce the aesthetic and use character of the subdivision: single-family dwellings only, minimum square footage requirements, restrictions on outbuildings, fencing rules, architectural approval requirements, and tree removal restrictions. Their purpose was to protect the value of all lots in the subdivision — and to protect the developer's brand during active sales.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500"/>
        <w:gridCol w:w="1860"/>
      </w:tblGrid>
      <w:tr>
        <w:trPr>
          <w:tblHeader/>
        </w:trPr>
        <w:tc>
          <w:tcPr>
            <w:tcW w:type="dxa" w:w="22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Instrument</w:t>
            </w:r>
          </w:p>
        </w:tc>
        <w:tc>
          <w:tcPr>
            <w:tcW w:type="dxa" w:w="20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Counterparty</w:t>
            </w:r>
          </w:p>
        </w:tc>
        <w:tc>
          <w:tcPr>
            <w:tcW w:type="dxa" w:w="18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Enforcer</w:t>
            </w:r>
          </w:p>
        </w:tc>
        <w:tc>
          <w:tcPr>
            <w:tcW w:type="dxa" w:w="15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Blocks Permit?</w:t>
            </w:r>
          </w:p>
        </w:tc>
        <w:tc>
          <w:tcPr>
            <w:tcW w:type="dxa" w:w="186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Discharge Path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Development Agreement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Development Officer at permit counter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B71C1C"/>
                <w:sz w:val="22"/>
                <w:szCs w:val="22"/>
              </w:rPr>
              <w:t xml:space="preserve">Yes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§244 — Community Council resolution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Restrictive Covenant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Original developer or building scheme</w:t>
            </w:r>
          </w:p>
        </w:tc>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Any covenant beneficiary in NS Supreme Court</w:t>
            </w:r>
          </w:p>
        </w:tc>
        <w:tc>
          <w:tcPr>
            <w:tcW w:type="dxa" w:w="1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2"/>
                <w:szCs w:val="22"/>
              </w:rPr>
              <w:t xml:space="preserve">Not at HRM</w:t>
            </w:r>
          </w:p>
        </w:tc>
        <w:tc>
          <w:tcPr>
            <w:tcW w:type="dxa" w:w="1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§257A — CAO administrative decision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Easement (utility/access)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NSPI or adjacent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Civil court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2"/>
                <w:szCs w:val="22"/>
              </w:rPr>
              <w:t xml:space="preserve">Not at HRM</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in scope — requires consent of easement holder</w:t>
            </w:r>
          </w:p>
        </w:tc>
      </w:tr>
    </w:tbl>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3. How to Read a Title and Identify What You Have</w:t>
      </w:r>
    </w:p>
    <w:p>
      <w:pPr>
        <w:pStyle w:val="Heading2"/>
        <w:spacing w:after="120" w:before="320"/>
      </w:pPr>
      <w:r>
        <w:rPr>
          <w:rFonts w:ascii="Arial" w:cs="Arial" w:eastAsia="Arial" w:hAnsi="Arial"/>
          <w:b/>
          <w:bCs/>
          <w:color w:val="2E4A6B"/>
          <w:sz w:val="28"/>
          <w:szCs w:val="28"/>
        </w:rPr>
        <w:t xml:space="preserve">3.1  Nova Scotia Property Online (NSPOL)</w:t>
      </w:r>
    </w:p>
    <w:p>
      <w:pPr>
        <w:spacing w:after="80" w:before="80"/>
      </w:pPr>
      <w:r>
        <w:rPr>
          <w:rFonts w:ascii="Arial" w:cs="Arial" w:eastAsia="Arial" w:hAnsi="Arial"/>
          <w:sz w:val="22"/>
          <w:szCs w:val="22"/>
        </w:rPr>
        <w:t xml:space="preserve">Every title search in Nova Scotia starts at the NS Property Online system. Go to:</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8F5E9" w:sz="0"/>
              <w:left w:val="single" w:color="2E4A6B" w:sz="18"/>
              <w:bottom w:val="none" w:color="E8F5E9" w:sz="0"/>
              <w:right w:val="none" w:color="E8F5E9" w:sz="0"/>
            </w:tcBorders>
            <w:shd w:fill="E8F5E9"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NSPOL Access</w:t>
            </w:r>
          </w:p>
          <w:p>
            <w:pPr>
              <w:spacing w:after="80" w:before="80"/>
            </w:pPr>
            <w:r>
              <w:rPr>
                <w:rFonts w:ascii="Arial" w:cs="Arial" w:eastAsia="Arial" w:hAnsi="Arial"/>
                <w:b/>
                <w:bCs/>
                <w:sz w:val="22"/>
                <w:szCs w:val="22"/>
              </w:rPr>
              <w:t xml:space="preserve">URL: </w:t>
            </w:r>
            <w:r>
              <w:rPr>
                <w:rFonts w:ascii="Courier New" w:cs="Courier New" w:eastAsia="Courier New" w:hAnsi="Courier New"/>
                <w:sz w:val="20"/>
                <w:szCs w:val="20"/>
              </w:rPr>
              <w:t xml:space="preserve">https://propertyonline.novascotia.ca</w:t>
            </w:r>
          </w:p>
          <w:p>
            <w:pPr>
              <w:spacing w:after="80" w:before="80"/>
            </w:pPr>
            <w:r>
              <w:rPr>
                <w:rFonts w:ascii="Arial" w:cs="Arial" w:eastAsia="Arial" w:hAnsi="Arial"/>
                <w:sz w:val="22"/>
                <w:szCs w:val="22"/>
              </w:rPr>
              <w:t xml:space="preserve">Search by PID (Property Identification Number). Pull the 'Abstract of Title' — this is the chronological list of all instruments registered against the parcel.</w:t>
            </w:r>
          </w:p>
          <w:p>
            <w:pPr>
              <w:spacing w:after="80" w:before="80"/>
            </w:pPr>
            <w:r>
              <w:rPr>
                <w:rFonts w:ascii="Arial" w:cs="Arial" w:eastAsia="Arial" w:hAnsi="Arial"/>
                <w:b/>
                <w:bCs/>
                <w:sz w:val="22"/>
                <w:szCs w:val="22"/>
              </w:rPr>
              <w:t xml:space="preserve">Document cost:</w:t>
            </w:r>
            <w:r>
              <w:rPr>
                <w:rFonts w:ascii="Arial" w:cs="Arial" w:eastAsia="Arial" w:hAnsi="Arial"/>
                <w:sz w:val="22"/>
                <w:szCs w:val="22"/>
              </w:rPr>
              <w:t xml:space="preserve"> $1.00–$2.50 per page. Budget $10–$30 for a full instrument pull on most residential lots.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3.2  What to Look For in the Abstract</w:t>
      </w:r>
    </w:p>
    <w:p>
      <w:pPr>
        <w:spacing w:after="80" w:before="80"/>
      </w:pPr>
      <w:r>
        <w:rPr>
          <w:rFonts w:ascii="Arial" w:cs="Arial" w:eastAsia="Arial" w:hAnsi="Arial"/>
          <w:sz w:val="22"/>
          <w:szCs w:val="22"/>
        </w:rPr>
        <w:t xml:space="preserve">The abstract lists every registered instrument by type, instrument number, and registration date. You are looking for three categories:</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Document type 'DEVELOPMENT AGREEMENT' </w:t>
      </w:r>
      <w:r>
        <w:rPr>
          <w:rFonts w:ascii="Arial" w:cs="Arial" w:eastAsia="Arial" w:hAnsi="Arial"/>
          <w:sz w:val="22"/>
          <w:szCs w:val="22"/>
        </w:rPr>
        <w:t xml:space="preserve">— This is a §244 DA. Note the instrument number (format: D_XXXXXXXX or similar), Book/Page reference, and registration date. Pull the full text. The key clauses to find: permitted use, unit count limit, expiry/commencement provisions, and any clause that states 'in accordance with the terms of this agreement' (this tells you whether discharge requires owner consent or is unilateral).</w:t>
      </w:r>
    </w:p>
    <w:p>
      <w:pPr>
        <w:pStyle w:val="ListParagraph"/>
        <w:numPr>
          <w:ilvl w:val="0"/>
          <w:numId w:val="2"/>
        </w:numPr>
        <w:spacing w:after="60" w:before="60"/>
      </w:pPr>
      <w:r>
        <w:rPr>
          <w:rFonts w:ascii="Arial" w:cs="Arial" w:eastAsia="Arial" w:hAnsi="Arial"/>
          <w:b/>
          <w:bCs/>
          <w:sz w:val="22"/>
          <w:szCs w:val="22"/>
        </w:rPr>
        <w:t xml:space="preserve">Document type 'RESTRICTIVE COVENANT' or 'DEED RESTRICTION' </w:t>
      </w:r>
      <w:r>
        <w:rPr>
          <w:rFonts w:ascii="Arial" w:cs="Arial" w:eastAsia="Arial" w:hAnsi="Arial"/>
          <w:sz w:val="22"/>
          <w:szCs w:val="22"/>
        </w:rPr>
        <w:t xml:space="preserve">— This is a §257A covenant. Note the instrument number and the name of the grantor. Pull the full text. The key clauses: any use restriction (single-family, residential only), any prohibition on subdivision or multi-unit development, and any clause requiring written approval of the original developer for changes.</w:t>
      </w:r>
    </w:p>
    <w:p>
      <w:pPr>
        <w:pStyle w:val="ListParagraph"/>
        <w:numPr>
          <w:ilvl w:val="0"/>
          <w:numId w:val="2"/>
        </w:numPr>
        <w:spacing w:after="60" w:before="60"/>
      </w:pPr>
      <w:r>
        <w:rPr>
          <w:rFonts w:ascii="Arial" w:cs="Arial" w:eastAsia="Arial" w:hAnsi="Arial"/>
          <w:b/>
          <w:bCs/>
          <w:sz w:val="22"/>
          <w:szCs w:val="22"/>
        </w:rPr>
        <w:t xml:space="preserve">Document type 'EASEMENT' or 'RIGHT OF WAY' </w:t>
      </w:r>
      <w:r>
        <w:rPr>
          <w:rFonts w:ascii="Arial" w:cs="Arial" w:eastAsia="Arial" w:hAnsi="Arial"/>
          <w:sz w:val="22"/>
          <w:szCs w:val="22"/>
        </w:rPr>
        <w:t xml:space="preserve">— These govern what happens on a strip of land (utility corridors, access routes). They are not in scope for discharge unless they conflict with your building envelope, in which case you need the easement holder's consent, not an HRM application.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WHAT A DA ENTRY LOOKS LIKE IN THE ABSTRACT</w:t>
            </w:r>
          </w:p>
          <w:p>
            <w:pPr>
              <w:spacing w:after="80" w:before="80"/>
            </w:pPr>
            <w:r>
              <w:rPr>
                <w:rFonts w:ascii="Courier New" w:cs="Courier New" w:eastAsia="Courier New" w:hAnsi="Courier New"/>
                <w:sz w:val="20"/>
                <w:szCs w:val="20"/>
              </w:rPr>
              <w:t xml:space="preserve">INSTRUMENT TYPE:   DEVELOPMENT AGREEMENT</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INSTRUMENT NO.:    D_84103291</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REGISTRATION DATE: 2007-06-14</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GRANTOR:           TWIN OAKS HOMES LTD.</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GRANTEE:           MUNICIPALITY OF HALIFAX</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BOOK/PAGE:         10447/391</w:t>
            </w: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this tells you: </w:t>
            </w:r>
            <w:r>
              <w:rPr>
                <w:rFonts w:ascii="Arial" w:cs="Arial" w:eastAsia="Arial" w:hAnsi="Arial"/>
                <w:sz w:val="22"/>
                <w:szCs w:val="22"/>
              </w:rPr>
              <w:t xml:space="preserve">The DA was registered in 2007. Pull the full instrument from NSPOL at Book 10447, Page 391. The grantor is the original developer — not HRM. This means it was executed under the developer's application, not a municipal-initiated agreement.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WHAT A COVENANT ENTRY LOOKS LIKE</w:t>
            </w:r>
          </w:p>
          <w:p>
            <w:pPr>
              <w:spacing w:after="80" w:before="80"/>
            </w:pPr>
            <w:r>
              <w:rPr>
                <w:rFonts w:ascii="Courier New" w:cs="Courier New" w:eastAsia="Courier New" w:hAnsi="Courier New"/>
                <w:sz w:val="20"/>
                <w:szCs w:val="20"/>
              </w:rPr>
              <w:t xml:space="preserve">INSTRUMENT TYPE:   RESTRICTIVE COVENANT</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INSTRUMENT NO.:    D_84059386</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REGISTRATION DATE: 2006-01-11</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GRANTOR:           RAMAR DEVELOPMENTS LTD.</w:t>
            </w:r>
            <w:r>
              <w:rPr>
                <w:rFonts w:ascii="Arial" w:cs="Arial" w:eastAsia="Arial" w:hAnsi="Arial"/>
                <w:sz w:val="22"/>
                <w:szCs w:val="22"/>
              </w:rPr>
              <w:t xml:space="preserve"/>
            </w:r>
          </w:p>
          <w:p>
            <w:pPr>
              <w:spacing w:after="80" w:before="80"/>
            </w:pPr>
            <w:r>
              <w:rPr>
                <w:rFonts w:ascii="Courier New" w:cs="Courier New" w:eastAsia="Courier New" w:hAnsi="Courier New"/>
                <w:sz w:val="20"/>
                <w:szCs w:val="20"/>
              </w:rPr>
              <w:t xml:space="preserve">BOOK/PAGE:         9882/214</w:t>
            </w: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What this tells you: </w:t>
            </w:r>
            <w:r>
              <w:rPr>
                <w:rFonts w:ascii="Arial" w:cs="Arial" w:eastAsia="Arial" w:hAnsi="Arial"/>
                <w:sz w:val="22"/>
                <w:szCs w:val="22"/>
              </w:rPr>
              <w:t xml:space="preserve">Private covenant from Ramar (original developer). Pull full instrument. Look for the specific clauses restricting use — these are what you'll cite in your §257A rationale letter.</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3.3  Diagnostic Decision Tree</w:t>
      </w:r>
    </w:p>
    <w:p>
      <w:pPr>
        <w:spacing w:after="80" w:before="80"/>
      </w:pPr>
      <w:r>
        <w:rPr>
          <w:rFonts w:ascii="Arial" w:cs="Arial" w:eastAsia="Arial" w:hAnsi="Arial"/>
          <w:sz w:val="22"/>
          <w:szCs w:val="22"/>
        </w:rPr>
        <w:t xml:space="preserve">After pulling all instruments, use this logic:</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Situation</w:t>
            </w:r>
          </w:p>
        </w:tc>
        <w:tc>
          <w:tcPr>
            <w:tcW w:type="dxa" w:w="516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Action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Only a DA on title; no covenant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§244 DA discharge through PPLC. No covenant application needed.</w:t>
            </w:r>
          </w:p>
        </w:tc>
      </w:tr>
      <w:tr>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Only a covenant on title; no DA</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File §257A covenant discharge through PPLC (if zone allows more density). Or proceed to permit (HRM won't block it) and accept civil litigation risk.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Both a DA and a covenant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File both applications concurrently through PPLC. Use same project rationale for both. DA discharge clears the permit counter. Covenant discharge clears the litigation risk.</w:t>
            </w:r>
          </w:p>
        </w:tc>
      </w:tr>
      <w:tr>
        <w:tc>
          <w:tcPr>
            <w:tcW w:type="dxa" w:w="4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Easement only; no DA or covenant</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Not in scope for PPLC discharge. Review whether easement conflicts with building envelope. If so, contact easement holder directly.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 expired or fully performed (conditions met)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DA may already be inoperative. Confirm with a title lawyer or submit to HRM for administrative confirmation before filing discharge. Some DAs expire on commencement of development.</w:t>
            </w:r>
          </w:p>
        </w:tc>
      </w:tr>
    </w:tbl>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4. Path A — Development Agreement Discharge (§244 HRM Charter)</w:t>
      </w:r>
    </w:p>
    <w:p>
      <w:pPr>
        <w:pStyle w:val="Heading2"/>
        <w:spacing w:after="120" w:before="320"/>
      </w:pPr>
      <w:r>
        <w:rPr>
          <w:rFonts w:ascii="Arial" w:cs="Arial" w:eastAsia="Arial" w:hAnsi="Arial"/>
          <w:b/>
          <w:bCs/>
          <w:color w:val="2E4A6B"/>
          <w:sz w:val="28"/>
          <w:szCs w:val="28"/>
        </w:rPr>
        <w:t xml:space="preserve">4.1  The Legal Mechanism</w:t>
      </w:r>
    </w:p>
    <w:p>
      <w:pPr>
        <w:spacing w:after="80" w:before="80"/>
      </w:pPr>
      <w:r>
        <w:rPr>
          <w:rFonts w:ascii="Arial" w:cs="Arial" w:eastAsia="Arial" w:hAnsi="Arial"/>
          <w:sz w:val="22"/>
          <w:szCs w:val="22"/>
        </w:rPr>
        <w:t xml:space="preserve">Section 244 of the HRM Charter states that Council may discharge a development agreement, in whole or in part, in accordance with the terms of the agreement or with the concurrence of the property owner. No public hearing is required. A Community Council may discharge by resolution.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2023 amendments to the HRM Charter went further: they gave HRM the authority to unilaterally discharge existing development agreements that are more restrictive than current zoning with respect to height or density. This means that for urban/serviced parcels where the current zone allows more density than the DA, staff now have explicit legislative backing to recommend discharge even without a complex applicant justification.</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4.2  The Test for Approval</w:t>
      </w:r>
    </w:p>
    <w:p>
      <w:pPr>
        <w:spacing w:after="80" w:before="80"/>
      </w:pPr>
      <w:r>
        <w:rPr>
          <w:rFonts w:ascii="Arial" w:cs="Arial" w:eastAsia="Arial" w:hAnsi="Arial"/>
          <w:sz w:val="22"/>
          <w:szCs w:val="22"/>
        </w:rPr>
        <w:t xml:space="preserve">Staff's recommendation — and Community Council's decision — must be 'reasonably consistent with the intent of the applicable Municipal Planning Strategy.' This is the central phrase. Your cover letter must make this argument. It has two parts:</w:t>
      </w:r>
    </w:p>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b/>
          <w:bCs/>
          <w:sz w:val="22"/>
          <w:szCs w:val="22"/>
        </w:rPr>
        <w:t xml:space="preserve">The DA is spent, moot, or its purpose is no longer applicable. </w:t>
      </w:r>
      <w:r>
        <w:rPr>
          <w:rFonts w:ascii="Arial" w:cs="Arial" w:eastAsia="Arial" w:hAnsi="Arial"/>
          <w:sz w:val="22"/>
          <w:szCs w:val="22"/>
        </w:rPr>
        <w:t xml:space="preserve">The development it permitted has been completed; or the original developer no longer controls the land and the intentions behind the DA no longer apply; or the DA restricts to single-family on a parcel that is now designated for multi-unit residential in the current MPS.</w:t>
      </w:r>
    </w:p>
    <w:p>
      <w:pPr>
        <w:pStyle w:val="ListParagraph"/>
        <w:numPr>
          <w:ilvl w:val="0"/>
          <w:numId w:val="3"/>
        </w:numPr>
        <w:spacing w:after="60" w:before="60"/>
      </w:pPr>
      <w:r>
        <w:rPr>
          <w:rFonts w:ascii="Arial" w:cs="Arial" w:eastAsia="Arial" w:hAnsi="Arial"/>
          <w:b/>
          <w:bCs/>
          <w:sz w:val="22"/>
          <w:szCs w:val="22"/>
        </w:rPr>
        <w:t xml:space="preserve">Discharging the DA is consistent with current planning policy. </w:t>
      </w:r>
      <w:r>
        <w:rPr>
          <w:rFonts w:ascii="Arial" w:cs="Arial" w:eastAsia="Arial" w:hAnsi="Arial"/>
          <w:sz w:val="22"/>
          <w:szCs w:val="22"/>
        </w:rPr>
        <w:t xml:space="preserve">The current zone permits the proposed use as-of-right or by development agreement. Provincial housing legislation prioritizes increasing supply. The MPS identifies the area as appropriate for infill residential intensification.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WHAT 'REASONABLY CONSISTENT WITH THE MPS' MEANS IN PRACTICE</w:t>
            </w:r>
          </w:p>
          <w:p>
            <w:pPr>
              <w:spacing w:after="80" w:before="80"/>
            </w:pPr>
            <w:r>
              <w:rPr>
                <w:rFonts w:ascii="Arial" w:cs="Arial" w:eastAsia="Arial" w:hAnsi="Arial"/>
                <w:sz w:val="22"/>
                <w:szCs w:val="22"/>
              </w:rPr>
              <w:t xml:space="preserve">You do not need to prove that discharge is the only correct outcome — you need to show it is a reasonable planning decision. HRM staff will evaluate whether the underlying LUB zone already governs the parcel adequately without the DA. If the zone allows multi-unit development and the DA restricts it, the argument writes itself.</w:t>
            </w:r>
          </w:p>
          <w:p>
            <w:pPr>
              <w:spacing w:after="80" w:before="80"/>
            </w:pPr>
            <w:r>
              <w:rPr>
                <w:rFonts w:ascii="Arial" w:cs="Arial" w:eastAsia="Arial" w:hAnsi="Arial"/>
                <w:b/>
                <w:bCs/>
                <w:sz w:val="22"/>
                <w:szCs w:val="22"/>
              </w:rPr>
              <w:t xml:space="preserve">Key phrase to use in your cover letter:</w:t>
            </w:r>
            <w:r>
              <w:rPr>
                <w:rFonts w:ascii="Arial" w:cs="Arial" w:eastAsia="Arial" w:hAnsi="Arial"/>
                <w:sz w:val="22"/>
                <w:szCs w:val="22"/>
              </w:rPr>
              <w:t xml:space="preserve"> 'The proposed discharge is consistent with the intent of the [applicable] Municipal Planning Strategy, which designates the subject lands for residential infill and supports increasing housing density in established neighbourhoods.'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4.3  Documents to Gather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Document</w:t>
            </w:r>
          </w:p>
        </w:tc>
        <w:tc>
          <w:tcPr>
            <w:tcW w:type="dxa" w:w="28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Where to Get It</w:t>
            </w:r>
          </w:p>
        </w:tc>
        <w:tc>
          <w:tcPr>
            <w:tcW w:type="dxa" w:w="416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text of the DA instrument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NSPOL — pull by Book/Page reference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Critical — you must cite specific clauses in your cover letter. Note the original case/municipal number if referenced.</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PID and civic address confirmation</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NSPOL or HRM ExploreHRM map</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Confirm current registered owner matches client. If title has transferred, confirm chain.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Current zone and LUB confirmation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 ExploreHRM (free) or Zoning Confirmation Letter ($50/PID)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You need to state what the current zone permits — this is your 'more permissive than the DA' argument.</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NS Property Online abstract</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NSPOL</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To confirm no other encumbrances that conflict with the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Cover letter / application narrative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You write this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1–2 pages. See template in Section 7.</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4.4  What Happens After Filing</w:t>
      </w:r>
    </w:p>
    <w:p>
      <w:pPr>
        <w:pStyle w:val="ListParagraph"/>
        <w:numPr>
          <w:ilvl w:val="0"/>
          <w:numId w:val="3"/>
        </w:numPr>
        <w:spacing w:after="60" w:before="60"/>
      </w:pPr>
      <w:r>
        <w:rPr>
          <w:rFonts w:ascii="Arial" w:cs="Arial" w:eastAsia="Arial" w:hAnsi="Arial"/>
          <w:sz w:val="22"/>
          <w:szCs w:val="22"/>
        </w:rPr>
        <w:t xml:space="preserve">HRM assigns a planner. Acknowledgement typically within 2 weeks.</w:t>
      </w:r>
    </w:p>
    <w:p>
      <w:pPr>
        <w:pStyle w:val="ListParagraph"/>
        <w:numPr>
          <w:ilvl w:val="0"/>
          <w:numId w:val="3"/>
        </w:numPr>
        <w:spacing w:after="60" w:before="60"/>
      </w:pPr>
      <w:r>
        <w:rPr>
          <w:rFonts w:ascii="Arial" w:cs="Arial" w:eastAsia="Arial" w:hAnsi="Arial"/>
          <w:sz w:val="22"/>
          <w:szCs w:val="22"/>
        </w:rPr>
        <w:t xml:space="preserve">HRM posts a notice on their website and mails adjacent property owners.</w:t>
      </w:r>
    </w:p>
    <w:p>
      <w:pPr>
        <w:pStyle w:val="ListParagraph"/>
        <w:numPr>
          <w:ilvl w:val="0"/>
          <w:numId w:val="3"/>
        </w:numPr>
        <w:spacing w:after="60" w:before="60"/>
      </w:pPr>
      <w:r>
        <w:rPr>
          <w:rFonts w:ascii="Arial" w:cs="Arial" w:eastAsia="Arial" w:hAnsi="Arial"/>
          <w:sz w:val="22"/>
          <w:szCs w:val="22"/>
        </w:rPr>
        <w:t xml:space="preserve">Public comment period (typically 2–4 weeks).</w:t>
      </w:r>
    </w:p>
    <w:p>
      <w:pPr>
        <w:pStyle w:val="ListParagraph"/>
        <w:numPr>
          <w:ilvl w:val="0"/>
          <w:numId w:val="3"/>
        </w:numPr>
        <w:spacing w:after="60" w:before="60"/>
      </w:pPr>
      <w:r>
        <w:rPr>
          <w:rFonts w:ascii="Arial" w:cs="Arial" w:eastAsia="Arial" w:hAnsi="Arial"/>
          <w:sz w:val="22"/>
          <w:szCs w:val="22"/>
        </w:rPr>
        <w:t xml:space="preserve">Planner prepares a staff report. Report assesses MPS consistency, summarizes public feedback.</w:t>
      </w:r>
    </w:p>
    <w:p>
      <w:pPr>
        <w:pStyle w:val="ListParagraph"/>
        <w:numPr>
          <w:ilvl w:val="0"/>
          <w:numId w:val="3"/>
        </w:numPr>
        <w:spacing w:after="60" w:before="60"/>
      </w:pPr>
      <w:r>
        <w:rPr>
          <w:rFonts w:ascii="Arial" w:cs="Arial" w:eastAsia="Arial" w:hAnsi="Arial"/>
          <w:sz w:val="22"/>
          <w:szCs w:val="22"/>
        </w:rPr>
        <w:t xml:space="preserve">Report goes to Community Council on the consent agenda. No public hearing required.</w:t>
      </w:r>
    </w:p>
    <w:p>
      <w:pPr>
        <w:pStyle w:val="ListParagraph"/>
        <w:numPr>
          <w:ilvl w:val="0"/>
          <w:numId w:val="3"/>
        </w:numPr>
        <w:spacing w:after="60" w:before="60"/>
      </w:pPr>
      <w:r>
        <w:rPr>
          <w:rFonts w:ascii="Arial" w:cs="Arial" w:eastAsia="Arial" w:hAnsi="Arial"/>
          <w:sz w:val="22"/>
          <w:szCs w:val="22"/>
        </w:rPr>
        <w:t xml:space="preserve">Council votes by resolution. Decision is appealable to the NS Regulatory and Appeals Board within 14 days.</w:t>
      </w:r>
    </w:p>
    <w:p>
      <w:pPr>
        <w:pStyle w:val="ListParagraph"/>
        <w:numPr>
          <w:ilvl w:val="0"/>
          <w:numId w:val="3"/>
        </w:numPr>
        <w:spacing w:after="60" w:before="60"/>
      </w:pPr>
      <w:r>
        <w:rPr>
          <w:rFonts w:ascii="Arial" w:cs="Arial" w:eastAsia="Arial" w:hAnsi="Arial"/>
          <w:sz w:val="22"/>
          <w:szCs w:val="22"/>
        </w:rPr>
        <w:t xml:space="preserve">If approved, the discharge agreement is executed and registered at the Registry of Deeds. Update your title search to confirm registration.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3E0" w:sz="0"/>
              <w:left w:val="single" w:color="E07B39" w:sz="18"/>
              <w:bottom w:val="none" w:color="FFF3E0" w:sz="0"/>
              <w:right w:val="none" w:color="FFF3E0" w:sz="0"/>
            </w:tcBorders>
            <w:shd w:fill="FFF3E0" w:val="clear"/>
            <w:tcMar>
              <w:top w:type="dxa" w:w="100"/>
              <w:left w:type="dxa" w:w="200"/>
              <w:bottom w:type="dxa" w:w="100"/>
              <w:right w:type="dxa" w:w="200"/>
            </w:tcMar>
          </w:tcPr>
          <w:p>
            <w:pPr>
              <w:spacing w:after="60" w:before="40"/>
            </w:pPr>
            <w:r>
              <w:rPr>
                <w:rFonts w:ascii="Arial" w:cs="Arial" w:eastAsia="Arial" w:hAnsi="Arial"/>
                <w:b/>
                <w:bCs/>
                <w:color w:val="E07B39"/>
                <w:sz w:val="20"/>
                <w:szCs w:val="20"/>
              </w:rPr>
              <w:t xml:space="preserve">TIMELINE EXPECTATION</w:t>
            </w:r>
          </w:p>
          <w:p>
            <w:pPr>
              <w:spacing w:after="80" w:before="80"/>
            </w:pPr>
            <w:r>
              <w:rPr>
                <w:rFonts w:ascii="Arial" w:cs="Arial" w:eastAsia="Arial" w:hAnsi="Arial"/>
                <w:sz w:val="22"/>
                <w:szCs w:val="22"/>
              </w:rPr>
              <w:t xml:space="preserve">Typical range: 8–16 weeks from submission to Council resolution, depending on staff workload and whether the assigned planner has the report ready for the next scheduled Council meeting. Meetings are typically monthly. Budget 4 months to be safe. Concurrent filing with §257A covenant application is strongly recommended.</w:t>
            </w:r>
          </w:p>
        </w:tc>
      </w:tr>
    </w:tbl>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5. Path B — Restrictive Covenant Discharge (§257A HRM Charter)</w:t>
      </w:r>
    </w:p>
    <w:p>
      <w:pPr>
        <w:pStyle w:val="Heading2"/>
        <w:spacing w:after="120" w:before="320"/>
      </w:pPr>
      <w:r>
        <w:rPr>
          <w:rFonts w:ascii="Arial" w:cs="Arial" w:eastAsia="Arial" w:hAnsi="Arial"/>
          <w:b/>
          <w:bCs/>
          <w:color w:val="2E4A6B"/>
          <w:sz w:val="28"/>
          <w:szCs w:val="28"/>
        </w:rPr>
        <w:t xml:space="preserve">5.1  The Legal Mechanism</w:t>
      </w:r>
    </w:p>
    <w:p>
      <w:pPr>
        <w:spacing w:after="80" w:before="80"/>
      </w:pPr>
      <w:r>
        <w:rPr>
          <w:rFonts w:ascii="Arial" w:cs="Arial" w:eastAsia="Arial" w:hAnsi="Arial"/>
          <w:sz w:val="22"/>
          <w:szCs w:val="22"/>
        </w:rPr>
        <w:t xml:space="preserve">Section 257A of the HRM Charter — added through amendments in 2023 — allows the Chief Administrative Officer (CAO) of HRM to discharge or modify private restrictive covenants when they are more restrictive than the current zoning with respect to height or density. This is a purely administrative decision; it does not go to Council, and no public hearing is required.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Critically: even if the CAO declines to discharge the covenant, HRM could still issue a building permit for a proposed use that meets the Land Use Bylaw. The municipality does not enforce private covenants when processing permit applications. The §257A discharge is about eliminating the civil enforcement risk, not unblocking the permit counter.</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5.2  The Test: 'More Restrictive Than Zoning'</w:t>
      </w:r>
    </w:p>
    <w:p>
      <w:pPr>
        <w:spacing w:after="80" w:before="80"/>
      </w:pPr>
      <w:r>
        <w:rPr>
          <w:rFonts w:ascii="Arial" w:cs="Arial" w:eastAsia="Arial" w:hAnsi="Arial"/>
          <w:sz w:val="22"/>
          <w:szCs w:val="22"/>
        </w:rPr>
        <w:t xml:space="preserve">The statutory test is narrow and specific: the covenant must be more restrictive than the current zoning with respect to height or density. For typical infill scenarios, this is easy to satisfy:</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Density gap: </w:t>
      </w:r>
      <w:r>
        <w:rPr>
          <w:rFonts w:ascii="Arial" w:cs="Arial" w:eastAsia="Arial" w:hAnsi="Arial"/>
          <w:sz w:val="22"/>
          <w:szCs w:val="22"/>
        </w:rPr>
        <w:t xml:space="preserve">The covenant says single-family dwelling only. The current LUB zone permits 4-unit or multi-unit residential. The zone allows more units than the covenant — the covenant is more restrictive on density. §257A applies.</w:t>
      </w:r>
    </w:p>
    <w:p>
      <w:pPr>
        <w:pStyle w:val="ListParagraph"/>
        <w:numPr>
          <w:ilvl w:val="0"/>
          <w:numId w:val="2"/>
        </w:numPr>
        <w:spacing w:after="60" w:before="60"/>
      </w:pPr>
      <w:r>
        <w:rPr>
          <w:rFonts w:ascii="Arial" w:cs="Arial" w:eastAsia="Arial" w:hAnsi="Arial"/>
          <w:b/>
          <w:bCs/>
          <w:sz w:val="22"/>
          <w:szCs w:val="22"/>
        </w:rPr>
        <w:t xml:space="preserve">Height gap: </w:t>
      </w:r>
      <w:r>
        <w:rPr>
          <w:rFonts w:ascii="Arial" w:cs="Arial" w:eastAsia="Arial" w:hAnsi="Arial"/>
          <w:sz w:val="22"/>
          <w:szCs w:val="22"/>
        </w:rPr>
        <w:t xml:space="preserve">The covenant caps building height at 1.5 storeys or 25 feet. The current zone permits up to 4 storeys. The zone allows more height than the covenant. §257A applies.</w:t>
      </w:r>
    </w:p>
    <w:p>
      <w:pPr>
        <w:pStyle w:val="ListParagraph"/>
        <w:numPr>
          <w:ilvl w:val="0"/>
          <w:numId w:val="2"/>
        </w:numPr>
        <w:spacing w:after="60" w:before="60"/>
      </w:pPr>
      <w:r>
        <w:rPr>
          <w:rFonts w:ascii="Arial" w:cs="Arial" w:eastAsia="Arial" w:hAnsi="Arial"/>
          <w:b/>
          <w:bCs/>
          <w:sz w:val="22"/>
          <w:szCs w:val="22"/>
        </w:rPr>
        <w:t xml:space="preserve">No gap: </w:t>
      </w:r>
      <w:r>
        <w:rPr>
          <w:rFonts w:ascii="Arial" w:cs="Arial" w:eastAsia="Arial" w:hAnsi="Arial"/>
          <w:sz w:val="22"/>
          <w:szCs w:val="22"/>
        </w:rPr>
        <w:t xml:space="preserve">The covenant says single-family only AND the current zone only permits single-family. The covenant and zoning are aligned — the 'more restrictive than zoning' argument does not automatically apply. This is the harder case (e.g., R-1B parcels). A legal assessment of whether §257A can still be argued on a future rezoning basis is worth the hour of a lawyer's time before filing.</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5.3  Documents to Gather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Document</w:t>
            </w:r>
          </w:p>
        </w:tc>
        <w:tc>
          <w:tcPr>
            <w:tcW w:type="dxa" w:w="28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Where to Get It</w:t>
            </w:r>
          </w:p>
        </w:tc>
        <w:tc>
          <w:tcPr>
            <w:tcW w:type="dxa" w:w="416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Full text of the covenant instrument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NSPOL — pull by instrument 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You must attach this as an exhibit to your rationale letter. Pull the complete instrument, not just the abstract entry.</w:t>
            </w:r>
          </w:p>
        </w:tc>
      </w:tr>
      <w:tr>
        <w:tc>
          <w:tcPr>
            <w:tcW w:type="dxa" w:w="2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Rationale letter</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You write this</w:t>
            </w:r>
          </w:p>
        </w:tc>
        <w:tc>
          <w:tcPr>
            <w:tcW w:type="dxa" w:w="4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Typically 1–2 pages. Must quote the specific restrictive clauses, state the current zone, and show the gap. See template in Section 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Current zone confirmation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 ExploreHRM or Zoning Confirmation Letter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Quote the specific LUB zone designation and the maximum permitted density/height.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5.4  What Happens After Filing</w:t>
      </w:r>
    </w:p>
    <w:p>
      <w:pPr>
        <w:pStyle w:val="ListParagraph"/>
        <w:numPr>
          <w:ilvl w:val="0"/>
          <w:numId w:val="3"/>
        </w:numPr>
        <w:spacing w:after="60" w:before="60"/>
      </w:pPr>
      <w:r>
        <w:rPr>
          <w:rFonts w:ascii="Arial" w:cs="Arial" w:eastAsia="Arial" w:hAnsi="Arial"/>
          <w:sz w:val="22"/>
          <w:szCs w:val="22"/>
        </w:rPr>
        <w:t xml:space="preserve">HRM assigns a planner. The file is processed under the 'Modification and/or Discharge of a Private Covenant' process.</w:t>
      </w:r>
    </w:p>
    <w:p>
      <w:pPr>
        <w:pStyle w:val="ListParagraph"/>
        <w:numPr>
          <w:ilvl w:val="0"/>
          <w:numId w:val="3"/>
        </w:numPr>
        <w:spacing w:after="60" w:before="60"/>
      </w:pPr>
      <w:r>
        <w:rPr>
          <w:rFonts w:ascii="Arial" w:cs="Arial" w:eastAsia="Arial" w:hAnsi="Arial"/>
          <w:sz w:val="22"/>
          <w:szCs w:val="22"/>
        </w:rPr>
        <w:t xml:space="preserve">Public engagement period. HRM posts a notice on their website and notifies adjacent property owners. Feedback goes to the planner.</w:t>
      </w:r>
    </w:p>
    <w:p>
      <w:pPr>
        <w:pStyle w:val="ListParagraph"/>
        <w:numPr>
          <w:ilvl w:val="0"/>
          <w:numId w:val="3"/>
        </w:numPr>
        <w:spacing w:after="60" w:before="60"/>
      </w:pPr>
      <w:r>
        <w:rPr>
          <w:rFonts w:ascii="Arial" w:cs="Arial" w:eastAsia="Arial" w:hAnsi="Arial"/>
          <w:sz w:val="22"/>
          <w:szCs w:val="22"/>
        </w:rPr>
        <w:t xml:space="preserve">Planner prepares a report to the CAO summarizing the application, public feedback, and a recommendation.</w:t>
      </w:r>
    </w:p>
    <w:p>
      <w:pPr>
        <w:pStyle w:val="ListParagraph"/>
        <w:numPr>
          <w:ilvl w:val="0"/>
          <w:numId w:val="3"/>
        </w:numPr>
        <w:spacing w:after="60" w:before="60"/>
      </w:pPr>
      <w:r>
        <w:rPr>
          <w:rFonts w:ascii="Arial" w:cs="Arial" w:eastAsia="Arial" w:hAnsi="Arial"/>
          <w:sz w:val="22"/>
          <w:szCs w:val="22"/>
        </w:rPr>
        <w:t xml:space="preserve">CAO makes a decision. No Council vote required.</w:t>
      </w:r>
    </w:p>
    <w:p>
      <w:pPr>
        <w:pStyle w:val="ListParagraph"/>
        <w:numPr>
          <w:ilvl w:val="0"/>
          <w:numId w:val="3"/>
        </w:numPr>
        <w:spacing w:after="60" w:before="60"/>
      </w:pPr>
      <w:r>
        <w:rPr>
          <w:rFonts w:ascii="Arial" w:cs="Arial" w:eastAsia="Arial" w:hAnsi="Arial"/>
          <w:sz w:val="22"/>
          <w:szCs w:val="22"/>
        </w:rPr>
        <w:t xml:space="preserve">Decision is appealable to the Nova Scotia Regulatory and Appeals Board.</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8F5E9" w:sz="0"/>
              <w:left w:val="single" w:color="2E4A6B" w:sz="18"/>
              <w:bottom w:val="none" w:color="E8F5E9" w:sz="0"/>
              <w:right w:val="none" w:color="E8F5E9" w:sz="0"/>
            </w:tcBorders>
            <w:shd w:fill="E8F5E9"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TIMELINE EXPECTATION</w:t>
            </w:r>
          </w:p>
          <w:p>
            <w:pPr>
              <w:spacing w:after="80" w:before="80"/>
            </w:pPr>
            <w:r>
              <w:rPr>
                <w:rFonts w:ascii="Arial" w:cs="Arial" w:eastAsia="Arial" w:hAnsi="Arial"/>
                <w:sz w:val="22"/>
                <w:szCs w:val="22"/>
              </w:rPr>
              <w:t xml:space="preserve">Typically faster than a §244 DA discharge because there is no Council scheduling dependency. Expect 8–12 weeks from submission to CAO decision. This is the shorter of the two paths when only a covenant is involved.</w:t>
            </w:r>
          </w:p>
        </w:tc>
      </w:tr>
    </w:tbl>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6. Annotated Case Studies</w:t>
      </w:r>
    </w:p>
    <w:p>
      <w:pPr>
        <w:spacing w:after="80" w:before="80"/>
      </w:pPr>
      <w:r>
        <w:rPr>
          <w:rFonts w:ascii="Arial" w:cs="Arial" w:eastAsia="Arial" w:hAnsi="Arial"/>
          <w:sz w:val="22"/>
          <w:szCs w:val="22"/>
        </w:rPr>
        <w:t xml:space="preserve">The following cases are drawn from actual HRM PLANAPP filings. Each is annotated to show what argument was made and why it worked.</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Case Study 1: DA Discharge — 1749–1759 Vernon Street, Halifax</w:t>
      </w:r>
    </w:p>
    <w:p>
      <w:pPr>
        <w:spacing w:after="80" w:before="80"/>
      </w:pPr>
      <w:r>
        <w:rPr>
          <w:rFonts w:ascii="Arial" w:cs="Arial" w:eastAsia="Arial" w:hAnsi="Arial"/>
          <w:b/>
          <w:bCs/>
          <w:sz w:val="22"/>
          <w:szCs w:val="22"/>
        </w:rPr>
        <w:t xml:space="preserve">Case reference: </w:t>
      </w:r>
      <w:r>
        <w:rPr>
          <w:rFonts w:ascii="Arial" w:cs="Arial" w:eastAsia="Arial" w:hAnsi="Arial"/>
          <w:sz w:val="22"/>
          <w:szCs w:val="22"/>
        </w:rPr>
        <w:t xml:space="preserve">Former HRM Case #17371, discharged 2019 (HWCC staff report May 2019)</w:t>
      </w:r>
    </w:p>
    <w:p>
      <w:pPr>
        <w:spacing w:after="80" w:before="80"/>
      </w:pPr>
      <w:r>
        <w:rPr>
          <w:rFonts w:ascii="Arial" w:cs="Arial" w:eastAsia="Arial" w:hAnsi="Arial"/>
          <w:b/>
          <w:bCs/>
          <w:sz w:val="22"/>
          <w:szCs w:val="22"/>
        </w:rPr>
        <w:t xml:space="preserve">Instrument: </w:t>
      </w:r>
      <w:r>
        <w:rPr>
          <w:rFonts w:ascii="Arial" w:cs="Arial" w:eastAsia="Arial" w:hAnsi="Arial"/>
          <w:sz w:val="22"/>
          <w:szCs w:val="22"/>
        </w:rPr>
        <w:t xml:space="preserve">Development Agreement, registered Feb 13, 2013 as Document 102476869</w:t>
      </w:r>
    </w:p>
    <w:p>
      <w:pPr>
        <w:spacing w:after="80" w:before="80"/>
      </w:pPr>
      <w:r>
        <w:rPr>
          <w:rFonts w:ascii="Arial" w:cs="Arial" w:eastAsia="Arial" w:hAnsi="Arial"/>
          <w:b/>
          <w:bCs/>
          <w:sz w:val="22"/>
          <w:szCs w:val="22"/>
        </w:rPr>
        <w:t xml:space="preserve">Original purpose of the DA: </w:t>
      </w:r>
      <w:r>
        <w:rPr>
          <w:rFonts w:ascii="Arial" w:cs="Arial" w:eastAsia="Arial" w:hAnsi="Arial"/>
          <w:sz w:val="22"/>
          <w:szCs w:val="22"/>
        </w:rPr>
        <w:t xml:space="preserve">Permitted an increase in the volume of a non-conforming 6-unit apartment house on Halifax Peninsula.</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WHAT HAPPENED</w:t>
            </w:r>
          </w:p>
          <w:p>
            <w:pPr>
              <w:spacing w:after="80" w:before="80"/>
            </w:pPr>
            <w:r>
              <w:rPr>
                <w:rFonts w:ascii="Arial" w:cs="Arial" w:eastAsia="Arial" w:hAnsi="Arial"/>
                <w:sz w:val="22"/>
                <w:szCs w:val="22"/>
              </w:rPr>
              <w:t xml:space="preserve">The original owner obtained a DA in 2012 to expand the existing 6-unit apartment building. They received two timeline extensions (2015 and 2017) due to personal circumstances. In December 2018, ERZ Properties Limited purchased the property. The new owner had no intention of proceeding with the expansion and applied to discharge the DA.</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argument: </w:t>
            </w:r>
            <w:r>
              <w:rPr>
                <w:rFonts w:ascii="Arial" w:cs="Arial" w:eastAsia="Arial" w:hAnsi="Arial"/>
                <w:sz w:val="22"/>
                <w:szCs w:val="22"/>
              </w:rPr>
              <w:t xml:space="preserve">The DA was moot — the development it was designed to permit was never going to happen. The new owner's plans did not require the DA's permissions. Discharging it would simply return the parcel to being governed by the standard LUB zone. Staff confirmed this was 'reasonably consistent with the intent of the Halifax MPS.'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outcome: </w:t>
            </w:r>
            <w:r>
              <w:rPr>
                <w:rFonts w:ascii="Arial" w:cs="Arial" w:eastAsia="Arial" w:hAnsi="Arial"/>
                <w:sz w:val="22"/>
                <w:szCs w:val="22"/>
              </w:rPr>
              <w:t xml:space="preserve">No public objections. No public hearing. Community Council approved by resolution. The parcel was returned to standard LUB zone governance. Process took approximately 3–4 months.</w:t>
            </w:r>
          </w:p>
        </w:tc>
      </w:tr>
    </w:tbl>
    <w:p>
      <w:pPr>
        <w:spacing w:after="80" w:before="80"/>
      </w:pPr>
      <w:r>
        <w:rPr>
          <w:rFonts w:ascii="Arial" w:cs="Arial" w:eastAsia="Arial" w:hAnsi="Arial"/>
          <w:b/>
          <w:bCs/>
          <w:sz w:val="22"/>
          <w:szCs w:val="22"/>
        </w:rPr>
        <w:t xml:space="preserve">Lesson: </w:t>
      </w:r>
      <w:r>
        <w:rPr>
          <w:rFonts w:ascii="Arial" w:cs="Arial" w:eastAsia="Arial" w:hAnsi="Arial"/>
          <w:sz w:val="22"/>
          <w:szCs w:val="22"/>
        </w:rPr>
        <w:t xml:space="preserve">A DA does not need to be harmful or burdensome to discharge — it just needs to be no longer applicable. A change of ownership and change of development intent is sufficient grounds when the standard zone is adequate to govern the property.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Case Study 2: Covenant Discharge (§257A) — PLANAPP 2025-01950 &amp; 2025-01952</w:t>
      </w:r>
    </w:p>
    <w:p>
      <w:pPr>
        <w:spacing w:after="80" w:before="80"/>
      </w:pPr>
      <w:r>
        <w:rPr>
          <w:rFonts w:ascii="Arial" w:cs="Arial" w:eastAsia="Arial" w:hAnsi="Arial"/>
          <w:b/>
          <w:bCs/>
          <w:sz w:val="22"/>
          <w:szCs w:val="22"/>
        </w:rPr>
        <w:t xml:space="preserve">Properties: </w:t>
      </w:r>
      <w:r>
        <w:rPr>
          <w:rFonts w:ascii="Arial" w:cs="Arial" w:eastAsia="Arial" w:hAnsi="Arial"/>
          <w:sz w:val="22"/>
          <w:szCs w:val="22"/>
        </w:rPr>
        <w:t xml:space="preserve">Two properties in a zone now designated for 9-storey mixed-use development</w:t>
      </w:r>
    </w:p>
    <w:p>
      <w:pPr>
        <w:spacing w:after="80" w:before="80"/>
      </w:pPr>
      <w:r>
        <w:rPr>
          <w:rFonts w:ascii="Arial" w:cs="Arial" w:eastAsia="Arial" w:hAnsi="Arial"/>
          <w:b/>
          <w:bCs/>
          <w:sz w:val="22"/>
          <w:szCs w:val="22"/>
        </w:rPr>
        <w:t xml:space="preserve">Covenant restriction: </w:t>
      </w:r>
      <w:r>
        <w:rPr>
          <w:rFonts w:ascii="Arial" w:cs="Arial" w:eastAsia="Arial" w:hAnsi="Arial"/>
          <w:sz w:val="22"/>
          <w:szCs w:val="22"/>
        </w:rPr>
        <w:t xml:space="preserve">'No building shall be erected nearer than twenty feet from any city street' — plus single-family use restriction</w:t>
      </w:r>
    </w:p>
    <w:p>
      <w:pPr>
        <w:spacing w:after="80" w:before="80"/>
      </w:pPr>
      <w:r>
        <w:rPr>
          <w:rFonts w:ascii="Arial" w:cs="Arial" w:eastAsia="Arial" w:hAnsi="Arial"/>
          <w:b/>
          <w:bCs/>
          <w:sz w:val="22"/>
          <w:szCs w:val="22"/>
        </w:rPr>
        <w:t xml:space="preserve">Current zone: </w:t>
      </w:r>
      <w:r>
        <w:rPr>
          <w:rFonts w:ascii="Arial" w:cs="Arial" w:eastAsia="Arial" w:hAnsi="Arial"/>
          <w:sz w:val="22"/>
          <w:szCs w:val="22"/>
        </w:rPr>
        <w:t xml:space="preserve">CEN-2 (Centre 2) — allows up to 9 storeys, residential and commercial uses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WHAT HAPPENED</w:t>
            </w:r>
          </w:p>
          <w:p>
            <w:pPr>
              <w:spacing w:after="80" w:before="80"/>
            </w:pPr>
            <w:r>
              <w:rPr>
                <w:rFonts w:ascii="Arial" w:cs="Arial" w:eastAsia="Arial" w:hAnsi="Arial"/>
                <w:sz w:val="22"/>
                <w:szCs w:val="22"/>
              </w:rPr>
              <w:t xml:space="preserve">Both properties were single-family homes subject to a covenant from the era when the neighbourhood was developed as a residential street. The current zone designation reflects decades of planning evolution — the area is now an urban intensification zone.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argument: </w:t>
            </w:r>
            <w:r>
              <w:rPr>
                <w:rFonts w:ascii="Arial" w:cs="Arial" w:eastAsia="Arial" w:hAnsi="Arial"/>
                <w:sz w:val="22"/>
                <w:szCs w:val="22"/>
              </w:rPr>
              <w:t xml:space="preserve">The covenant restricted use and height/setback in ways that were entirely inconsistent with the 9-storey mixed-use zone the properties now sit in. The covenant was 'more restrictive than current zoning with respect to height and density' — the exact §257A test. Applicants submitted a rationale letter quoting the restrictive clause, cited the CEN-2 zone standards, and showed the gap.</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Two applications, not one: </w:t>
            </w:r>
            <w:r>
              <w:rPr>
                <w:rFonts w:ascii="Arial" w:cs="Arial" w:eastAsia="Arial" w:hAnsi="Arial"/>
                <w:sz w:val="22"/>
                <w:szCs w:val="22"/>
              </w:rPr>
              <w:t xml:space="preserve">These were filed as two separate PLANAPPs (01950 and 01952) because the covenant ran on two separate PIDs. If your client has multiple lots subject to the same covenant, file separate applications per PID.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outcome: </w:t>
            </w:r>
            <w:r>
              <w:rPr>
                <w:rFonts w:ascii="Arial" w:cs="Arial" w:eastAsia="Arial" w:hAnsi="Arial"/>
                <w:sz w:val="22"/>
                <w:szCs w:val="22"/>
              </w:rPr>
              <w:t xml:space="preserve">Public engagement closed October 7, 2025. Staff preparing report to the CAO. Applications progressing to decision.</w:t>
            </w:r>
          </w:p>
        </w:tc>
      </w:tr>
    </w:tbl>
    <w:p>
      <w:pPr>
        <w:spacing w:after="80" w:before="80"/>
      </w:pPr>
      <w:r>
        <w:rPr>
          <w:rFonts w:ascii="Arial" w:cs="Arial" w:eastAsia="Arial" w:hAnsi="Arial"/>
          <w:b/>
          <w:bCs/>
          <w:sz w:val="22"/>
          <w:szCs w:val="22"/>
        </w:rPr>
        <w:t xml:space="preserve">Lesson: </w:t>
      </w:r>
      <w:r>
        <w:rPr>
          <w:rFonts w:ascii="Arial" w:cs="Arial" w:eastAsia="Arial" w:hAnsi="Arial"/>
          <w:sz w:val="22"/>
          <w:szCs w:val="22"/>
        </w:rPr>
        <w:t xml:space="preserve">The §257A argument is strongest when the zoning has evolved dramatically since the covenant was written — e.g., a 1980s single-family covenant on a parcel now in a high-density urban zone. The wider the gap between what the covenant restricts and what the zone permits, the easier the rationale letter is to write.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Case Study 3: Partial Covenant Discharge — PLANAPP 2025-01839, 43 Braeloch Court, Lake Loon</w:t>
      </w:r>
    </w:p>
    <w:p>
      <w:pPr>
        <w:spacing w:after="80" w:before="80"/>
      </w:pPr>
      <w:r>
        <w:rPr>
          <w:rFonts w:ascii="Arial" w:cs="Arial" w:eastAsia="Arial" w:hAnsi="Arial"/>
          <w:b/>
          <w:bCs/>
          <w:sz w:val="22"/>
          <w:szCs w:val="22"/>
        </w:rPr>
        <w:t xml:space="preserve">Application: </w:t>
      </w:r>
      <w:r>
        <w:rPr>
          <w:rFonts w:ascii="Arial" w:cs="Arial" w:eastAsia="Arial" w:hAnsi="Arial"/>
          <w:sz w:val="22"/>
          <w:szCs w:val="22"/>
        </w:rPr>
        <w:t xml:space="preserve">Discharge of clauses 1, 2, and 16 only — not the entire covenant</w:t>
      </w:r>
    </w:p>
    <w:p>
      <w:pPr>
        <w:spacing w:after="80" w:before="80"/>
      </w:pPr>
      <w:r>
        <w:rPr>
          <w:rFonts w:ascii="Arial" w:cs="Arial" w:eastAsia="Arial" w:hAnsi="Arial"/>
          <w:b/>
          <w:bCs/>
          <w:sz w:val="22"/>
          <w:szCs w:val="22"/>
        </w:rPr>
        <w:t xml:space="preserve">Filed by: </w:t>
      </w:r>
      <w:r>
        <w:rPr>
          <w:rFonts w:ascii="Arial" w:cs="Arial" w:eastAsia="Arial" w:hAnsi="Arial"/>
          <w:sz w:val="22"/>
          <w:szCs w:val="22"/>
        </w:rPr>
        <w:t xml:space="preserve">Property owner directly (no consulting firm)</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WHAT THIS ILLUSTRATES</w:t>
            </w:r>
          </w:p>
          <w:p>
            <w:pPr>
              <w:spacing w:after="80" w:before="80"/>
            </w:pPr>
            <w:r>
              <w:rPr>
                <w:rFonts w:ascii="Arial" w:cs="Arial" w:eastAsia="Arial" w:hAnsi="Arial"/>
                <w:sz w:val="22"/>
                <w:szCs w:val="22"/>
              </w:rPr>
              <w:t xml:space="preserve">You do not have to discharge an entire covenant. If only specific clauses block your project, you can target those clauses in your application. This approach reduces the scope of the application and can make it easier to argue because you are not asking to remove all covenant restrictions — just the ones that conflict with the proposed use.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Clause-by-clause strategy: </w:t>
            </w:r>
            <w:r>
              <w:rPr>
                <w:rFonts w:ascii="Arial" w:cs="Arial" w:eastAsia="Arial" w:hAnsi="Arial"/>
                <w:sz w:val="22"/>
                <w:szCs w:val="22"/>
              </w:rPr>
              <w:t xml:space="preserve">Pull the full covenant instrument. Map each clause against your proposed project. Clauses that actively block the project (single-family restriction, subdivision prohibition, approval requirement from original developer) are your targets. Clauses that are neutral or already unenforceable (e.g., architectural approval clauses where the original approver no longer exists) can be left.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Also notable: </w:t>
            </w:r>
            <w:r>
              <w:rPr>
                <w:rFonts w:ascii="Arial" w:cs="Arial" w:eastAsia="Arial" w:hAnsi="Arial"/>
                <w:sz w:val="22"/>
                <w:szCs w:val="22"/>
              </w:rPr>
              <w:t xml:space="preserve">This application was filed by the property owner directly — not by a consulting firm. It is evidence that the process is accessible to a non-professional applicant who knows what they are doing.</w:t>
            </w:r>
          </w:p>
        </w:tc>
      </w:tr>
    </w:tbl>
    <w:p>
      <w:pPr>
        <w:spacing w:after="80" w:before="80"/>
      </w:pPr>
      <w:r>
        <w:rPr>
          <w:rFonts w:ascii="Arial" w:cs="Arial" w:eastAsia="Arial" w:hAnsi="Arial"/>
          <w:b/>
          <w:bCs/>
          <w:sz w:val="22"/>
          <w:szCs w:val="22"/>
        </w:rPr>
        <w:t xml:space="preserve">Lesson: </w:t>
      </w:r>
      <w:r>
        <w:rPr>
          <w:rFonts w:ascii="Arial" w:cs="Arial" w:eastAsia="Arial" w:hAnsi="Arial"/>
          <w:sz w:val="22"/>
          <w:szCs w:val="22"/>
        </w:rPr>
        <w:t xml:space="preserve">Think surgically. A targeted partial discharge is often easier to argue and less likely to attract opposition than a full discharge of all covenant terms.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Case Study 4: Pure DA Discharge — 2900 Agricola Street, Halifax (Bell Media)</w:t>
      </w:r>
    </w:p>
    <w:p>
      <w:pPr>
        <w:spacing w:after="80" w:before="80"/>
      </w:pPr>
      <w:r>
        <w:rPr>
          <w:rFonts w:ascii="Arial" w:cs="Arial" w:eastAsia="Arial" w:hAnsi="Arial"/>
          <w:b/>
          <w:bCs/>
          <w:sz w:val="22"/>
          <w:szCs w:val="22"/>
        </w:rPr>
        <w:t xml:space="preserve">Applicant: </w:t>
      </w:r>
      <w:r>
        <w:rPr>
          <w:rFonts w:ascii="Arial" w:cs="Arial" w:eastAsia="Arial" w:hAnsi="Arial"/>
          <w:sz w:val="22"/>
          <w:szCs w:val="22"/>
        </w:rPr>
        <w:t xml:space="preserve">Bell Media Inc.</w:t>
      </w:r>
    </w:p>
    <w:p>
      <w:pPr>
        <w:spacing w:after="80" w:before="80"/>
      </w:pPr>
      <w:r>
        <w:rPr>
          <w:rFonts w:ascii="Arial" w:cs="Arial" w:eastAsia="Arial" w:hAnsi="Arial"/>
          <w:b/>
          <w:bCs/>
          <w:sz w:val="22"/>
          <w:szCs w:val="22"/>
        </w:rPr>
        <w:t xml:space="preserve">DA instrument: </w:t>
      </w:r>
      <w:r>
        <w:rPr>
          <w:rFonts w:ascii="Arial" w:cs="Arial" w:eastAsia="Arial" w:hAnsi="Arial"/>
          <w:sz w:val="22"/>
          <w:szCs w:val="22"/>
        </w:rPr>
        <w:t xml:space="preserve">Former HRM Case — permitted construction of a radio station</w:t>
      </w:r>
    </w:p>
    <w:p>
      <w:pPr>
        <w:spacing w:after="80" w:before="80"/>
      </w:pPr>
      <w:r>
        <w:rPr>
          <w:rFonts w:ascii="Arial" w:cs="Arial" w:eastAsia="Arial" w:hAnsi="Arial"/>
          <w:b/>
          <w:bCs/>
          <w:sz w:val="22"/>
          <w:szCs w:val="22"/>
        </w:rPr>
        <w:t xml:space="preserve">Context: </w:t>
      </w:r>
      <w:r>
        <w:rPr>
          <w:rFonts w:ascii="Arial" w:cs="Arial" w:eastAsia="Arial" w:hAnsi="Arial"/>
          <w:sz w:val="22"/>
          <w:szCs w:val="22"/>
        </w:rPr>
        <w:t xml:space="preserve">Development is complete; applicant proposes a change of use for the existing building</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FF3F8" w:sz="0"/>
              <w:left w:val="single" w:color="2E4A6B" w:sz="18"/>
              <w:bottom w:val="none" w:color="EFF3F8" w:sz="0"/>
              <w:right w:val="none" w:color="EFF3F8" w:sz="0"/>
            </w:tcBorders>
            <w:shd w:fill="EFF3F8"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WHAT HAPPENED</w:t>
            </w:r>
          </w:p>
          <w:p>
            <w:pPr>
              <w:spacing w:after="80" w:before="80"/>
            </w:pPr>
            <w:r>
              <w:rPr>
                <w:rFonts w:ascii="Arial" w:cs="Arial" w:eastAsia="Arial" w:hAnsi="Arial"/>
                <w:sz w:val="22"/>
                <w:szCs w:val="22"/>
              </w:rPr>
              <w:t xml:space="preserve">Bell Media's DA permitted the construction of a radio station. The station was built. Bell Media then wanted to change the use of the building. The DA, written to permit the radio station, was now the wrong instrument — the change of use required a clean title governed only by the underlying LUB zone.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argument: </w:t>
            </w:r>
            <w:r>
              <w:rPr>
                <w:rFonts w:ascii="Arial" w:cs="Arial" w:eastAsia="Arial" w:hAnsi="Arial"/>
                <w:sz w:val="22"/>
                <w:szCs w:val="22"/>
              </w:rPr>
              <w:t xml:space="preserve">The development the DA was written for is complete. The DA is fully performed. The proposed discharge returns the parcel to governance under the CEN-2 zone standards — which permit the proposed change of use as-of-right.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The outcome: </w:t>
            </w:r>
            <w:r>
              <w:rPr>
                <w:rFonts w:ascii="Arial" w:cs="Arial" w:eastAsia="Arial" w:hAnsi="Arial"/>
                <w:sz w:val="22"/>
                <w:szCs w:val="22"/>
              </w:rPr>
              <w:t xml:space="preserve">Approved by Community Council by resolution. No public hearing. Staff confirmed 'reasonably consistent with the MPS.'</w:t>
            </w:r>
          </w:p>
        </w:tc>
      </w:tr>
    </w:tbl>
    <w:p>
      <w:pPr>
        <w:spacing w:after="80" w:before="80"/>
      </w:pPr>
      <w:r>
        <w:rPr>
          <w:rFonts w:ascii="Arial" w:cs="Arial" w:eastAsia="Arial" w:hAnsi="Arial"/>
          <w:b/>
          <w:bCs/>
          <w:sz w:val="22"/>
          <w:szCs w:val="22"/>
        </w:rPr>
        <w:t xml:space="preserve">Lesson: </w:t>
      </w:r>
      <w:r>
        <w:rPr>
          <w:rFonts w:ascii="Arial" w:cs="Arial" w:eastAsia="Arial" w:hAnsi="Arial"/>
          <w:sz w:val="22"/>
          <w:szCs w:val="22"/>
        </w:rPr>
        <w:t xml:space="preserve">When a DA has been fully performed (the development it permitted has been built), the argument for discharge is at its simplest. State that the purpose of the DA has been fulfilled and that the underlying zone is now sufficient to govern the property.</w:t>
      </w:r>
    </w:p>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7. How to File — Step-by-Step</w:t>
      </w:r>
    </w:p>
    <w:p>
      <w:pPr>
        <w:pStyle w:val="Heading2"/>
        <w:spacing w:after="120" w:before="320"/>
      </w:pPr>
      <w:r>
        <w:rPr>
          <w:rFonts w:ascii="Arial" w:cs="Arial" w:eastAsia="Arial" w:hAnsi="Arial"/>
          <w:b/>
          <w:bCs/>
          <w:color w:val="2E4A6B"/>
          <w:sz w:val="28"/>
          <w:szCs w:val="28"/>
        </w:rPr>
        <w:t xml:space="preserve">7.1  Set Up Your PPLC Account</w:t>
      </w:r>
    </w:p>
    <w:p>
      <w:pPr>
        <w:spacing w:after="80" w:before="80"/>
      </w:pPr>
      <w:r>
        <w:rPr>
          <w:rFonts w:ascii="Arial" w:cs="Arial" w:eastAsia="Arial" w:hAnsi="Arial"/>
          <w:sz w:val="22"/>
          <w:szCs w:val="22"/>
        </w:rPr>
        <w:t xml:space="preserve">HRM's Permitting, Planning, Licensing and Compliance (PPLC) system is the single portal for all planning applications.</w:t>
      </w:r>
    </w:p>
    <w:p>
      <w:pPr>
        <w:spacing w:after="80" w:before="80"/>
      </w:pP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b/>
          <w:bCs/>
          <w:sz w:val="22"/>
          <w:szCs w:val="22"/>
        </w:rPr>
        <w:t xml:space="preserve">Go to: </w:t>
      </w:r>
      <w:r>
        <w:rPr>
          <w:rFonts w:ascii="Courier New" w:cs="Courier New" w:eastAsia="Courier New" w:hAnsi="Courier New"/>
          <w:sz w:val="20"/>
          <w:szCs w:val="20"/>
        </w:rPr>
        <w:t xml:space="preserve">https://plc.halifax.ca</w:t>
      </w:r>
      <w:r>
        <w:rPr>
          <w:rFonts w:ascii="Arial" w:cs="Arial" w:eastAsia="Arial" w:hAnsi="Arial"/>
          <w:sz w:val="22"/>
          <w:szCs w:val="22"/>
        </w:rPr>
        <w:t xml:space="preserve"> — or search 'HRM PPLC portal'</w:t>
      </w:r>
    </w:p>
    <w:p>
      <w:pPr>
        <w:pStyle w:val="ListParagraph"/>
        <w:numPr>
          <w:ilvl w:val="0"/>
          <w:numId w:val="3"/>
        </w:numPr>
        <w:spacing w:after="60" w:before="60"/>
      </w:pPr>
      <w:r>
        <w:rPr>
          <w:rFonts w:ascii="Arial" w:cs="Arial" w:eastAsia="Arial" w:hAnsi="Arial"/>
          <w:sz w:val="22"/>
          <w:szCs w:val="22"/>
        </w:rPr>
        <w:t xml:space="preserve">Create a free Customer Portal Account (personal account).</w:t>
      </w:r>
    </w:p>
    <w:p>
      <w:pPr>
        <w:pStyle w:val="ListParagraph"/>
        <w:numPr>
          <w:ilvl w:val="0"/>
          <w:numId w:val="3"/>
        </w:numPr>
        <w:spacing w:after="60" w:before="60"/>
      </w:pPr>
      <w:r>
        <w:rPr>
          <w:rFonts w:ascii="Arial" w:cs="Arial" w:eastAsia="Arial" w:hAnsi="Arial"/>
          <w:b/>
          <w:bCs/>
          <w:sz w:val="22"/>
          <w:szCs w:val="22"/>
        </w:rPr>
        <w:t xml:space="preserve">Create a Contractor Profile</w:t>
      </w:r>
      <w:r>
        <w:rPr>
          <w:rFonts w:ascii="Arial" w:cs="Arial" w:eastAsia="Arial" w:hAnsi="Arial"/>
          <w:sz w:val="22"/>
          <w:szCs w:val="22"/>
        </w:rPr>
        <w:t xml:space="preserve"> — this allows you to file applications on behalf of clients. Under 'Contractor,' enter Helio Urban Development. This is required for filing as an agent; without it, you can only file as a homeowner.</w:t>
      </w:r>
    </w:p>
    <w:p>
      <w:pPr>
        <w:pStyle w:val="ListParagraph"/>
        <w:numPr>
          <w:ilvl w:val="0"/>
          <w:numId w:val="3"/>
        </w:numPr>
        <w:spacing w:after="60" w:before="60"/>
      </w:pPr>
      <w:r>
        <w:rPr>
          <w:rFonts w:ascii="Arial" w:cs="Arial" w:eastAsia="Arial" w:hAnsi="Arial"/>
          <w:sz w:val="22"/>
          <w:szCs w:val="22"/>
        </w:rPr>
        <w:t xml:space="preserve">Note: the system only allows one contractor profile per account. If Helio staff file on behalf of multiple clients, each staff member uses their personal account with the Helio contractor profile.</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7.2  Gather Your Documents (Pre-Filing Checklist)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Task</w:t>
            </w:r>
          </w:p>
        </w:tc>
        <w:tc>
          <w:tcPr>
            <w:tcW w:type="dxa" w:w="20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§244 DA</w:t>
            </w:r>
          </w:p>
        </w:tc>
        <w:tc>
          <w:tcPr>
            <w:tcW w:type="dxa" w:w="20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§257A Covenant</w:t>
            </w:r>
          </w:p>
        </w:tc>
        <w:tc>
          <w:tcPr>
            <w:tcW w:type="dxa" w:w="216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Pull full instrument text from NSPOL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propertyonline.novascotia.ca</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Confirm PID and current registered owner</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NSPOL or HRM ExploreHRM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Confirm current LUB zone and what it permits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 ExploreHRM (free)</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Identify specific restricting clauses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DA/covenant instrument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Write cover letter / rationale letter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See templates in Section 8</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Obtain Zoning Confirmation Letter ($50/PID)</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Optional — ExploreHRM often sufficient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Optional — ExploreHRM often sufficient</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PPLC application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Survey/site plan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 for DA discharge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 for §257A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w:t>
            </w:r>
          </w:p>
        </w:tc>
      </w:tr>
      <w:tr>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Professional Planner stamp</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Engineer report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Not required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N/A</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7.3  Selecting the Application Type in PPLC</w:t>
      </w:r>
    </w:p>
    <w:p>
      <w:pPr>
        <w:spacing w:after="80" w:before="80"/>
      </w:pPr>
      <w:r>
        <w:rPr>
          <w:rFonts w:ascii="Arial" w:cs="Arial" w:eastAsia="Arial" w:hAnsi="Arial"/>
          <w:sz w:val="22"/>
          <w:szCs w:val="22"/>
        </w:rPr>
        <w:t xml:space="preserve">When starting a new planning application in PPLC, select:</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For DA discharge: </w:t>
      </w:r>
      <w:r>
        <w:rPr>
          <w:rFonts w:ascii="Arial" w:cs="Arial" w:eastAsia="Arial" w:hAnsi="Arial"/>
          <w:sz w:val="22"/>
          <w:szCs w:val="22"/>
        </w:rPr>
        <w:t xml:space="preserve">'Planning Application' → 'Development Agreement' → 'Discharge of Development Agreement'</w:t>
      </w:r>
    </w:p>
    <w:p>
      <w:pPr>
        <w:pStyle w:val="ListParagraph"/>
        <w:numPr>
          <w:ilvl w:val="0"/>
          <w:numId w:val="2"/>
        </w:numPr>
        <w:spacing w:after="60" w:before="60"/>
      </w:pPr>
      <w:r>
        <w:rPr>
          <w:rFonts w:ascii="Arial" w:cs="Arial" w:eastAsia="Arial" w:hAnsi="Arial"/>
          <w:b/>
          <w:bCs/>
          <w:sz w:val="22"/>
          <w:szCs w:val="22"/>
        </w:rPr>
        <w:t xml:space="preserve">For covenant discharge: </w:t>
      </w:r>
      <w:r>
        <w:rPr>
          <w:rFonts w:ascii="Arial" w:cs="Arial" w:eastAsia="Arial" w:hAnsi="Arial"/>
          <w:sz w:val="22"/>
          <w:szCs w:val="22"/>
        </w:rPr>
        <w:t xml:space="preserve">'Planning Application' → 'Private Covenant' → 'Modification or Discharge of a Private Covenant'</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If you are filing both concurrently, create two separate PPLC applications using the same underlying documents. Reference each application number in the cover letters of both.</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7.4  Application Fees</w:t>
      </w:r>
    </w:p>
    <w:p>
      <w:pPr>
        <w:spacing w:after="80" w:before="80"/>
      </w:pPr>
      <w:r>
        <w:rPr>
          <w:rFonts w:ascii="Arial" w:cs="Arial" w:eastAsia="Arial" w:hAnsi="Arial"/>
          <w:sz w:val="22"/>
          <w:szCs w:val="22"/>
        </w:rPr>
        <w:t xml:space="preserve">Fees are set by Administrative Order #15. They are periodically updated. Confirm current fees when filing — a fee freeze was in effect through 2025 under the housing legislation amendments.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3E0" w:sz="0"/>
              <w:left w:val="single" w:color="E07B39" w:sz="18"/>
              <w:bottom w:val="none" w:color="FFF3E0" w:sz="0"/>
              <w:right w:val="none" w:color="FFF3E0" w:sz="0"/>
            </w:tcBorders>
            <w:shd w:fill="FFF3E0" w:val="clear"/>
            <w:tcMar>
              <w:top w:type="dxa" w:w="100"/>
              <w:left w:type="dxa" w:w="200"/>
              <w:bottom w:type="dxa" w:w="100"/>
              <w:right w:type="dxa" w:w="200"/>
            </w:tcMar>
          </w:tcPr>
          <w:p>
            <w:pPr>
              <w:spacing w:after="60" w:before="40"/>
            </w:pPr>
            <w:r>
              <w:rPr>
                <w:rFonts w:ascii="Arial" w:cs="Arial" w:eastAsia="Arial" w:hAnsi="Arial"/>
                <w:b/>
                <w:bCs/>
                <w:color w:val="E07B39"/>
                <w:sz w:val="20"/>
                <w:szCs w:val="20"/>
              </w:rPr>
              <w:t xml:space="preserve">FEE CONTEXT</w:t>
            </w:r>
          </w:p>
          <w:p>
            <w:pPr>
              <w:spacing w:after="80" w:before="80"/>
            </w:pPr>
            <w:r>
              <w:rPr>
                <w:rFonts w:ascii="Arial" w:cs="Arial" w:eastAsia="Arial" w:hAnsi="Arial"/>
                <w:sz w:val="22"/>
                <w:szCs w:val="22"/>
              </w:rPr>
              <w:t xml:space="preserve">Application fees for planning applications of this type are typically in the $500–$1,500 range depending on application type. Document pull costs from NSPOL are minimal ($10–$50). Your total out-of-pocket per application, exclusive of any legal or consulting fees, should be well under $2,000. The $2,000–$3,000 charged by planning consultants is almost entirely compensation for writing the cover/rationale letter.</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7.5  After Submission</w:t>
      </w:r>
    </w:p>
    <w:p>
      <w:pPr>
        <w:pStyle w:val="ListParagraph"/>
        <w:numPr>
          <w:ilvl w:val="0"/>
          <w:numId w:val="2"/>
        </w:numPr>
        <w:spacing w:after="60" w:before="60"/>
      </w:pPr>
      <w:r>
        <w:rPr>
          <w:rFonts w:ascii="Arial" w:cs="Arial" w:eastAsia="Arial" w:hAnsi="Arial"/>
          <w:sz w:val="22"/>
          <w:szCs w:val="22"/>
        </w:rPr>
        <w:t xml:space="preserve">HRM will acknowledge receipt and assign a file number (PLANAPP YYYY-XXXXX).</w:t>
      </w:r>
    </w:p>
    <w:p>
      <w:pPr>
        <w:pStyle w:val="ListParagraph"/>
        <w:numPr>
          <w:ilvl w:val="0"/>
          <w:numId w:val="2"/>
        </w:numPr>
        <w:spacing w:after="60" w:before="60"/>
      </w:pPr>
      <w:r>
        <w:rPr>
          <w:rFonts w:ascii="Arial" w:cs="Arial" w:eastAsia="Arial" w:hAnsi="Arial"/>
          <w:sz w:val="22"/>
          <w:szCs w:val="22"/>
        </w:rPr>
        <w:t xml:space="preserve">A planner will be assigned. Their contact information will appear on the application page.</w:t>
      </w:r>
    </w:p>
    <w:p>
      <w:pPr>
        <w:pStyle w:val="ListParagraph"/>
        <w:numPr>
          <w:ilvl w:val="0"/>
          <w:numId w:val="2"/>
        </w:numPr>
        <w:spacing w:after="60" w:before="60"/>
      </w:pPr>
      <w:r>
        <w:rPr>
          <w:rFonts w:ascii="Arial" w:cs="Arial" w:eastAsia="Arial" w:hAnsi="Arial"/>
          <w:sz w:val="22"/>
          <w:szCs w:val="22"/>
        </w:rPr>
        <w:t xml:space="preserve">HRM will post an engagement notice on their Active Planning Applications page (halifax.ca/planning).</w:t>
      </w:r>
    </w:p>
    <w:p>
      <w:pPr>
        <w:pStyle w:val="ListParagraph"/>
        <w:numPr>
          <w:ilvl w:val="0"/>
          <w:numId w:val="2"/>
        </w:numPr>
        <w:spacing w:after="60" w:before="60"/>
      </w:pPr>
      <w:r>
        <w:rPr>
          <w:rFonts w:ascii="Arial" w:cs="Arial" w:eastAsia="Arial" w:hAnsi="Arial"/>
          <w:sz w:val="22"/>
          <w:szCs w:val="22"/>
        </w:rPr>
        <w:t xml:space="preserve">Monitor the application page periodically. Status updates appear there as the file progresses.</w:t>
      </w:r>
    </w:p>
    <w:p>
      <w:pPr>
        <w:pStyle w:val="ListParagraph"/>
        <w:numPr>
          <w:ilvl w:val="0"/>
          <w:numId w:val="2"/>
        </w:numPr>
        <w:spacing w:after="60" w:before="60"/>
      </w:pPr>
      <w:r>
        <w:rPr>
          <w:rFonts w:ascii="Arial" w:cs="Arial" w:eastAsia="Arial" w:hAnsi="Arial"/>
          <w:sz w:val="22"/>
          <w:szCs w:val="22"/>
        </w:rPr>
        <w:t xml:space="preserve">Once a decision is made, HRM will contact the applicant and issue notice. Register the discharge instrument at the Registry of Deeds.</w:t>
      </w:r>
    </w:p>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8. Letter Templates</w:t>
      </w:r>
    </w:p>
    <w:p>
      <w:pPr>
        <w:pStyle w:val="Heading2"/>
        <w:spacing w:after="120" w:before="320"/>
      </w:pPr>
      <w:r>
        <w:rPr>
          <w:rFonts w:ascii="Arial" w:cs="Arial" w:eastAsia="Arial" w:hAnsi="Arial"/>
          <w:b/>
          <w:bCs/>
          <w:color w:val="2E4A6B"/>
          <w:sz w:val="28"/>
          <w:szCs w:val="28"/>
        </w:rPr>
        <w:t xml:space="preserve">8.1  Section 244 DA Discharge — Cover Letter Template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5" w:val="clear"/>
            <w:tcMar>
              <w:top w:type="dxa" w:w="160"/>
              <w:left w:type="dxa" w:w="240"/>
              <w:bottom w:type="dxa" w:w="160"/>
              <w:right w:type="dxa" w:w="240"/>
            </w:tcMar>
          </w:tcPr>
          <w:p>
            <w:pPr>
              <w:spacing w:after="80" w:before="80"/>
            </w:pPr>
            <w:r>
              <w:rPr>
                <w:rFonts w:ascii="Arial" w:cs="Arial" w:eastAsia="Arial" w:hAnsi="Arial"/>
                <w:b/>
                <w:bCs/>
                <w:sz w:val="22"/>
                <w:szCs w:val="22"/>
              </w:rPr>
              <w:t xml:space="preserve">[DATE]</w:t>
            </w:r>
          </w:p>
          <w:p>
            <w:pPr>
              <w:spacing w:after="80" w:before="80"/>
            </w:pPr>
            <w:r>
              <w:rPr>
                <w:rFonts w:ascii="Arial" w:cs="Arial" w:eastAsia="Arial" w:hAnsi="Arial"/>
                <w:b/>
                <w:bCs/>
                <w:sz w:val="22"/>
                <w:szCs w:val="22"/>
              </w:rPr>
              <w:t xml:space="preserve">Director, Planning and Development</w:t>
            </w:r>
          </w:p>
          <w:p>
            <w:pPr>
              <w:spacing w:after="80" w:before="80"/>
            </w:pPr>
            <w:r>
              <w:rPr>
                <w:rFonts w:ascii="Arial" w:cs="Arial" w:eastAsia="Arial" w:hAnsi="Arial"/>
                <w:b/>
                <w:bCs/>
                <w:sz w:val="22"/>
                <w:szCs w:val="22"/>
              </w:rPr>
              <w:t xml:space="preserve">Halifax Regional Municipality</w:t>
            </w:r>
          </w:p>
          <w:p>
            <w:pPr>
              <w:spacing w:after="80" w:before="80"/>
            </w:pPr>
            <w:r>
              <w:rPr>
                <w:rFonts w:ascii="Arial" w:cs="Arial" w:eastAsia="Arial" w:hAnsi="Arial"/>
                <w:b/>
                <w:bCs/>
                <w:sz w:val="22"/>
                <w:szCs w:val="22"/>
              </w:rPr>
              <w:t xml:space="preserve">5251 Duke Street, 3rd Floor</w:t>
            </w:r>
            <w:r>
              <w:rPr>
                <w:rFonts w:ascii="Arial" w:cs="Arial" w:eastAsia="Arial" w:hAnsi="Arial"/>
                <w:sz w:val="22"/>
                <w:szCs w:val="22"/>
              </w:rPr>
              <w:t xml:space="preserve">, Halifax, NS, B3J 1P3</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RE: Application to Discharge Development Agreement</w:t>
            </w:r>
          </w:p>
          <w:p>
            <w:pPr>
              <w:spacing w:after="80" w:before="80"/>
            </w:pPr>
            <w:r>
              <w:rPr>
                <w:rFonts w:ascii="Arial" w:cs="Arial" w:eastAsia="Arial" w:hAnsi="Arial"/>
                <w:b/>
                <w:bCs/>
                <w:sz w:val="22"/>
                <w:szCs w:val="22"/>
              </w:rPr>
              <w:t xml:space="preserve">Property: </w:t>
            </w:r>
            <w:r>
              <w:rPr>
                <w:rFonts w:ascii="Arial" w:cs="Arial" w:eastAsia="Arial" w:hAnsi="Arial"/>
                <w:sz w:val="22"/>
                <w:szCs w:val="22"/>
              </w:rPr>
              <w:t xml:space="preserve">[CIVIC ADDRESS], Halifax, NS</w:t>
            </w:r>
          </w:p>
          <w:p>
            <w:pPr>
              <w:spacing w:after="80" w:before="80"/>
            </w:pPr>
            <w:r>
              <w:rPr>
                <w:rFonts w:ascii="Arial" w:cs="Arial" w:eastAsia="Arial" w:hAnsi="Arial"/>
                <w:b/>
                <w:bCs/>
                <w:sz w:val="22"/>
                <w:szCs w:val="22"/>
              </w:rPr>
              <w:t xml:space="preserve">PID: </w:t>
            </w:r>
            <w:r>
              <w:rPr>
                <w:rFonts w:ascii="Arial" w:cs="Arial" w:eastAsia="Arial" w:hAnsi="Arial"/>
                <w:sz w:val="22"/>
                <w:szCs w:val="22"/>
              </w:rPr>
              <w:t xml:space="preserve">[PID NUMBER]</w:t>
            </w:r>
          </w:p>
          <w:p>
            <w:pPr>
              <w:spacing w:after="80" w:before="80"/>
            </w:pPr>
            <w:r>
              <w:rPr>
                <w:rFonts w:ascii="Arial" w:cs="Arial" w:eastAsia="Arial" w:hAnsi="Arial"/>
                <w:b/>
                <w:bCs/>
                <w:sz w:val="22"/>
                <w:szCs w:val="22"/>
              </w:rPr>
              <w:t xml:space="preserve">DA Instrument: </w:t>
            </w:r>
            <w:r>
              <w:rPr>
                <w:rFonts w:ascii="Arial" w:cs="Arial" w:eastAsia="Arial" w:hAnsi="Arial"/>
                <w:sz w:val="22"/>
                <w:szCs w:val="22"/>
              </w:rPr>
              <w:t xml:space="preserve">[INSTRUMENT NUMBER], registered [DATE], Book [XXX] Page [XXX]</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1. Subject Property and Current Ownership</w:t>
            </w:r>
          </w:p>
          <w:p>
            <w:pPr>
              <w:spacing w:after="80" w:before="80"/>
            </w:pPr>
            <w:r>
              <w:rPr>
                <w:rFonts w:ascii="Arial" w:cs="Arial" w:eastAsia="Arial" w:hAnsi="Arial"/>
                <w:sz w:val="22"/>
                <w:szCs w:val="22"/>
              </w:rPr>
              <w:t xml:space="preserve">The subject property is located at [CIVIC ADDRESS], identified as PID [NUMBER]. The registered owner is [OWNER NAME]. The property is zoned [ZONE DESIGNATION] under the [applicable Land Use Bylaw].</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2. The Development Agreement</w:t>
            </w:r>
          </w:p>
          <w:p>
            <w:pPr>
              <w:spacing w:after="80" w:before="80"/>
            </w:pPr>
            <w:r>
              <w:rPr>
                <w:rFonts w:ascii="Arial" w:cs="Arial" w:eastAsia="Arial" w:hAnsi="Arial"/>
                <w:sz w:val="22"/>
                <w:szCs w:val="22"/>
              </w:rPr>
              <w:t xml:space="preserve">A development agreement was registered against the subject property on [DATE] as Instrument [NUMBER] (Book [X], Page [X]), under HRM Case [NUMBER] (the 'Agreement'). The Agreement was approved by [Community Council name] on [DATE] and permitted [description of what the DA allowed].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3. Grounds for Discharge</w:t>
            </w:r>
          </w:p>
          <w:p>
            <w:pPr>
              <w:spacing w:after="80" w:before="80"/>
            </w:pPr>
            <w:r>
              <w:rPr>
                <w:rFonts w:ascii="Arial" w:cs="Arial" w:eastAsia="Arial" w:hAnsi="Arial"/>
                <w:sz w:val="22"/>
                <w:szCs w:val="22"/>
              </w:rPr>
              <w:t xml:space="preserve">We respectfully request discharge of the Agreement in whole for the following reasons:</w:t>
            </w:r>
          </w:p>
          <w:p>
            <w:pPr>
              <w:spacing w:after="80" w:before="80"/>
            </w:pPr>
            <w:r>
              <w:rPr>
                <w:rFonts w:ascii="Arial" w:cs="Arial" w:eastAsia="Arial" w:hAnsi="Arial"/>
                <w:sz w:val="22"/>
                <w:szCs w:val="22"/>
              </w:rPr>
              <w:t xml:space="preserve">[REASON 1 — e.g., The development permitted by the Agreement has been completed / was not commenced and will not be commenced / is no longer applicable to the property given a change in ownership and development intentions.]</w:t>
            </w:r>
          </w:p>
          <w:p>
            <w:pPr>
              <w:spacing w:after="80" w:before="80"/>
            </w:pPr>
            <w:r>
              <w:rPr>
                <w:rFonts w:ascii="Arial" w:cs="Arial" w:eastAsia="Arial" w:hAnsi="Arial"/>
                <w:sz w:val="22"/>
                <w:szCs w:val="22"/>
              </w:rPr>
              <w:t xml:space="preserve">[REASON 2 — e.g., The current [ZONE] zone designation is sufficient to govern all future development of the subject property. The Agreement's restrictions on [specific uses / unit count / height] are more restrictive than what the current LUB permits. Discharging the Agreement returns the parcel to standard zone governance without creating any non-conformity.]</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4. Consistency with the Municipal Planning Strategy</w:t>
            </w:r>
          </w:p>
          <w:p>
            <w:pPr>
              <w:spacing w:after="80" w:before="80"/>
            </w:pPr>
            <w:r>
              <w:rPr>
                <w:rFonts w:ascii="Arial" w:cs="Arial" w:eastAsia="Arial" w:hAnsi="Arial"/>
                <w:sz w:val="22"/>
                <w:szCs w:val="22"/>
              </w:rPr>
              <w:t xml:space="preserve">The proposed discharge is reasonably consistent with the intent of the [applicable] Municipal Planning Strategy, which designates the subject lands for [residential / mixed-use / infill] development. The MPS supports increasing housing supply and residential intensification in established urban areas. The discharge does not conflict with any MPS policies, and staff's authority to recommend discharge is explicitly provided for in Part VIII, §244 of the HRM Charter.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[PROPERTY OWNER NAME] is the current registered owner and concurs with this application.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[SIGNATURE BLOCK]</w:t>
            </w:r>
          </w:p>
          <w:p>
            <w:pPr>
              <w:spacing w:after="80" w:before="80"/>
            </w:pPr>
            <w:r>
              <w:rPr>
                <w:rFonts w:ascii="Arial" w:cs="Arial" w:eastAsia="Arial" w:hAnsi="Arial"/>
                <w:sz w:val="22"/>
                <w:szCs w:val="22"/>
              </w:rPr>
              <w:t xml:space="preserve">[APPLICANT NAME / HELIO URBAN DEVELOPMENT]</w:t>
            </w:r>
          </w:p>
          <w:p>
            <w:pPr>
              <w:spacing w:after="80" w:before="80"/>
            </w:pPr>
            <w:r>
              <w:rPr>
                <w:rFonts w:ascii="Arial" w:cs="Arial" w:eastAsia="Arial" w:hAnsi="Arial"/>
                <w:sz w:val="22"/>
                <w:szCs w:val="22"/>
              </w:rPr>
              <w:t xml:space="preserve">[ADDRESS, PHONE, EMAIL]</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8.2  Section 257A Covenant Discharge — Rationale Letter Template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
              <w:bottom w:val="single" w:color="999999" w:sz="1"/>
              <w:right w:val="single" w:color="999999" w:sz="1"/>
            </w:tcBorders>
            <w:shd w:fill="F5F5F5" w:val="clear"/>
            <w:tcMar>
              <w:top w:type="dxa" w:w="160"/>
              <w:left w:type="dxa" w:w="240"/>
              <w:bottom w:type="dxa" w:w="160"/>
              <w:right w:type="dxa" w:w="240"/>
            </w:tcMar>
          </w:tcPr>
          <w:p>
            <w:pPr>
              <w:spacing w:after="80" w:before="80"/>
            </w:pPr>
            <w:r>
              <w:rPr>
                <w:rFonts w:ascii="Arial" w:cs="Arial" w:eastAsia="Arial" w:hAnsi="Arial"/>
                <w:b/>
                <w:bCs/>
                <w:sz w:val="22"/>
                <w:szCs w:val="22"/>
              </w:rPr>
              <w:t xml:space="preserve">[DATE]</w:t>
            </w:r>
          </w:p>
          <w:p>
            <w:pPr>
              <w:spacing w:after="80" w:before="80"/>
            </w:pPr>
            <w:r>
              <w:rPr>
                <w:rFonts w:ascii="Arial" w:cs="Arial" w:eastAsia="Arial" w:hAnsi="Arial"/>
                <w:b/>
                <w:bCs/>
                <w:sz w:val="22"/>
                <w:szCs w:val="22"/>
              </w:rPr>
              <w:t xml:space="preserve">Chief Administrative Officer (c/o Director, Planning and Development)</w:t>
            </w:r>
          </w:p>
          <w:p>
            <w:pPr>
              <w:spacing w:after="80" w:before="80"/>
            </w:pPr>
            <w:r>
              <w:rPr>
                <w:rFonts w:ascii="Arial" w:cs="Arial" w:eastAsia="Arial" w:hAnsi="Arial"/>
                <w:b/>
                <w:bCs/>
                <w:sz w:val="22"/>
                <w:szCs w:val="22"/>
              </w:rPr>
              <w:t xml:space="preserve">Halifax Regional Municipality</w:t>
            </w:r>
          </w:p>
          <w:p>
            <w:pPr>
              <w:spacing w:after="80" w:before="80"/>
            </w:pPr>
            <w:r>
              <w:rPr>
                <w:rFonts w:ascii="Arial" w:cs="Arial" w:eastAsia="Arial" w:hAnsi="Arial"/>
                <w:b/>
                <w:bCs/>
                <w:sz w:val="22"/>
                <w:szCs w:val="22"/>
              </w:rPr>
              <w:t xml:space="preserve">5251 Duke Street, 3rd Floor</w:t>
            </w:r>
            <w:r>
              <w:rPr>
                <w:rFonts w:ascii="Arial" w:cs="Arial" w:eastAsia="Arial" w:hAnsi="Arial"/>
                <w:sz w:val="22"/>
                <w:szCs w:val="22"/>
              </w:rPr>
              <w:t xml:space="preserve">, Halifax, NS, B3J 1P3</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RE: Application to Discharge [or Modify] Restrictive Covenant</w:t>
            </w:r>
          </w:p>
          <w:p>
            <w:pPr>
              <w:spacing w:after="80" w:before="80"/>
            </w:pPr>
            <w:r>
              <w:rPr>
                <w:rFonts w:ascii="Arial" w:cs="Arial" w:eastAsia="Arial" w:hAnsi="Arial"/>
                <w:b/>
                <w:bCs/>
                <w:sz w:val="22"/>
                <w:szCs w:val="22"/>
              </w:rPr>
              <w:t xml:space="preserve">Property: </w:t>
            </w:r>
            <w:r>
              <w:rPr>
                <w:rFonts w:ascii="Arial" w:cs="Arial" w:eastAsia="Arial" w:hAnsi="Arial"/>
                <w:sz w:val="22"/>
                <w:szCs w:val="22"/>
              </w:rPr>
              <w:t xml:space="preserve">[CIVIC ADDRESS]</w:t>
            </w:r>
          </w:p>
          <w:p>
            <w:pPr>
              <w:spacing w:after="80" w:before="80"/>
            </w:pPr>
            <w:r>
              <w:rPr>
                <w:rFonts w:ascii="Arial" w:cs="Arial" w:eastAsia="Arial" w:hAnsi="Arial"/>
                <w:b/>
                <w:bCs/>
                <w:sz w:val="22"/>
                <w:szCs w:val="22"/>
              </w:rPr>
              <w:t xml:space="preserve">PID: </w:t>
            </w:r>
            <w:r>
              <w:rPr>
                <w:rFonts w:ascii="Arial" w:cs="Arial" w:eastAsia="Arial" w:hAnsi="Arial"/>
                <w:sz w:val="22"/>
                <w:szCs w:val="22"/>
              </w:rPr>
              <w:t xml:space="preserve">[PID NUMBER]</w:t>
            </w:r>
          </w:p>
          <w:p>
            <w:pPr>
              <w:spacing w:after="80" w:before="80"/>
            </w:pPr>
            <w:r>
              <w:rPr>
                <w:rFonts w:ascii="Arial" w:cs="Arial" w:eastAsia="Arial" w:hAnsi="Arial"/>
                <w:b/>
                <w:bCs/>
                <w:sz w:val="22"/>
                <w:szCs w:val="22"/>
              </w:rPr>
              <w:t xml:space="preserve">Covenant Instrument: </w:t>
            </w:r>
            <w:r>
              <w:rPr>
                <w:rFonts w:ascii="Arial" w:cs="Arial" w:eastAsia="Arial" w:hAnsi="Arial"/>
                <w:sz w:val="22"/>
                <w:szCs w:val="22"/>
              </w:rPr>
              <w:t xml:space="preserve">[INSTRUMENT NUMBER], registered [DATE], Grantor: [NAME]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1. Subject Property</w:t>
            </w:r>
          </w:p>
          <w:p>
            <w:pPr>
              <w:spacing w:after="80" w:before="80"/>
            </w:pPr>
            <w:r>
              <w:rPr>
                <w:rFonts w:ascii="Arial" w:cs="Arial" w:eastAsia="Arial" w:hAnsi="Arial"/>
                <w:sz w:val="22"/>
                <w:szCs w:val="22"/>
              </w:rPr>
              <w:t xml:space="preserve">The subject property is located at [CIVIC ADDRESS], PID [NUMBER], in the [ZONE DESIGNATION] zone. The property is currently used as [current use].</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2. The Restrictive Covenant</w:t>
            </w:r>
          </w:p>
          <w:p>
            <w:pPr>
              <w:spacing w:after="80" w:before="80"/>
            </w:pPr>
            <w:r>
              <w:rPr>
                <w:rFonts w:ascii="Arial" w:cs="Arial" w:eastAsia="Arial" w:hAnsi="Arial"/>
                <w:sz w:val="22"/>
                <w:szCs w:val="22"/>
              </w:rPr>
              <w:t xml:space="preserve">A restrictive covenant was registered against the subject property on [DATE] as Instrument [NUMBER] by [GRANTOR NAME]. The relevant restricting clauses are as follows:</w:t>
            </w:r>
          </w:p>
          <w:p>
            <w:pPr>
              <w:spacing w:after="80" w:before="80"/>
            </w:pPr>
            <w:r>
              <w:rPr>
                <w:rFonts w:ascii="Arial" w:cs="Arial" w:eastAsia="Arial" w:hAnsi="Arial"/>
                <w:b/>
                <w:bCs/>
                <w:sz w:val="22"/>
                <w:szCs w:val="22"/>
              </w:rPr>
              <w:t xml:space="preserve">Clause [X]: </w:t>
            </w:r>
            <w:r>
              <w:rPr>
                <w:rFonts w:ascii="Arial" w:cs="Arial" w:eastAsia="Arial" w:hAnsi="Arial"/>
                <w:sz w:val="22"/>
                <w:szCs w:val="22"/>
              </w:rPr>
              <w:t xml:space="preserve">[Quote exact text of restricting clause]</w:t>
            </w:r>
          </w:p>
          <w:p>
            <w:pPr>
              <w:spacing w:after="80" w:before="80"/>
            </w:pPr>
            <w:r>
              <w:rPr>
                <w:rFonts w:ascii="Arial" w:cs="Arial" w:eastAsia="Arial" w:hAnsi="Arial"/>
                <w:b/>
                <w:bCs/>
                <w:sz w:val="22"/>
                <w:szCs w:val="22"/>
              </w:rPr>
              <w:t xml:space="preserve">Clause [Y]: </w:t>
            </w:r>
            <w:r>
              <w:rPr>
                <w:rFonts w:ascii="Arial" w:cs="Arial" w:eastAsia="Arial" w:hAnsi="Arial"/>
                <w:sz w:val="22"/>
                <w:szCs w:val="22"/>
              </w:rPr>
              <w:t xml:space="preserve">[Quote exact text of any additional restricting clause being targeted]</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3. Covenant is More Restrictive Than Current Zoning</w:t>
            </w:r>
          </w:p>
          <w:p>
            <w:pPr>
              <w:spacing w:after="80" w:before="80"/>
            </w:pPr>
            <w:r>
              <w:rPr>
                <w:rFonts w:ascii="Arial" w:cs="Arial" w:eastAsia="Arial" w:hAnsi="Arial"/>
                <w:sz w:val="22"/>
                <w:szCs w:val="22"/>
              </w:rPr>
              <w:t xml:space="preserve">The subject property is currently zoned [ZONE] under the [applicable Land Use Bylaw]. The [ZONE] zone permits [state maximum permitted density — e.g., up to 4 dwelling units; or up to 6 storeys at X units/hectare]. The covenant restricts the property to [single-family residential / single dwelling / etc.], which is more restrictive than the current zoning with respect to [density / height].</w:t>
            </w:r>
          </w:p>
          <w:p>
            <w:pPr>
              <w:spacing w:after="80" w:before="80"/>
            </w:pPr>
            <w:r>
              <w:rPr>
                <w:rFonts w:ascii="Arial" w:cs="Arial" w:eastAsia="Arial" w:hAnsi="Arial"/>
                <w:sz w:val="22"/>
                <w:szCs w:val="22"/>
              </w:rPr>
              <w:t xml:space="preserve">Accordingly, the covenant satisfies the test for administrative discharge under Section 257A of the HRM Charter.</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4. Proposed Modification / Discharge</w:t>
            </w:r>
          </w:p>
          <w:p>
            <w:pPr>
              <w:spacing w:after="80" w:before="80"/>
            </w:pPr>
            <w:r>
              <w:rPr>
                <w:rFonts w:ascii="Arial" w:cs="Arial" w:eastAsia="Arial" w:hAnsi="Arial"/>
                <w:sz w:val="22"/>
                <w:szCs w:val="22"/>
              </w:rPr>
              <w:t xml:space="preserve">[OPTION A — Full discharge: We request discharge of the restrictive covenant in its entirety.]</w:t>
            </w:r>
          </w:p>
          <w:p>
            <w:pPr>
              <w:spacing w:after="80" w:before="80"/>
            </w:pPr>
            <w:r>
              <w:rPr>
                <w:rFonts w:ascii="Arial" w:cs="Arial" w:eastAsia="Arial" w:hAnsi="Arial"/>
                <w:sz w:val="22"/>
                <w:szCs w:val="22"/>
              </w:rPr>
              <w:t xml:space="preserve">[OPTION B — Partial discharge: We request discharge of Clauses [X] and [Y] only, as these are the provisions that are more restrictive than current zoning with respect to density. The remaining covenant clauses are not targeted by this application.]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5. Effect of Discharge</w:t>
            </w:r>
          </w:p>
          <w:p>
            <w:pPr>
              <w:spacing w:after="80" w:before="80"/>
            </w:pPr>
            <w:r>
              <w:rPr>
                <w:rFonts w:ascii="Arial" w:cs="Arial" w:eastAsia="Arial" w:hAnsi="Arial"/>
                <w:sz w:val="22"/>
                <w:szCs w:val="22"/>
              </w:rPr>
              <w:t xml:space="preserve">If discharged, all future development of the property will be governed by the applicable Land Use Bylaw and applicable municipal regulations. We note that HRM does not enforce private covenants when processing permit applications; however, discharge provides certainty to the owner and any prospective financiers.</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Please find enclosed: </w:t>
            </w:r>
            <w:r>
              <w:rPr>
                <w:rFonts w:ascii="Arial" w:cs="Arial" w:eastAsia="Arial" w:hAnsi="Arial"/>
                <w:sz w:val="22"/>
                <w:szCs w:val="22"/>
              </w:rPr>
              <w:t xml:space="preserve">(i) a certified copy of the covenant instrument; (ii) supporting title documentation.</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[SIGNATURE BLOCK]</w:t>
            </w:r>
          </w:p>
          <w:p>
            <w:pPr>
              <w:spacing w:after="80" w:before="80"/>
            </w:pPr>
            <w:r>
              <w:rPr>
                <w:rFonts w:ascii="Arial" w:cs="Arial" w:eastAsia="Arial" w:hAnsi="Arial"/>
                <w:sz w:val="22"/>
                <w:szCs w:val="22"/>
              </w:rPr>
              <w:t xml:space="preserve">[APPLICANT NAME]</w:t>
            </w:r>
          </w:p>
          <w:p>
            <w:pPr>
              <w:spacing w:after="80" w:before="80"/>
            </w:pPr>
            <w:r>
              <w:rPr>
                <w:rFonts w:ascii="Arial" w:cs="Arial" w:eastAsia="Arial" w:hAnsi="Arial"/>
                <w:sz w:val="22"/>
                <w:szCs w:val="22"/>
              </w:rPr>
              <w:t xml:space="preserve">[ADDRESS, PHONE, EMAIL]</w:t>
            </w:r>
          </w:p>
        </w:tc>
      </w:tr>
    </w:tbl>
    <w:p>
      <w:pPr>
        <w:spacing w:after="80" w:before="80"/>
      </w:pPr>
      <w:r>
        <w:rPr>
          <w:rFonts w:ascii="Arial" w:cs="Arial" w:eastAsia="Arial" w:hAnsi="Arial"/>
          <w:sz w:val="22"/>
          <w:szCs w:val="22"/>
        </w:rPr>
        <w:t xml:space="preserve"/>
      </w:r>
    </w:p>
    <w:p>
      <w:pPr>
        <w:pStyle w:val="Heading1"/>
        <w:pBdr>
          <w:bottom w:val="single" w:color="1B2A4A" w:sz="8" w:space="4"/>
        </w:pBdr>
        <w:spacing w:after="160" w:before="400"/>
      </w:pPr>
      <w:r>
        <w:rPr>
          <w:rFonts w:ascii="Arial" w:cs="Arial" w:eastAsia="Arial" w:hAnsi="Arial"/>
          <w:b/>
          <w:bCs/>
          <w:color w:val="1B2A4A"/>
          <w:sz w:val="36"/>
          <w:szCs w:val="36"/>
        </w:rPr>
        <w:t xml:space="preserve">9. Quick Reference Summary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
            </w:r>
          </w:p>
        </w:tc>
        <w:tc>
          <w:tcPr>
            <w:tcW w:type="dxa" w:w="328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§244 DA Discharge</w:t>
            </w:r>
          </w:p>
        </w:tc>
        <w:tc>
          <w:tcPr>
            <w:tcW w:type="dxa" w:w="328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§257A Covenant Discharge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Legal basis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 Charter Part VIII, §244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 Charter §257A (added 2023)</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Decision maker</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Community Council (resolution)</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CAO — administrative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Public hearing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Test for approval</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Reasonably consistent with MPS</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Covenant more restrictive than current zoning re height/density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Core documents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DA instrument + cover letter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Covenant instrument + rationale letter</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Professional stamp required?</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Blocks building permit?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Yes — must be discharged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 but civil litigation risk remains undischarged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Typical timeline</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8–16 weeks (Council meeting dependent)</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8–12 weeks (CAO decision)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Appeal route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NS Regulatory and Appeals Board (14 days)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NS Regulatory and Appeals Board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File where?</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HRM PPLC portal</w:t>
            </w:r>
          </w:p>
        </w:tc>
        <w:tc>
          <w:tcPr>
            <w:tcW w:type="dxa" w:w="32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HRM PPLC 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 type in PPLC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'Discharge of Development Agreement'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'Modification or Discharge of a Private Covenant'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E8F5E9" w:sz="0"/>
              <w:left w:val="single" w:color="2E4A6B" w:sz="18"/>
              <w:bottom w:val="none" w:color="E8F5E9" w:sz="0"/>
              <w:right w:val="none" w:color="E8F5E9" w:sz="0"/>
            </w:tcBorders>
            <w:shd w:fill="E8F5E9" w:val="clear"/>
            <w:tcMar>
              <w:top w:type="dxa" w:w="100"/>
              <w:left w:type="dxa" w:w="200"/>
              <w:bottom w:type="dxa" w:w="100"/>
              <w:right w:type="dxa" w:w="200"/>
            </w:tcMar>
          </w:tcPr>
          <w:p>
            <w:pPr>
              <w:spacing w:after="60" w:before="40"/>
            </w:pPr>
            <w:r>
              <w:rPr>
                <w:rFonts w:ascii="Arial" w:cs="Arial" w:eastAsia="Arial" w:hAnsi="Arial"/>
                <w:b/>
                <w:bCs/>
                <w:color w:val="2E4A6B"/>
                <w:sz w:val="20"/>
                <w:szCs w:val="20"/>
              </w:rPr>
              <w:t xml:space="preserve">CONCURRENT FILING STRATEGY</w:t>
            </w:r>
          </w:p>
          <w:p>
            <w:pPr>
              <w:spacing w:after="80" w:before="80"/>
            </w:pPr>
            <w:r>
              <w:rPr>
                <w:rFonts w:ascii="Arial" w:cs="Arial" w:eastAsia="Arial" w:hAnsi="Arial"/>
                <w:sz w:val="22"/>
                <w:szCs w:val="22"/>
              </w:rPr>
              <w:t xml:space="preserve">When a client's title has both a DA and a covenant, file both applications at the same time. They use overlapping source documents and the same project rationale, so the marginal effort to file the second application after preparing the first is minimal — roughly one additional hour.</w:t>
            </w:r>
          </w:p>
          <w:p>
            <w:pPr>
              <w:spacing w:after="80" w:before="80"/>
            </w:pPr>
            <w:r>
              <w:rPr>
                <w:rFonts w:ascii="Arial" w:cs="Arial" w:eastAsia="Arial" w:hAnsi="Arial"/>
                <w:sz w:val="22"/>
                <w:szCs w:val="22"/>
              </w:rPr>
              <w:t xml:space="preserve">The two applications run in parallel tracks. The DA discharge goes to Community Council. The covenant discharge goes to the CAO. Both resolve within a similar timeframe. This is more efficient than filing sequentially and substantially reduces total project delay.</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4A6B"/>
          <w:sz w:val="28"/>
          <w:szCs w:val="28"/>
        </w:rPr>
        <w:t xml:space="preserve">Resources and Key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Resource</w:t>
            </w:r>
          </w:p>
        </w:tc>
        <w:tc>
          <w:tcPr>
            <w:tcW w:type="dxa" w:w="6360"/>
            <w:tcBorders>
              <w:top w:val="single" w:color="2E4A6B" w:sz="1"/>
              <w:left w:val="single" w:color="2E4A6B" w:sz="1"/>
              <w:bottom w:val="single" w:color="2E4A6B" w:sz="1"/>
              <w:right w:val="single" w:color="2E4A6B" w:sz="1"/>
            </w:tcBorders>
            <w:shd w:fill="D5E8F0" w:val="clear"/>
            <w:tcMar>
              <w:top w:type="dxa" w:w="80"/>
              <w:left w:type="dxa" w:w="120"/>
              <w:bottom w:type="dxa" w:w="80"/>
              <w:right w:type="dxa" w:w="120"/>
            </w:tcMar>
          </w:tcPr>
          <w:p>
            <w:pPr>
              <w:spacing w:after="0" w:before="0"/>
            </w:pPr>
            <w:r>
              <w:rPr>
                <w:rFonts w:ascii="Arial" w:cs="Arial" w:eastAsia="Arial" w:hAnsi="Arial"/>
                <w:b/>
                <w:bCs/>
                <w:sz w:val="20"/>
                <w:szCs w:val="20"/>
              </w:rPr>
              <w:t xml:space="preserve">URL / 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NS Property Online (NSPOL) — title search &amp; document pull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propertyonline.novascotia.ca</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HRM PPLC Application Portal</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plc.halifax.ca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 ExploreHRM — zoning and property info (free)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hrm.maps.arcgis.com (search ExploreHRM)</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HRM Active Planning Applications</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halifax.ca/business/planning-development/active-planning-applications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HRM Planning counter (appointments / pre-submission queries)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311 or Duke Tower, 5251 Duke St, 3rd Fl, Halifax</w:t>
            </w:r>
          </w:p>
        </w:tc>
      </w:tr>
      <w:tr>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HRM Charter full text — §244 and §257A</w:t>
            </w:r>
          </w:p>
        </w:tc>
        <w:tc>
          <w:tcPr>
            <w:tcW w:type="dxa" w:w="6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pPr>
              <w:spacing w:after="0" w:before="0"/>
            </w:pPr>
            <w:r>
              <w:rPr>
                <w:rFonts w:ascii="Arial" w:cs="Arial" w:eastAsia="Arial" w:hAnsi="Arial"/>
                <w:sz w:val="20"/>
                <w:szCs w:val="20"/>
              </w:rPr>
              <w:t xml:space="preserve">nslegislature.ca — search 'Halifax Regional Municipality Charter'</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pBdr>
          <w:top w:val="single" w:color="1B2A4A" w:sz="4" w:space="4"/>
        </w:pBdr>
        <w:spacing w:after="80" w:before="160"/>
        <w:jc w:val="center"/>
      </w:pPr>
      <w:r>
        <w:rPr>
          <w:rFonts w:ascii="Arial" w:cs="Arial" w:eastAsia="Arial" w:hAnsi="Arial"/>
          <w:i/>
          <w:iCs/>
          <w:color w:val="888888"/>
          <w:sz w:val="18"/>
          <w:szCs w:val="18"/>
        </w:rPr>
        <w:t xml:space="preserve">Helio Urban Development  |  HUD-OPS-RC-001  |  Version 1.0, March 2026  |  For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2" w:space="4"/>
      </w:pBdr>
      <w:tabs>
        <w:tab w:val="right" w:pos="9026"/>
      </w:tabs>
      <w:spacing w:after="0" w:before="80"/>
    </w:pPr>
    <w:r>
      <w:rPr>
        <w:rFonts w:ascii="Arial" w:cs="Arial" w:eastAsia="Arial" w:hAnsi="Arial"/>
        <w:color w:val="888888"/>
        <w:sz w:val="16"/>
        <w:szCs w:val="16"/>
      </w:rPr>
      <w:t xml:space="preserve">Internal Operations Playbook  |  For Helio Staff Use Only</w:t>
    </w:r>
    <w:r>
      <w:rPr>
        <w:rFonts w:ascii="Arial" w:cs="Arial" w:eastAsia="Arial" w:hAnsi="Arial"/>
      </w:rPr>
      <w:t xml:space="preserve">	</w:t>
    </w:r>
    <w:r>
      <w:rPr>
        <w:rFonts w:ascii="Arial" w:cs="Arial" w:eastAsia="Arial" w:hAnsi="Arial"/>
        <w:color w:val="888888"/>
        <w:sz w:val="16"/>
        <w:szCs w:val="16"/>
      </w:rPr>
      <w:t xml:space="preserve">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spacing w:after="80" w:before="0"/>
    </w:pPr>
    <w:r>
      <w:rPr>
        <w:rFonts w:ascii="Arial" w:cs="Arial" w:eastAsia="Arial" w:hAnsi="Arial"/>
        <w:color w:val="888888"/>
        <w:sz w:val="16"/>
        <w:szCs w:val="16"/>
      </w:rPr>
      <w:t xml:space="preserve">HELIO URBAN DEVELOPMENT  |  HUD-OPS-RC-001</w:t>
    </w:r>
    <w:r>
      <w:rPr>
        <w:rFonts w:ascii="Arial" w:cs="Arial" w:eastAsia="Arial" w:hAnsi="Arial"/>
        <w:sz w:val="16"/>
        <w:szCs w:val="16"/>
      </w:rPr>
      <w:t xml:space="preserve">	</w:t>
    </w:r>
    <w:r>
      <w:rPr>
        <w:rFonts w:ascii="Arial" w:cs="Arial" w:eastAsia="Arial" w:hAnsi="Arial"/>
        <w:i/>
        <w:iCs/>
        <w:color w:val="888888"/>
        <w:sz w:val="16"/>
        <w:szCs w:val="16"/>
      </w:rPr>
      <w:t xml:space="preserve">Discharging DAs &amp; Covenants in HRM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lvl w:ilvl="1" w15:tentative="1">
      <w:start w:val="1"/>
      <w:numFmt w:val="bullet"/>
      <w:lvlText w:val="◦"/>
      <w:lvlJc w:val="left"/>
      <w:pPr>
        <w:spacing w:after="40" w:before="40"/>
        <w:ind w:left="1080" w:hanging="360"/>
      </w:pPr>
    </w:lvl>
  </w:abstractNum>
  <w:abstractNum w:abstractNumId="3" w15:restartNumberingAfterBreak="0">
    <w:multiLevelType w:val="hybridMultilevel"/>
    <w:lvl w:ilvl="0" w15:tentative="1">
      <w:start w:val="1"/>
      <w:numFmt w:val="decimal"/>
      <w:lvlText w:val="%1."/>
      <w:lvlJc w:val="left"/>
      <w:pPr>
        <w:spacing w:after="80" w:before="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4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2026-03-11T00:43:04.028Z</dcterms:created>
  <dcterms:modified xsi:type="dcterms:W3CDTF">2026-03-11T00:43:04.030Z</dcterms:modified>
</cp:coreProperties>
</file>

<file path=docProps/custom.xml><?xml version="1.0" encoding="utf-8"?>
<Properties xmlns="http://schemas.openxmlformats.org/officeDocument/2006/custom-properties" xmlns:vt="http://schemas.openxmlformats.org/officeDocument/2006/docPropsVTypes"/>
</file>