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7779B" w14:textId="77777777" w:rsidR="007270C5" w:rsidRDefault="007270C5">
      <w:pPr>
        <w:spacing w:before="2400"/>
      </w:pPr>
    </w:p>
    <w:p w14:paraId="36E4530B" w14:textId="77777777" w:rsidR="007270C5" w:rsidRDefault="003126F4">
      <w:r>
        <w:rPr>
          <w:b/>
          <w:bCs/>
          <w:color w:val="1F4E79"/>
          <w:sz w:val="72"/>
          <w:szCs w:val="72"/>
        </w:rPr>
        <w:t>NEXORA</w:t>
      </w:r>
    </w:p>
    <w:p w14:paraId="7052AFC0" w14:textId="77777777" w:rsidR="007270C5" w:rsidRDefault="003126F4">
      <w:pPr>
        <w:spacing w:after="600"/>
      </w:pPr>
      <w:r>
        <w:rPr>
          <w:color w:val="595959"/>
          <w:sz w:val="32"/>
          <w:szCs w:val="32"/>
        </w:rPr>
        <w:t>Guichet unique du commerce extérieur</w:t>
      </w:r>
    </w:p>
    <w:p w14:paraId="2F2D4207" w14:textId="77777777" w:rsidR="007270C5" w:rsidRDefault="003126F4">
      <w:pPr>
        <w:pBdr>
          <w:bottom w:val="single" w:sz="12" w:space="6" w:color="1F4E79"/>
        </w:pBdr>
      </w:pPr>
      <w:r>
        <w:rPr>
          <w:b/>
          <w:bCs/>
          <w:sz w:val="44"/>
          <w:szCs w:val="44"/>
        </w:rPr>
        <w:t>Guide de l'administrateur</w:t>
      </w:r>
    </w:p>
    <w:p w14:paraId="764AC1F5" w14:textId="77777777" w:rsidR="007270C5" w:rsidRDefault="003126F4">
      <w:pPr>
        <w:spacing w:before="200" w:after="1600"/>
      </w:pPr>
      <w:r>
        <w:rPr>
          <w:color w:val="595959"/>
          <w:sz w:val="24"/>
          <w:szCs w:val="24"/>
        </w:rPr>
        <w:t>Accès, registre des opérateurs, Référentiel Commun, administration d'e-Services, exploitation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7270C5" w14:paraId="72AEFB30" w14:textId="77777777">
        <w:trPr>
          <w:tblHeader/>
        </w:trPr>
        <w:tc>
          <w:tcPr>
            <w:tcW w:w="24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FD5C8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2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2435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7270C5" w14:paraId="640386C2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75D0B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Version du document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4B88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1.0 — 16/10/2026</w:t>
            </w:r>
          </w:p>
        </w:tc>
      </w:tr>
      <w:tr w:rsidR="007270C5" w14:paraId="3B01FCA0" w14:textId="77777777">
        <w:trPr>
          <w:cantSplit/>
        </w:trPr>
        <w:tc>
          <w:tcPr>
            <w:tcW w:w="240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9F1C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Statut</w:t>
            </w:r>
          </w:p>
        </w:tc>
        <w:tc>
          <w:tcPr>
            <w:tcW w:w="72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5DED2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Guide utilisateur détaillé, par profil</w:t>
            </w:r>
          </w:p>
        </w:tc>
      </w:tr>
      <w:tr w:rsidR="007270C5" w14:paraId="5C26A869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53E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Public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8D39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Administrateurs des accès, du registre, du référentiel et d'e-Services ; exploitants</w:t>
            </w:r>
          </w:p>
        </w:tc>
      </w:tr>
      <w:tr w:rsidR="007270C5" w14:paraId="16A11CBD" w14:textId="77777777">
        <w:trPr>
          <w:cantSplit/>
        </w:trPr>
        <w:tc>
          <w:tcPr>
            <w:tcW w:w="240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A2C7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Cas pratiques</w:t>
            </w:r>
          </w:p>
        </w:tc>
        <w:tc>
          <w:tcPr>
            <w:tcW w:w="72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95F0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Visa Technique Provisoire MINSANTE (VTP) et inscription au fichier des importateurs et des exportateurs (FIMEX)</w:t>
            </w:r>
          </w:p>
        </w:tc>
      </w:tr>
      <w:tr w:rsidR="007270C5" w14:paraId="1A5D6B35" w14:textId="77777777">
        <w:trPr>
          <w:cantSplit/>
        </w:trP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3E93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Documents liés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64EC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Guide d'utilisation et d'administration v1.0 (vue d'ensemble) · les trois autres guides par profil · Dossier d'architecture tech</w:t>
            </w:r>
            <w:r>
              <w:rPr>
                <w:sz w:val="19"/>
                <w:szCs w:val="19"/>
              </w:rPr>
              <w:t>nique v2.0</w:t>
            </w:r>
          </w:p>
        </w:tc>
      </w:tr>
    </w:tbl>
    <w:p w14:paraId="0CE68FF2" w14:textId="77777777" w:rsidR="007270C5" w:rsidRDefault="003126F4">
      <w:r>
        <w:br w:type="page"/>
      </w:r>
    </w:p>
    <w:p w14:paraId="042CF987" w14:textId="77777777" w:rsidR="007270C5" w:rsidRDefault="003126F4">
      <w:pPr>
        <w:spacing w:after="200"/>
      </w:pPr>
      <w:r>
        <w:rPr>
          <w:b/>
          <w:bCs/>
          <w:color w:val="1F4E79"/>
          <w:sz w:val="34"/>
          <w:szCs w:val="34"/>
        </w:rPr>
        <w:lastRenderedPageBreak/>
        <w:t>Historique des versions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1"/>
        <w:gridCol w:w="1509"/>
        <w:gridCol w:w="6968"/>
      </w:tblGrid>
      <w:tr w:rsidR="007270C5" w14:paraId="34B7D6E0" w14:textId="77777777">
        <w:trPr>
          <w:tblHeader/>
        </w:trPr>
        <w:tc>
          <w:tcPr>
            <w:tcW w:w="116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75E0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F74E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9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3882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</w:t>
            </w:r>
          </w:p>
        </w:tc>
      </w:tr>
      <w:tr w:rsidR="007270C5" w14:paraId="496C30AE" w14:textId="77777777">
        <w:trPr>
          <w:cantSplit/>
        </w:trPr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2EC3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AB1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16/10/2026</w:t>
            </w:r>
          </w:p>
        </w:tc>
        <w:tc>
          <w:tcPr>
            <w:tcW w:w="6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91FF7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Première version : mise en service pas à pas du VTP, chaque écran d'administration, stockage, exploitation et dépannage, avec captures d'écran</w:t>
            </w:r>
          </w:p>
        </w:tc>
      </w:tr>
    </w:tbl>
    <w:p w14:paraId="5694570E" w14:textId="77777777" w:rsidR="007270C5" w:rsidRDefault="003126F4">
      <w:pPr>
        <w:pageBreakBefore/>
        <w:spacing w:after="200"/>
      </w:pPr>
      <w:r>
        <w:rPr>
          <w:b/>
          <w:bCs/>
          <w:color w:val="1F4E79"/>
          <w:sz w:val="34"/>
          <w:szCs w:val="34"/>
        </w:rPr>
        <w:lastRenderedPageBreak/>
        <w:t>Sommaire</w:t>
      </w:r>
    </w:p>
    <w:sdt>
      <w:sdtPr>
        <w:alias w:val="Sommaire"/>
        <w:id w:val="674004669"/>
      </w:sdtPr>
      <w:sdtEndPr/>
      <w:sdtContent>
        <w:p w14:paraId="34941877" w14:textId="1E41B469" w:rsidR="00565DB7" w:rsidRDefault="003126F4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80403" w:history="1">
            <w:r w:rsidR="00565DB7" w:rsidRPr="00FC7F9D">
              <w:rPr>
                <w:rStyle w:val="Lienhypertexte"/>
                <w:noProof/>
              </w:rPr>
              <w:t>1. Avant de commencer</w:t>
            </w:r>
            <w:r w:rsidR="00565DB7">
              <w:rPr>
                <w:noProof/>
              </w:rPr>
              <w:tab/>
            </w:r>
            <w:r w:rsidR="00565DB7">
              <w:rPr>
                <w:noProof/>
              </w:rPr>
              <w:fldChar w:fldCharType="begin"/>
            </w:r>
            <w:r w:rsidR="00565DB7">
              <w:rPr>
                <w:noProof/>
              </w:rPr>
              <w:instrText xml:space="preserve"> PAGEREF _Toc243080403 \h </w:instrText>
            </w:r>
            <w:r w:rsidR="00565DB7">
              <w:rPr>
                <w:noProof/>
              </w:rPr>
            </w:r>
            <w:r w:rsidR="00565DB7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565DB7">
              <w:rPr>
                <w:noProof/>
              </w:rPr>
              <w:fldChar w:fldCharType="end"/>
            </w:r>
          </w:hyperlink>
        </w:p>
        <w:p w14:paraId="307B5FA7" w14:textId="2D7A4E47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04" w:history="1">
            <w:r w:rsidRPr="00FC7F9D">
              <w:rPr>
                <w:rStyle w:val="Lienhypertexte"/>
                <w:noProof/>
              </w:rPr>
              <w:t>1.1 Se 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115C05" w14:textId="1F775AF1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05" w:history="1">
            <w:r w:rsidRPr="00FC7F9D">
              <w:rPr>
                <w:rStyle w:val="Lienhypertexte"/>
                <w:noProof/>
              </w:rPr>
              <w:t>1.2 L'écran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03D0D5" w14:textId="375882C7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06" w:history="1">
            <w:r w:rsidRPr="00FC7F9D">
              <w:rPr>
                <w:rStyle w:val="Lienhypertexte"/>
                <w:noProof/>
              </w:rPr>
              <w:t>1.3 Votre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6F4AE1" w14:textId="1A1C71D2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07" w:history="1">
            <w:r w:rsidRPr="00FC7F9D">
              <w:rPr>
                <w:rStyle w:val="Lienhypertexte"/>
                <w:noProof/>
              </w:rPr>
              <w:t>1.4 Conventions de ce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9868DC" w14:textId="566253FF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08" w:history="1">
            <w:r w:rsidRPr="00FC7F9D">
              <w:rPr>
                <w:rStyle w:val="Lienhypertexte"/>
                <w:noProof/>
              </w:rPr>
              <w:t>1.5 Cas pratique : mise en service du VTP,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FBB8ED" w14:textId="69D385FD" w:rsidR="00565DB7" w:rsidRDefault="00565DB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09" w:history="1">
            <w:r w:rsidRPr="00FC7F9D">
              <w:rPr>
                <w:rStyle w:val="Lienhypertexte"/>
                <w:noProof/>
              </w:rPr>
              <w:t>2. Accès et habilitations (application Accès)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F269B6" w14:textId="03D8F882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0" w:history="1">
            <w:r w:rsidRPr="00FC7F9D">
              <w:rPr>
                <w:rStyle w:val="Lienhypertexte"/>
                <w:noProof/>
              </w:rPr>
              <w:t>2.1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CE50A5" w14:textId="79083A18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1" w:history="1">
            <w:r w:rsidRPr="00FC7F9D">
              <w:rPr>
                <w:rStyle w:val="Lienhypertexte"/>
                <w:noProof/>
              </w:rPr>
              <w:t>2.2 Groupes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F8A894" w14:textId="462EBB92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2" w:history="1">
            <w:r w:rsidRPr="00FC7F9D">
              <w:rPr>
                <w:rStyle w:val="Lienhypertexte"/>
                <w:noProof/>
              </w:rPr>
              <w:t>2.3 Rôles et habilitations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67F90D" w14:textId="3B8FEC49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3" w:history="1">
            <w:r w:rsidRPr="00FC7F9D">
              <w:rPr>
                <w:rStyle w:val="Lienhypertexte"/>
                <w:noProof/>
              </w:rPr>
              <w:t>2.4 Journal de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CA45E8" w14:textId="12D4F629" w:rsidR="00565DB7" w:rsidRDefault="00565DB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4" w:history="1">
            <w:r w:rsidRPr="00FC7F9D">
              <w:rPr>
                <w:rStyle w:val="Lienhypertexte"/>
                <w:noProof/>
              </w:rPr>
              <w:t>3. Registre des opérateurs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E8BB7B" w14:textId="48E816EB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5" w:history="1">
            <w:r w:rsidRPr="00FC7F9D">
              <w:rPr>
                <w:rStyle w:val="Lienhypertexte"/>
                <w:noProof/>
              </w:rPr>
              <w:t>3.1 Rechercher un opérateur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6D5499" w14:textId="1DFB82A1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6" w:history="1">
            <w:r w:rsidRPr="00FC7F9D">
              <w:rPr>
                <w:rStyle w:val="Lienhypertexte"/>
                <w:noProof/>
              </w:rPr>
              <w:t>3.2 Enrôler un opérateur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532F40" w14:textId="27CA5DB9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7" w:history="1">
            <w:r w:rsidRPr="00FC7F9D">
              <w:rPr>
                <w:rStyle w:val="Lienhypertexte"/>
                <w:noProof/>
              </w:rPr>
              <w:t>3.3 Fiche, pièces, comptes rattachés, historique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487088" w14:textId="012AE396" w:rsidR="00565DB7" w:rsidRDefault="00565DB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8" w:history="1">
            <w:r w:rsidRPr="00FC7F9D">
              <w:rPr>
                <w:rStyle w:val="Lienhypertexte"/>
                <w:noProof/>
              </w:rPr>
              <w:t>4. Référentiel Commun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11F9C7" w14:textId="1FB6FD9B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19" w:history="1">
            <w:r w:rsidRPr="00FC7F9D">
              <w:rPr>
                <w:rStyle w:val="Lienhypertexte"/>
                <w:noProof/>
              </w:rPr>
              <w:t>4.1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A84878" w14:textId="13597AF7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0" w:history="1">
            <w:r w:rsidRPr="00FC7F9D">
              <w:rPr>
                <w:rStyle w:val="Lienhypertexte"/>
                <w:noProof/>
              </w:rPr>
              <w:t>4.2 Une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F10321" w14:textId="23BDC6A2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1" w:history="1">
            <w:r w:rsidRPr="00FC7F9D">
              <w:rPr>
                <w:rStyle w:val="Lienhypertexte"/>
                <w:noProof/>
              </w:rPr>
              <w:t>4.3 Charger des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11D32B" w14:textId="5F13F3A9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2" w:history="1">
            <w:r w:rsidRPr="00FC7F9D">
              <w:rPr>
                <w:rStyle w:val="Lienhypertexte"/>
                <w:noProof/>
              </w:rPr>
              <w:t>4.4 Créer une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DEEBB8" w14:textId="54CF0422" w:rsidR="00565DB7" w:rsidRDefault="00565DB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3" w:history="1">
            <w:r w:rsidRPr="00FC7F9D">
              <w:rPr>
                <w:rStyle w:val="Lienhypertexte"/>
                <w:noProof/>
              </w:rPr>
              <w:t>5. Administration d'e-Services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05B62E" w14:textId="06E00AFD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4" w:history="1">
            <w:r w:rsidRPr="00FC7F9D">
              <w:rPr>
                <w:rStyle w:val="Lienhypertexte"/>
                <w:noProof/>
              </w:rPr>
              <w:t>5.1 Procédures : déployer une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2ACF5E" w14:textId="434A484F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5" w:history="1">
            <w:r w:rsidRPr="00FC7F9D">
              <w:rPr>
                <w:rStyle w:val="Lienhypertexte"/>
                <w:noProof/>
              </w:rPr>
              <w:t>5.2 Formulaires générés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61F5A8" w14:textId="02047430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6" w:history="1">
            <w:r w:rsidRPr="00FC7F9D">
              <w:rPr>
                <w:rStyle w:val="Lienhypertexte"/>
                <w:noProof/>
              </w:rPr>
              <w:t>5.3 Cotation : lieux, unités et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1A03D2" w14:textId="50480BF9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7" w:history="1">
            <w:r w:rsidRPr="00FC7F9D">
              <w:rPr>
                <w:rStyle w:val="Lienhypertexte"/>
                <w:noProof/>
              </w:rPr>
              <w:t>5.4 Listes de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118EAB" w14:textId="600E6E4F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8" w:history="1">
            <w:r w:rsidRPr="00FC7F9D">
              <w:rPr>
                <w:rStyle w:val="Lienhypertexte"/>
                <w:noProof/>
              </w:rPr>
              <w:t>5.5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9B07DF" w14:textId="4475AEC4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29" w:history="1">
            <w:r w:rsidRPr="00FC7F9D">
              <w:rPr>
                <w:rStyle w:val="Lienhypertexte"/>
                <w:noProof/>
              </w:rPr>
              <w:t>5.6 Vues métier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89B002" w14:textId="32E77CF6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0" w:history="1">
            <w:r w:rsidRPr="00FC7F9D">
              <w:rPr>
                <w:rStyle w:val="Lienhypertexte"/>
                <w:noProof/>
              </w:rPr>
              <w:t>5.7 Réception de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3206D4" w14:textId="3D50344F" w:rsidR="00565DB7" w:rsidRDefault="00565DB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1" w:history="1">
            <w:r w:rsidRPr="00FC7F9D">
              <w:rPr>
                <w:rStyle w:val="Lienhypertexte"/>
                <w:noProof/>
              </w:rPr>
              <w:t>6. Stockage des fichiers et modèle de langage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3CE582" w14:textId="430C4A03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2" w:history="1">
            <w:r w:rsidRPr="00FC7F9D">
              <w:rPr>
                <w:rStyle w:val="Lienhypertexte"/>
                <w:noProof/>
              </w:rPr>
              <w:t>6.1 MinIO (facultatif)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3D74AE" w14:textId="5669E890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3" w:history="1">
            <w:r w:rsidRPr="00FC7F9D">
              <w:rPr>
                <w:rStyle w:val="Lienhypertexte"/>
                <w:noProof/>
              </w:rPr>
              <w:t>6.2 Modèle de langage des agents IA (facultatif)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B229DA" w14:textId="34914541" w:rsidR="00565DB7" w:rsidRDefault="00565DB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4" w:history="1">
            <w:r w:rsidRPr="00FC7F9D">
              <w:rPr>
                <w:rStyle w:val="Lienhypertexte"/>
                <w:noProof/>
              </w:rPr>
              <w:t>7. Exploitation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2FC66BE" w14:textId="4CD1866B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5" w:history="1">
            <w:r w:rsidRPr="00FC7F9D">
              <w:rPr>
                <w:rStyle w:val="Lienhypertexte"/>
                <w:noProof/>
              </w:rPr>
              <w:t>7.1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FE32A2" w14:textId="3777753D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6" w:history="1">
            <w:r w:rsidRPr="00FC7F9D">
              <w:rPr>
                <w:rStyle w:val="Lienhypertexte"/>
                <w:noProof/>
              </w:rPr>
              <w:t>7.2 Ports et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DE93FC0" w14:textId="3FD5AA11" w:rsidR="00565DB7" w:rsidRDefault="00565DB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7" w:history="1">
            <w:r w:rsidRPr="00FC7F9D">
              <w:rPr>
                <w:rStyle w:val="Lienhypertexte"/>
                <w:noProof/>
              </w:rPr>
              <w:t>7.3 Mises à jour, sauvegardes, supervision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3FA3DB" w14:textId="6D166739" w:rsidR="00565DB7" w:rsidRDefault="00565DB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080438" w:history="1">
            <w:r w:rsidRPr="00FC7F9D">
              <w:rPr>
                <w:rStyle w:val="Lienhypertexte"/>
                <w:noProof/>
              </w:rPr>
              <w:t>8. Dépannage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26F4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D178A9" w14:textId="1C7DF31C" w:rsidR="007270C5" w:rsidRDefault="003126F4">
          <w:r>
            <w:fldChar w:fldCharType="end"/>
          </w:r>
        </w:p>
      </w:sdtContent>
    </w:sdt>
    <w:p w14:paraId="510EEE38" w14:textId="77777777" w:rsidR="007270C5" w:rsidRDefault="003126F4">
      <w:pPr>
        <w:pStyle w:val="Titre1"/>
        <w:pageBreakBefore/>
      </w:pPr>
      <w:bookmarkStart w:id="0" w:name="_Toc243080403"/>
      <w:r>
        <w:lastRenderedPageBreak/>
        <w:t>1. A</w:t>
      </w:r>
      <w:r>
        <w:t>vant de commencer</w:t>
      </w:r>
      <w:bookmarkEnd w:id="0"/>
    </w:p>
    <w:p w14:paraId="44D5B9E1" w14:textId="77777777" w:rsidR="007270C5" w:rsidRDefault="003126F4">
      <w:pPr>
        <w:spacing w:after="120" w:line="276" w:lineRule="auto"/>
        <w:jc w:val="both"/>
      </w:pPr>
      <w:r>
        <w:t xml:space="preserve">Ce guide s'adresse aux </w:t>
      </w:r>
      <w:r>
        <w:rPr>
          <w:b/>
          <w:bCs/>
        </w:rPr>
        <w:t>administrateurs</w:t>
      </w:r>
      <w:r>
        <w:t xml:space="preserve"> de la plate-forme NEXORA : administrateur des accès, gestionnaire du registre des opérateurs, gestionnaire du Référentiel Commun, administrateur d'e-Services et exploitant. Il décrit chaque écran d'a</w:t>
      </w:r>
      <w:r>
        <w:t xml:space="preserve">dministration et suit un cas réel : </w:t>
      </w:r>
      <w:r>
        <w:rPr>
          <w:b/>
          <w:bCs/>
        </w:rPr>
        <w:t>mettre en service le Visa Technique Provisoire (VTP)</w:t>
      </w:r>
      <w:r>
        <w:t xml:space="preserve"> publié dans le studio, de la création des comptes au premier dossier.</w:t>
      </w:r>
    </w:p>
    <w:p w14:paraId="5648B6EB" w14:textId="77777777" w:rsidR="007270C5" w:rsidRDefault="003126F4">
      <w:pPr>
        <w:pStyle w:val="Titre2"/>
      </w:pPr>
      <w:bookmarkStart w:id="1" w:name="_Toc243080404"/>
      <w:r>
        <w:t>1.1 Se connecter</w:t>
      </w:r>
      <w:bookmarkEnd w:id="1"/>
    </w:p>
    <w:p w14:paraId="3E9E2878" w14:textId="77777777" w:rsidR="007270C5" w:rsidRDefault="003126F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Ouvrez </w:t>
      </w:r>
      <w:r>
        <w:rPr>
          <w:b/>
          <w:bCs/>
        </w:rPr>
        <w:t>chaque application</w:t>
      </w:r>
      <w:r>
        <w:t xml:space="preserve"> à l'adresse communiquée par votre administrateur (poste de développement :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http://localhost:8090 (Accès), 8083 (Registre), 8082 (Référentiel), 8085 (e-Services)</w:t>
      </w:r>
      <w:r>
        <w:t>).</w:t>
      </w:r>
    </w:p>
    <w:p w14:paraId="548347ED" w14:textId="77777777" w:rsidR="007270C5" w:rsidRDefault="003126F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Sans session ouverte, vous êtes redirigé vers la page </w:t>
      </w:r>
      <w:r>
        <w:rPr>
          <w:b/>
          <w:bCs/>
        </w:rPr>
        <w:t>Connexion</w:t>
      </w:r>
      <w:r>
        <w:t xml:space="preserve"> commune à toutes les applica</w:t>
      </w:r>
      <w:r>
        <w:t>tions (« Authentification unique »).</w:t>
      </w:r>
    </w:p>
    <w:p w14:paraId="4B6B421D" w14:textId="77777777" w:rsidR="007270C5" w:rsidRDefault="003126F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Saisissez votre </w:t>
      </w:r>
      <w:r>
        <w:rPr>
          <w:b/>
          <w:bCs/>
        </w:rPr>
        <w:t>Identifiant</w:t>
      </w:r>
      <w:r>
        <w:t xml:space="preserve"> et votre </w:t>
      </w:r>
      <w:r>
        <w:rPr>
          <w:b/>
          <w:bCs/>
        </w:rPr>
        <w:t>Mot de passe</w:t>
      </w:r>
      <w:r>
        <w:t xml:space="preserve">, puis </w:t>
      </w:r>
      <w:r>
        <w:rPr>
          <w:b/>
          <w:bCs/>
        </w:rPr>
        <w:t>Se connecter</w:t>
      </w:r>
      <w:r>
        <w:t xml:space="preserve">. À la première connexion, saisissez un </w:t>
      </w:r>
      <w:r>
        <w:rPr>
          <w:b/>
          <w:bCs/>
        </w:rPr>
        <w:t>Nouveau mot de passe</w:t>
      </w:r>
      <w:r>
        <w:t xml:space="preserve"> (au moins 10 caractères, lettres et chiffres).</w:t>
      </w:r>
    </w:p>
    <w:p w14:paraId="6CD42567" w14:textId="77777777" w:rsidR="007270C5" w:rsidRDefault="003126F4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Vous revenez sur l'application demandée. La session vaut </w:t>
      </w:r>
      <w:r>
        <w:rPr>
          <w:b/>
          <w:bCs/>
        </w:rPr>
        <w:t>10 heures</w:t>
      </w:r>
      <w:r>
        <w:t xml:space="preserve"> pour toutes les applications NEXORA : le passage de l'une à l'autre (cadre « Plateforme NEXORA » en bas du menu) ne redemande pas le mot de p</w:t>
      </w:r>
      <w:r>
        <w:t>asse.</w:t>
      </w:r>
    </w:p>
    <w:p w14:paraId="21ABDC94" w14:textId="77777777" w:rsidR="007270C5" w:rsidRDefault="003126F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Après </w:t>
      </w:r>
      <w:r>
        <w:rPr>
          <w:b/>
          <w:bCs/>
        </w:rPr>
        <w:t>5 échecs</w:t>
      </w:r>
      <w:r>
        <w:t xml:space="preserve"> de connexion, le compte est verrouillé 15 minutes. Un administrateur peut le déverrouiller plus tôt.</w:t>
      </w:r>
    </w:p>
    <w:p w14:paraId="5939CC7E" w14:textId="77777777" w:rsidR="007270C5" w:rsidRDefault="003126F4">
      <w:pPr>
        <w:pStyle w:val="Titre2"/>
      </w:pPr>
      <w:bookmarkStart w:id="2" w:name="_Toc243080405"/>
      <w:r>
        <w:t>1.2 L'écran type</w:t>
      </w:r>
      <w:bookmarkEnd w:id="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2"/>
        <w:gridCol w:w="7436"/>
      </w:tblGrid>
      <w:tr w:rsidR="007270C5" w14:paraId="2DC58BC9" w14:textId="77777777">
        <w:trPr>
          <w:tblHeader/>
        </w:trPr>
        <w:tc>
          <w:tcPr>
            <w:tcW w:w="22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6D67E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743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55A6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7270C5" w14:paraId="13A0F1C2" w14:textId="77777777">
        <w:trPr>
          <w:cantSplit/>
        </w:trPr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66A1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Menu (à gauche)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DE25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 xml:space="preserve">Nom de l'application, entrées regroupées par espace (par exemple </w:t>
            </w:r>
            <w:r>
              <w:rPr>
                <w:b/>
                <w:bCs/>
                <w:sz w:val="19"/>
                <w:szCs w:val="19"/>
              </w:rPr>
              <w:t>EFORCE — O</w:t>
            </w:r>
            <w:r>
              <w:rPr>
                <w:b/>
                <w:bCs/>
                <w:sz w:val="19"/>
                <w:szCs w:val="19"/>
              </w:rPr>
              <w:t>PÉRATEURS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EGOV — ADMINISTRATIONS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SUPERVISION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ADMINISTRATION</w:t>
            </w:r>
            <w:r>
              <w:rPr>
                <w:sz w:val="19"/>
                <w:szCs w:val="19"/>
              </w:rPr>
              <w:t xml:space="preserve">) ; n'apparaissent que les entrées autorisées par vos droits. En bas, le cadre </w:t>
            </w:r>
            <w:r>
              <w:rPr>
                <w:b/>
                <w:bCs/>
                <w:sz w:val="19"/>
                <w:szCs w:val="19"/>
              </w:rPr>
              <w:t>Plateforme NEXORA</w:t>
            </w:r>
            <w:r>
              <w:rPr>
                <w:sz w:val="19"/>
                <w:szCs w:val="19"/>
              </w:rPr>
              <w:t xml:space="preserve"> liste les autres applications (pastille verte : service disponible).</w:t>
            </w:r>
          </w:p>
        </w:tc>
      </w:tr>
      <w:tr w:rsidR="007270C5" w14:paraId="38C85F32" w14:textId="77777777">
        <w:trPr>
          <w:cantSplit/>
        </w:trPr>
        <w:tc>
          <w:tcPr>
            <w:tcW w:w="220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6443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Bandeau (en haut)</w:t>
            </w:r>
          </w:p>
        </w:tc>
        <w:tc>
          <w:tcPr>
            <w:tcW w:w="743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2E70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 xml:space="preserve">Recherche rapide (numéro de dossier CUR, NIU ou raison sociale), boutons </w:t>
            </w:r>
            <w:r>
              <w:rPr>
                <w:b/>
                <w:bCs/>
                <w:sz w:val="19"/>
                <w:szCs w:val="19"/>
              </w:rPr>
              <w:t>FR / EN</w:t>
            </w:r>
            <w:r>
              <w:rPr>
                <w:sz w:val="19"/>
                <w:szCs w:val="19"/>
              </w:rPr>
              <w:t xml:space="preserve">, bouton du </w:t>
            </w:r>
            <w:r>
              <w:rPr>
                <w:b/>
                <w:bCs/>
                <w:sz w:val="19"/>
                <w:szCs w:val="19"/>
              </w:rPr>
              <w:t>mode sombre</w:t>
            </w:r>
            <w:r>
              <w:rPr>
                <w:sz w:val="19"/>
                <w:szCs w:val="19"/>
              </w:rPr>
              <w:t xml:space="preserve"> (croissant de lune), puis votre nom : menu </w:t>
            </w:r>
            <w:r>
              <w:rPr>
                <w:b/>
                <w:bCs/>
                <w:sz w:val="19"/>
                <w:szCs w:val="19"/>
              </w:rPr>
              <w:t>Mon compte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>Se déconnecter</w:t>
            </w:r>
            <w:r>
              <w:rPr>
                <w:sz w:val="19"/>
                <w:szCs w:val="19"/>
              </w:rPr>
              <w:t>.</w:t>
            </w:r>
          </w:p>
        </w:tc>
      </w:tr>
      <w:tr w:rsidR="007270C5" w14:paraId="680D506E" w14:textId="77777777">
        <w:trPr>
          <w:cantSplit/>
        </w:trPr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D934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Zone centrale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8A23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Titre de la page, phrase d'explication, puis c</w:t>
            </w:r>
            <w:r>
              <w:rPr>
                <w:sz w:val="19"/>
                <w:szCs w:val="19"/>
              </w:rPr>
              <w:t>artes et tableaux. Les champs obligatoires portent un astérisque rouge (*) ; un message rouge sous un champ indique ce qu'il faut corriger.</w:t>
            </w:r>
          </w:p>
        </w:tc>
      </w:tr>
    </w:tbl>
    <w:p w14:paraId="61D3857E" w14:textId="77777777" w:rsidR="007270C5" w:rsidRDefault="003126F4">
      <w:pPr>
        <w:pStyle w:val="Titre2"/>
      </w:pPr>
      <w:bookmarkStart w:id="3" w:name="_Toc243080406"/>
      <w:r>
        <w:t>1.3 Votre profil</w:t>
      </w:r>
      <w:bookmarkEnd w:id="3"/>
    </w:p>
    <w:p w14:paraId="0AB52471" w14:textId="77777777" w:rsidR="007270C5" w:rsidRDefault="003126F4">
      <w:pPr>
        <w:spacing w:after="120" w:line="276" w:lineRule="auto"/>
        <w:jc w:val="both"/>
      </w:pPr>
      <w:r>
        <w:t xml:space="preserve">Le rôle à demander à l'administrateur des accès est : </w:t>
      </w:r>
      <w:r>
        <w:rPr>
          <w:rFonts w:ascii="Consolas" w:eastAsia="Consolas" w:hAnsi="Consolas" w:cs="Consolas"/>
          <w:color w:val="7A2E0E"/>
          <w:sz w:val="19"/>
          <w:szCs w:val="19"/>
        </w:rPr>
        <w:t>ADMINISTRATEUR</w:t>
      </w:r>
      <w:r>
        <w:t xml:space="preserve"> (tout), ou </w:t>
      </w:r>
      <w:r>
        <w:rPr>
          <w:rFonts w:ascii="Consolas" w:eastAsia="Consolas" w:hAnsi="Consolas" w:cs="Consolas"/>
          <w:color w:val="7A2E0E"/>
          <w:sz w:val="19"/>
          <w:szCs w:val="19"/>
        </w:rPr>
        <w:t>ADMINISTRATEUR_ESERVICES</w:t>
      </w:r>
      <w:r>
        <w:t xml:space="preserve"> pour la seule administration d'e-Services. Si une page affiche « Accès refusé : votre profil n'a pas le droit requis », demandez ce rôle puis reconnect</w:t>
      </w:r>
      <w:r>
        <w:t>ez-vous.</w:t>
      </w:r>
    </w:p>
    <w:p w14:paraId="6243CB94" w14:textId="77777777" w:rsidR="007270C5" w:rsidRDefault="003126F4">
      <w:pPr>
        <w:pStyle w:val="Titre2"/>
      </w:pPr>
      <w:bookmarkStart w:id="4" w:name="_Toc243080407"/>
      <w:r>
        <w:t>1.4 Conventions de ce guide</w:t>
      </w:r>
      <w:bookmarkEnd w:id="4"/>
    </w:p>
    <w:p w14:paraId="5DE5E65F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Les libellés en </w:t>
      </w:r>
      <w:r>
        <w:rPr>
          <w:b/>
          <w:bCs/>
        </w:rPr>
        <w:t>gras</w:t>
      </w:r>
      <w:r>
        <w:t xml:space="preserve"> sont ceux affichés à l'écran (boutons, onglets, colonnes).</w:t>
      </w:r>
    </w:p>
    <w:p w14:paraId="57C3C325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>Les captures proviennent de la plate-forme de recette au 16/10/2026 ; vos écrans peuvent différer légèrement (procédures, données).</w:t>
      </w:r>
    </w:p>
    <w:p w14:paraId="0C224D38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>Les enc</w:t>
      </w:r>
      <w:r>
        <w:t xml:space="preserve">adrés </w:t>
      </w:r>
      <w:r>
        <w:rPr>
          <w:b/>
          <w:bCs/>
        </w:rPr>
        <w:t>Attention</w:t>
      </w:r>
      <w:r>
        <w:t xml:space="preserve"> signalent une action irréversible ou un piège fréquent, les encadrés </w:t>
      </w:r>
      <w:r>
        <w:rPr>
          <w:b/>
          <w:bCs/>
        </w:rPr>
        <w:t>Astuce</w:t>
      </w:r>
      <w:r>
        <w:t xml:space="preserve"> un gain de temps, les encadrés </w:t>
      </w:r>
      <w:r>
        <w:rPr>
          <w:b/>
          <w:bCs/>
        </w:rPr>
        <w:t>Résultat attendu</w:t>
      </w:r>
      <w:r>
        <w:t xml:space="preserve"> ce que vous devez voir à la fin d'une étape.</w:t>
      </w:r>
    </w:p>
    <w:p w14:paraId="1AF90A9A" w14:textId="77777777" w:rsidR="007270C5" w:rsidRDefault="003126F4">
      <w:pPr>
        <w:pStyle w:val="Titre2"/>
      </w:pPr>
      <w:bookmarkStart w:id="5" w:name="_Toc243080408"/>
      <w:r>
        <w:lastRenderedPageBreak/>
        <w:t>1.5 Cas pratique : mise en service du VTP, vue d'ensemble</w:t>
      </w:r>
      <w:bookmarkEnd w:id="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354"/>
        <w:gridCol w:w="3212"/>
        <w:gridCol w:w="1072"/>
      </w:tblGrid>
      <w:tr w:rsidR="007270C5" w14:paraId="6889B484" w14:textId="77777777">
        <w:trPr>
          <w:tblHeader/>
        </w:trPr>
        <w:tc>
          <w:tcPr>
            <w:tcW w:w="535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884B2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21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776D5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Écran</w:t>
            </w:r>
          </w:p>
        </w:tc>
        <w:tc>
          <w:tcPr>
            <w:tcW w:w="10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69EE0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Chapitre</w:t>
            </w:r>
          </w:p>
        </w:tc>
      </w:tr>
      <w:tr w:rsidR="007270C5" w14:paraId="6BC30746" w14:textId="77777777">
        <w:trPr>
          <w:cantSplit/>
        </w:trPr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0E30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1. Créer les comptes de l'agent, du signataire et du CDA ; leur donner les rôles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FFEF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Accès › Utilisateurs, Groupes</w:t>
            </w:r>
          </w:p>
        </w:tc>
        <w:tc>
          <w:tcPr>
            <w:tcW w:w="1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4C04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7270C5" w14:paraId="55A75D56" w14:textId="77777777">
        <w:trPr>
          <w:cantSplit/>
        </w:trPr>
        <w:tc>
          <w:tcPr>
            <w:tcW w:w="535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EFC2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2. Enrôler l'opérateur et rattacher le CDA comme mandataire</w:t>
            </w:r>
          </w:p>
        </w:tc>
        <w:tc>
          <w:tcPr>
            <w:tcW w:w="321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CAB89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Registre › Opérateur</w:t>
            </w:r>
          </w:p>
        </w:tc>
        <w:tc>
          <w:tcPr>
            <w:tcW w:w="107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D7A3E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7270C5" w14:paraId="7AF25E87" w14:textId="77777777">
        <w:trPr>
          <w:cantSplit/>
        </w:trPr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48AA8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3. Vérifier les tables de codes utilisées (REF_AMM, REF_UNIT, REF_BANK…)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FD69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Référentiel › Catalogue</w:t>
            </w:r>
          </w:p>
        </w:tc>
        <w:tc>
          <w:tcPr>
            <w:tcW w:w="1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8FB1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7270C5" w14:paraId="3730456C" w14:textId="77777777">
        <w:trPr>
          <w:cantSplit/>
        </w:trPr>
        <w:tc>
          <w:tcPr>
            <w:tcW w:w="535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4A2B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4. Déployer la version publiée</w:t>
            </w:r>
          </w:p>
        </w:tc>
        <w:tc>
          <w:tcPr>
            <w:tcW w:w="321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277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e-Services › Administration › Procédures</w:t>
            </w:r>
          </w:p>
        </w:tc>
        <w:tc>
          <w:tcPr>
            <w:tcW w:w="107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E3E3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5.1</w:t>
            </w:r>
          </w:p>
        </w:tc>
      </w:tr>
      <w:tr w:rsidR="007270C5" w14:paraId="44A9FB27" w14:textId="77777777">
        <w:trPr>
          <w:cantSplit/>
        </w:trPr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FE6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5. Rattacher l'agent et le signataire aux unités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6C4C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e-Services › Administration › Cotation</w:t>
            </w:r>
          </w:p>
        </w:tc>
        <w:tc>
          <w:tcPr>
            <w:tcW w:w="1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B6B23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5.3</w:t>
            </w:r>
          </w:p>
        </w:tc>
      </w:tr>
      <w:tr w:rsidR="007270C5" w14:paraId="5899ED57" w14:textId="77777777">
        <w:trPr>
          <w:cantSplit/>
        </w:trPr>
        <w:tc>
          <w:tcPr>
            <w:tcW w:w="535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CE0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6. Charger ou rafraîchir les listes de codes</w:t>
            </w:r>
          </w:p>
        </w:tc>
        <w:tc>
          <w:tcPr>
            <w:tcW w:w="321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9C1E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e-Services › Administration › Listes de codes</w:t>
            </w:r>
          </w:p>
        </w:tc>
        <w:tc>
          <w:tcPr>
            <w:tcW w:w="1072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F0B1B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5.4</w:t>
            </w:r>
          </w:p>
        </w:tc>
      </w:tr>
      <w:tr w:rsidR="007270C5" w14:paraId="59985B06" w14:textId="77777777">
        <w:trPr>
          <w:cantSplit/>
        </w:trPr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F6FA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7. Contrôler : nouvelle demande VTP visible, aucun incident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9C87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Nouvelle demande, Incidents</w:t>
            </w:r>
          </w:p>
        </w:tc>
        <w:tc>
          <w:tcPr>
            <w:tcW w:w="10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BA5E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5.5</w:t>
            </w:r>
          </w:p>
        </w:tc>
      </w:tr>
    </w:tbl>
    <w:p w14:paraId="44E8DBD5" w14:textId="77777777" w:rsidR="007270C5" w:rsidRDefault="003126F4">
      <w:pPr>
        <w:pStyle w:val="Titre1"/>
        <w:pageBreakBefore/>
      </w:pPr>
      <w:bookmarkStart w:id="6" w:name="_Toc243080409"/>
      <w:r>
        <w:lastRenderedPageBreak/>
        <w:t>2. Accès et habilitations (application Accès)</w:t>
      </w:r>
      <w:bookmarkEnd w:id="6"/>
    </w:p>
    <w:p w14:paraId="34464E60" w14:textId="77777777" w:rsidR="007270C5" w:rsidRDefault="003126F4">
      <w:pPr>
        <w:spacing w:after="120" w:line="276" w:lineRule="auto"/>
        <w:jc w:val="both"/>
      </w:pPr>
      <w:r>
        <w:t xml:space="preserve">L'application </w:t>
      </w:r>
      <w:r>
        <w:rPr>
          <w:b/>
          <w:bCs/>
        </w:rPr>
        <w:t>Accès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http://localhost:8090</w:t>
      </w:r>
      <w:r>
        <w:t xml:space="preserve">) gère l'authentification unique (SSO) de toute la plate-forme. Après connexion, le portail affiche « Vous êtes connecté. Choisissez une application : » avec </w:t>
      </w:r>
      <w:r>
        <w:rPr>
          <w:b/>
          <w:bCs/>
        </w:rPr>
        <w:t>Mon compte</w:t>
      </w:r>
      <w:r>
        <w:t xml:space="preserve"> (« Profil et mot de passe ») et, pour un administrateur, </w:t>
      </w:r>
      <w:r>
        <w:rPr>
          <w:b/>
          <w:bCs/>
        </w:rPr>
        <w:t>Administration des accès</w:t>
      </w:r>
      <w:r>
        <w:t xml:space="preserve"> (« Ut</w:t>
      </w:r>
      <w:r>
        <w:t>ilisateurs, groupes, rôles, journal »).</w:t>
      </w:r>
    </w:p>
    <w:p w14:paraId="0839841B" w14:textId="77777777" w:rsidR="007270C5" w:rsidRDefault="003126F4">
      <w:pPr>
        <w:pStyle w:val="Titre2"/>
      </w:pPr>
      <w:bookmarkStart w:id="7" w:name="_Toc243080410"/>
      <w:r>
        <w:t>2.1 Utilisateurs</w:t>
      </w:r>
      <w:bookmarkEnd w:id="7"/>
    </w:p>
    <w:p w14:paraId="218DC15F" w14:textId="77777777" w:rsidR="007270C5" w:rsidRDefault="003126F4">
      <w:pPr>
        <w:pStyle w:val="Paragraphedeliste"/>
        <w:numPr>
          <w:ilvl w:val="0"/>
          <w:numId w:val="4"/>
        </w:numPr>
        <w:spacing w:after="60" w:line="264" w:lineRule="auto"/>
      </w:pPr>
      <w:r>
        <w:rPr>
          <w:b/>
          <w:bCs/>
        </w:rPr>
        <w:t>Administration des accès</w:t>
      </w:r>
      <w:r>
        <w:t xml:space="preserve"> › onglet </w:t>
      </w:r>
      <w:r>
        <w:rPr>
          <w:b/>
          <w:bCs/>
        </w:rPr>
        <w:t>Utilisateurs</w:t>
      </w:r>
      <w:r>
        <w:t xml:space="preserve"> ; </w:t>
      </w:r>
      <w:r>
        <w:rPr>
          <w:b/>
          <w:bCs/>
        </w:rPr>
        <w:t>Rechercher un utilisateur…</w:t>
      </w:r>
      <w:r>
        <w:t xml:space="preserve"> filtre la liste (identifiant, nom complet, organisation, statut </w:t>
      </w:r>
      <w:r>
        <w:rPr>
          <w:b/>
          <w:bCs/>
        </w:rPr>
        <w:t>Actif</w:t>
      </w:r>
      <w:r>
        <w:t xml:space="preserve">, </w:t>
      </w:r>
      <w:r>
        <w:rPr>
          <w:b/>
          <w:bCs/>
        </w:rPr>
        <w:t>Désactivé</w:t>
      </w:r>
      <w:r>
        <w:t xml:space="preserve"> ou </w:t>
      </w:r>
      <w:r>
        <w:rPr>
          <w:b/>
          <w:bCs/>
        </w:rPr>
        <w:t>Verrouillé</w:t>
      </w:r>
      <w:r>
        <w:t xml:space="preserve">, </w:t>
      </w:r>
      <w:r>
        <w:rPr>
          <w:b/>
          <w:bCs/>
        </w:rPr>
        <w:t>Dernière connexion</w:t>
      </w:r>
      <w:r>
        <w:t>).</w:t>
      </w:r>
    </w:p>
    <w:p w14:paraId="564030E1" w14:textId="77777777" w:rsidR="007270C5" w:rsidRDefault="003126F4">
      <w:pPr>
        <w:pStyle w:val="Paragraphedeliste"/>
        <w:numPr>
          <w:ilvl w:val="0"/>
          <w:numId w:val="4"/>
        </w:numPr>
        <w:spacing w:after="60" w:line="264" w:lineRule="auto"/>
      </w:pPr>
      <w:r>
        <w:rPr>
          <w:b/>
          <w:bCs/>
        </w:rPr>
        <w:t>Nouvel</w:t>
      </w:r>
      <w:r>
        <w:rPr>
          <w:b/>
          <w:bCs/>
        </w:rPr>
        <w:t xml:space="preserve"> utilisateur</w:t>
      </w:r>
      <w:r>
        <w:t xml:space="preserve"> : </w:t>
      </w:r>
      <w:r>
        <w:rPr>
          <w:b/>
          <w:bCs/>
        </w:rPr>
        <w:t>Identifiant</w:t>
      </w:r>
      <w:r>
        <w:t xml:space="preserve">, </w:t>
      </w:r>
      <w:r>
        <w:rPr>
          <w:b/>
          <w:bCs/>
        </w:rPr>
        <w:t>Nom complet</w:t>
      </w:r>
      <w:r>
        <w:t xml:space="preserve">, </w:t>
      </w:r>
      <w:r>
        <w:rPr>
          <w:b/>
          <w:bCs/>
        </w:rPr>
        <w:t>E-mail</w:t>
      </w:r>
      <w:r>
        <w:t xml:space="preserve">, </w:t>
      </w:r>
      <w:r>
        <w:rPr>
          <w:b/>
          <w:bCs/>
        </w:rPr>
        <w:t>Organisation</w:t>
      </w:r>
      <w:r>
        <w:t xml:space="preserve">, </w:t>
      </w:r>
      <w:r>
        <w:rPr>
          <w:b/>
          <w:bCs/>
        </w:rPr>
        <w:t>Langue</w:t>
      </w:r>
      <w:r>
        <w:t xml:space="preserve">, </w:t>
      </w:r>
      <w:r>
        <w:rPr>
          <w:b/>
          <w:bCs/>
        </w:rPr>
        <w:t>Mot de passe</w:t>
      </w:r>
      <w:r>
        <w:t xml:space="preserve"> provisoire ; cochez </w:t>
      </w:r>
      <w:r>
        <w:rPr>
          <w:b/>
          <w:bCs/>
        </w:rPr>
        <w:t>Mot de passe à changer</w:t>
      </w:r>
      <w:r>
        <w:t xml:space="preserve"> et </w:t>
      </w:r>
      <w:r>
        <w:rPr>
          <w:b/>
          <w:bCs/>
        </w:rPr>
        <w:t>Compte actif</w:t>
      </w:r>
      <w:r>
        <w:t>.</w:t>
      </w:r>
    </w:p>
    <w:p w14:paraId="779FF9A2" w14:textId="77777777" w:rsidR="007270C5" w:rsidRDefault="003126F4">
      <w:pPr>
        <w:pStyle w:val="Paragraphedeliste"/>
        <w:numPr>
          <w:ilvl w:val="0"/>
          <w:numId w:val="4"/>
        </w:numPr>
        <w:spacing w:after="60" w:line="264" w:lineRule="auto"/>
      </w:pPr>
      <w:r>
        <w:t xml:space="preserve">Attribuez des </w:t>
      </w:r>
      <w:r>
        <w:rPr>
          <w:b/>
          <w:bCs/>
        </w:rPr>
        <w:t>Rôles attribués directement</w:t>
      </w:r>
      <w:r>
        <w:t xml:space="preserve"> et/ou des </w:t>
      </w:r>
      <w:r>
        <w:rPr>
          <w:b/>
          <w:bCs/>
        </w:rPr>
        <w:t>Groupes</w:t>
      </w:r>
      <w:r>
        <w:t xml:space="preserve"> (« Les rôles des groupes sont hérités par leurs membres »). Le cadre </w:t>
      </w:r>
      <w:r>
        <w:rPr>
          <w:b/>
          <w:bCs/>
        </w:rPr>
        <w:t>Droits effectifs</w:t>
      </w:r>
      <w:r>
        <w:t xml:space="preserve"> montre le résultat.</w:t>
      </w:r>
    </w:p>
    <w:p w14:paraId="4F38AA25" w14:textId="77777777" w:rsidR="007270C5" w:rsidRDefault="003126F4">
      <w:pPr>
        <w:pStyle w:val="Paragraphedeliste"/>
        <w:numPr>
          <w:ilvl w:val="0"/>
          <w:numId w:val="4"/>
        </w:numPr>
        <w:spacing w:after="60" w:line="264" w:lineRule="auto"/>
      </w:pPr>
      <w:r>
        <w:rPr>
          <w:b/>
          <w:bCs/>
        </w:rPr>
        <w:t>Enregistrer</w:t>
      </w:r>
      <w:r>
        <w:t>.</w:t>
      </w:r>
    </w:p>
    <w:p w14:paraId="4BE435AB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Déverrouiller</w:t>
      </w:r>
      <w:r>
        <w:t xml:space="preserve"> : après 5 échecs de connexion (sinon déverrouillage automatique au bout de 15 minutes).</w:t>
      </w:r>
    </w:p>
    <w:p w14:paraId="0CEBAE00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Réinitialiser le mot de passe</w:t>
      </w:r>
      <w:r>
        <w:t xml:space="preserve"> : no</w:t>
      </w:r>
      <w:r>
        <w:t>uveau mot de passe provisoire, à changer à la connexion suivante.</w:t>
      </w:r>
    </w:p>
    <w:p w14:paraId="487EF76A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Désactiver un compte (décocher </w:t>
      </w:r>
      <w:r>
        <w:rPr>
          <w:b/>
          <w:bCs/>
        </w:rPr>
        <w:t>Compte actif</w:t>
      </w:r>
      <w:r>
        <w:t>) plutôt que le supprimer : l'historique reste attribué.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579"/>
        <w:gridCol w:w="4130"/>
        <w:gridCol w:w="1929"/>
      </w:tblGrid>
      <w:tr w:rsidR="007270C5" w14:paraId="0CFD7BF0" w14:textId="77777777">
        <w:trPr>
          <w:tblHeader/>
        </w:trPr>
        <w:tc>
          <w:tcPr>
            <w:tcW w:w="357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66F0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1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7DF54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Profil</w:t>
            </w:r>
          </w:p>
        </w:tc>
        <w:tc>
          <w:tcPr>
            <w:tcW w:w="19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F60B2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Guide</w:t>
            </w:r>
          </w:p>
        </w:tc>
      </w:tr>
      <w:tr w:rsidR="007270C5" w14:paraId="430FD0C0" w14:textId="77777777">
        <w:trPr>
          <w:cantSplit/>
        </w:trPr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4F9F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OPERATEUR_ECONOMIQUE</w:t>
            </w:r>
          </w:p>
        </w:tc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71C2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Opérateur</w:t>
            </w:r>
          </w:p>
        </w:tc>
        <w:tc>
          <w:tcPr>
            <w:tcW w:w="1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00801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Opérateur et CDA</w:t>
            </w:r>
          </w:p>
        </w:tc>
      </w:tr>
      <w:tr w:rsidR="007270C5" w14:paraId="2C967AA8" w14:textId="77777777">
        <w:trPr>
          <w:cantSplit/>
        </w:trPr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2D0A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COMMISSIONNAIRE_AGREE</w:t>
            </w:r>
          </w:p>
        </w:tc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C9E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CDA</w:t>
            </w:r>
          </w:p>
        </w:tc>
        <w:tc>
          <w:tcPr>
            <w:tcW w:w="1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552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Opérateur et CDA</w:t>
            </w:r>
          </w:p>
        </w:tc>
      </w:tr>
      <w:tr w:rsidR="007270C5" w14:paraId="4376B668" w14:textId="77777777">
        <w:trPr>
          <w:cantSplit/>
        </w:trPr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4F6E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AGENT_TRAITEMENT</w:t>
            </w:r>
          </w:p>
        </w:tc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04FB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Agent de traitement</w:t>
            </w:r>
          </w:p>
        </w:tc>
        <w:tc>
          <w:tcPr>
            <w:tcW w:w="1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D8B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Agent…</w:t>
            </w:r>
          </w:p>
        </w:tc>
      </w:tr>
      <w:tr w:rsidR="007270C5" w14:paraId="70892C63" w14:textId="77777777">
        <w:trPr>
          <w:cantSplit/>
        </w:trPr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9543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AGENT_SIGNATAIRE</w:t>
            </w:r>
          </w:p>
        </w:tc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113F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Signataire</w:t>
            </w:r>
          </w:p>
        </w:tc>
        <w:tc>
          <w:tcPr>
            <w:tcW w:w="1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15291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Agent…</w:t>
            </w:r>
          </w:p>
        </w:tc>
      </w:tr>
      <w:tr w:rsidR="007270C5" w14:paraId="241FBF0A" w14:textId="77777777">
        <w:trPr>
          <w:cantSplit/>
        </w:trPr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B625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SUPERVISEUR</w:t>
            </w:r>
          </w:p>
        </w:tc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94AB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Superviseur</w:t>
            </w:r>
          </w:p>
        </w:tc>
        <w:tc>
          <w:tcPr>
            <w:tcW w:w="1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14D3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Agent…</w:t>
            </w:r>
          </w:p>
        </w:tc>
      </w:tr>
      <w:tr w:rsidR="007270C5" w14:paraId="63335DFB" w14:textId="77777777">
        <w:trPr>
          <w:cantSplit/>
        </w:trPr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BB0C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BANQUE</w:t>
            </w:r>
          </w:p>
        </w:tc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4A21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Banque</w:t>
            </w:r>
          </w:p>
        </w:tc>
        <w:tc>
          <w:tcPr>
            <w:tcW w:w="1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0109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Agent…</w:t>
            </w:r>
          </w:p>
        </w:tc>
      </w:tr>
      <w:tr w:rsidR="007270C5" w14:paraId="3B9567B3" w14:textId="77777777">
        <w:trPr>
          <w:cantSplit/>
        </w:trPr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4A5D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CONCEPTEUR_PROCEDURES</w:t>
            </w:r>
          </w:p>
        </w:tc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6A602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Concepteur</w:t>
            </w:r>
          </w:p>
        </w:tc>
        <w:tc>
          <w:tcPr>
            <w:tcW w:w="1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5480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Concepteur…</w:t>
            </w:r>
          </w:p>
        </w:tc>
      </w:tr>
      <w:tr w:rsidR="007270C5" w14:paraId="26077F4A" w14:textId="77777777">
        <w:trPr>
          <w:cantSplit/>
        </w:trPr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81684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APPROBATEUR_PROCEDURES</w:t>
            </w:r>
          </w:p>
        </w:tc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B3A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Approbateur</w:t>
            </w:r>
          </w:p>
        </w:tc>
        <w:tc>
          <w:tcPr>
            <w:tcW w:w="1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BE25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Concepteur…</w:t>
            </w:r>
          </w:p>
        </w:tc>
      </w:tr>
      <w:tr w:rsidR="007270C5" w14:paraId="5F4D7C00" w14:textId="77777777">
        <w:trPr>
          <w:cantSplit/>
        </w:trPr>
        <w:tc>
          <w:tcPr>
            <w:tcW w:w="3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F84D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ADMINISTRATEUR_ESERVICES</w:t>
            </w:r>
          </w:p>
        </w:tc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46137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Administrateur e-Services</w:t>
            </w:r>
          </w:p>
        </w:tc>
        <w:tc>
          <w:tcPr>
            <w:tcW w:w="19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3A2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Ce guide</w:t>
            </w:r>
          </w:p>
        </w:tc>
      </w:tr>
      <w:tr w:rsidR="007270C5" w14:paraId="0825A8BB" w14:textId="77777777">
        <w:trPr>
          <w:cantSplit/>
        </w:trPr>
        <w:tc>
          <w:tcPr>
            <w:tcW w:w="357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AEEAE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ADMINISTRATEUR</w:t>
            </w:r>
          </w:p>
        </w:tc>
        <w:tc>
          <w:tcPr>
            <w:tcW w:w="413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6B84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 xml:space="preserve">Administrateur général (dont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auth.administration</w:t>
            </w:r>
            <w:r>
              <w:rPr>
                <w:sz w:val="19"/>
                <w:szCs w:val="19"/>
              </w:rPr>
              <w:t xml:space="preserve"> : accès, rendu des formulaires)</w:t>
            </w:r>
          </w:p>
        </w:tc>
        <w:tc>
          <w:tcPr>
            <w:tcW w:w="192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08CC8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Ce guide</w:t>
            </w:r>
          </w:p>
        </w:tc>
      </w:tr>
    </w:tbl>
    <w:p w14:paraId="27C6B9C5" w14:textId="77777777" w:rsidR="007270C5" w:rsidRDefault="003126F4">
      <w:pPr>
        <w:pStyle w:val="Titre2"/>
      </w:pPr>
      <w:bookmarkStart w:id="8" w:name="_Toc243080411"/>
      <w:r>
        <w:t>2.2 Groupes</w:t>
      </w:r>
      <w:bookmarkEnd w:id="8"/>
    </w:p>
    <w:p w14:paraId="0DD17803" w14:textId="77777777" w:rsidR="007270C5" w:rsidRDefault="003126F4">
      <w:pPr>
        <w:spacing w:after="120" w:line="276" w:lineRule="auto"/>
        <w:jc w:val="both"/>
      </w:pPr>
      <w:r>
        <w:t xml:space="preserve">Onglet </w:t>
      </w:r>
      <w:r>
        <w:rPr>
          <w:b/>
          <w:bCs/>
        </w:rPr>
        <w:t>Groupes</w:t>
      </w:r>
      <w:r>
        <w:t xml:space="preserve"> › </w:t>
      </w:r>
      <w:r>
        <w:rPr>
          <w:b/>
          <w:bCs/>
        </w:rPr>
        <w:t>Nouveau groupe</w:t>
      </w:r>
      <w:r>
        <w:t xml:space="preserve"> : </w:t>
      </w:r>
      <w:r>
        <w:rPr>
          <w:b/>
          <w:bCs/>
        </w:rPr>
        <w:t>Code</w:t>
      </w:r>
      <w:r>
        <w:t xml:space="preserve">, </w:t>
      </w:r>
      <w:r>
        <w:rPr>
          <w:b/>
          <w:bCs/>
        </w:rPr>
        <w:t>Libellé (FR)</w:t>
      </w:r>
      <w:r>
        <w:t xml:space="preserve">, </w:t>
      </w:r>
      <w:r>
        <w:rPr>
          <w:b/>
          <w:bCs/>
        </w:rPr>
        <w:t>Libellé (EN)</w:t>
      </w:r>
      <w:r>
        <w:t xml:space="preserve">, </w:t>
      </w:r>
      <w:r>
        <w:rPr>
          <w:b/>
          <w:bCs/>
        </w:rPr>
        <w:t>Description</w:t>
      </w:r>
      <w:r>
        <w:t xml:space="preserve">, </w:t>
      </w:r>
      <w:r>
        <w:rPr>
          <w:b/>
          <w:bCs/>
        </w:rPr>
        <w:t>Rôles du groupe</w:t>
      </w:r>
      <w:r>
        <w:t xml:space="preserve">, </w:t>
      </w:r>
      <w:r>
        <w:rPr>
          <w:b/>
          <w:bCs/>
        </w:rPr>
        <w:t>Membres</w:t>
      </w:r>
      <w:r>
        <w:t xml:space="preserve"> ; </w:t>
      </w:r>
      <w:r>
        <w:rPr>
          <w:b/>
          <w:bCs/>
        </w:rPr>
        <w:t>Enregistrer</w:t>
      </w:r>
      <w:r>
        <w:t xml:space="preserve">. Exemple : groupe </w:t>
      </w:r>
      <w:r>
        <w:rPr>
          <w:rFonts w:ascii="Consolas" w:eastAsia="Consolas" w:hAnsi="Consolas" w:cs="Consolas"/>
          <w:color w:val="7A2E0E"/>
          <w:sz w:val="19"/>
          <w:szCs w:val="19"/>
        </w:rPr>
        <w:t>MINSANTE_DPML_AGENTS</w:t>
      </w:r>
      <w:r>
        <w:t xml:space="preserve"> avec le rôle </w:t>
      </w:r>
      <w:r>
        <w:rPr>
          <w:rFonts w:ascii="Consolas" w:eastAsia="Consolas" w:hAnsi="Consolas" w:cs="Consolas"/>
          <w:color w:val="7A2E0E"/>
          <w:sz w:val="19"/>
          <w:szCs w:val="19"/>
        </w:rPr>
        <w:t>AGENT_TRAITEMENT</w:t>
      </w:r>
      <w:r>
        <w:t xml:space="preserve"> et les agents de la DPML. </w:t>
      </w:r>
      <w:r>
        <w:rPr>
          <w:b/>
          <w:bCs/>
        </w:rPr>
        <w:t>Supprimer le groupe</w:t>
      </w:r>
      <w:r>
        <w:t xml:space="preserve"> retire les rôles hérités à ses membres</w:t>
      </w:r>
      <w:r>
        <w:t>.</w:t>
      </w:r>
    </w:p>
    <w:p w14:paraId="37F5BC78" w14:textId="77777777" w:rsidR="007270C5" w:rsidRDefault="003126F4">
      <w:pPr>
        <w:pStyle w:val="Titre2"/>
      </w:pPr>
      <w:bookmarkStart w:id="9" w:name="_Toc243080412"/>
      <w:r>
        <w:t>2.3 Rôles et habilitations</w:t>
      </w:r>
      <w:bookmarkEnd w:id="9"/>
    </w:p>
    <w:p w14:paraId="694C15F7" w14:textId="77777777" w:rsidR="007270C5" w:rsidRDefault="003126F4">
      <w:pPr>
        <w:spacing w:after="120" w:line="276" w:lineRule="auto"/>
        <w:jc w:val="both"/>
      </w:pPr>
      <w:r>
        <w:t xml:space="preserve">Onglet </w:t>
      </w:r>
      <w:r>
        <w:rPr>
          <w:b/>
          <w:bCs/>
        </w:rPr>
        <w:t>Rôles</w:t>
      </w:r>
      <w:r>
        <w:t xml:space="preserve"> : matrice des rôles et des </w:t>
      </w:r>
      <w:r>
        <w:rPr>
          <w:b/>
          <w:bCs/>
        </w:rPr>
        <w:t>droits</w:t>
      </w:r>
      <w:r>
        <w:t xml:space="preserve"> (par application : déposer, traiter, signer, superviser, administrer, gérer le registre, structurer le référentiel…). </w:t>
      </w:r>
      <w:r>
        <w:rPr>
          <w:b/>
          <w:bCs/>
        </w:rPr>
        <w:t>Nouveau rôle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CODE_DU_ROLE</w:t>
      </w:r>
      <w:r>
        <w:t xml:space="preserve">, </w:t>
      </w:r>
      <w:r>
        <w:rPr>
          <w:b/>
          <w:bCs/>
        </w:rPr>
        <w:t>Libellé</w:t>
      </w:r>
      <w:r>
        <w:t xml:space="preserve">) puis </w:t>
      </w:r>
      <w:r>
        <w:rPr>
          <w:b/>
          <w:bCs/>
        </w:rPr>
        <w:t>Créer le rôle</w:t>
      </w:r>
      <w:r>
        <w:t xml:space="preserve"> ; coch</w:t>
      </w:r>
      <w:r>
        <w:t xml:space="preserve">ez les droits et </w:t>
      </w:r>
      <w:r>
        <w:rPr>
          <w:b/>
          <w:bCs/>
        </w:rPr>
        <w:t>Enregistrer</w:t>
      </w:r>
      <w:r>
        <w:t>. Les changements prennent effet à la prochaine connexion des utilisateurs ; les rôles système ne se suppriment pas.</w:t>
      </w:r>
    </w:p>
    <w:p w14:paraId="26F3A4C9" w14:textId="77777777" w:rsidR="007270C5" w:rsidRDefault="003126F4">
      <w:pPr>
        <w:pStyle w:val="Titre2"/>
      </w:pPr>
      <w:bookmarkStart w:id="10" w:name="_Toc243080413"/>
      <w:r>
        <w:lastRenderedPageBreak/>
        <w:t>2.4 Journal de sécurité</w:t>
      </w:r>
      <w:bookmarkEnd w:id="10"/>
    </w:p>
    <w:p w14:paraId="6C0576C1" w14:textId="77777777" w:rsidR="007270C5" w:rsidRDefault="003126F4">
      <w:pPr>
        <w:spacing w:after="120" w:line="276" w:lineRule="auto"/>
        <w:jc w:val="both"/>
      </w:pPr>
      <w:r>
        <w:t xml:space="preserve">Onglet </w:t>
      </w:r>
      <w:r>
        <w:rPr>
          <w:b/>
          <w:bCs/>
        </w:rPr>
        <w:t>Journal</w:t>
      </w:r>
      <w:r>
        <w:t xml:space="preserve"> : </w:t>
      </w:r>
      <w:r>
        <w:rPr>
          <w:b/>
          <w:bCs/>
        </w:rPr>
        <w:t>Date</w:t>
      </w:r>
      <w:r>
        <w:t xml:space="preserve">, </w:t>
      </w:r>
      <w:r>
        <w:rPr>
          <w:b/>
          <w:bCs/>
        </w:rPr>
        <w:t>Événement</w:t>
      </w:r>
      <w:r>
        <w:t xml:space="preserve"> (connexion, échec, verrouillage, création ou modificat</w:t>
      </w:r>
      <w:r>
        <w:t xml:space="preserve">ion de compte, de groupe, de rôle, de droits), </w:t>
      </w:r>
      <w:r>
        <w:rPr>
          <w:b/>
          <w:bCs/>
        </w:rPr>
        <w:t>Utilisateur</w:t>
      </w:r>
      <w:r>
        <w:t xml:space="preserve">, </w:t>
      </w:r>
      <w:r>
        <w:rPr>
          <w:b/>
          <w:bCs/>
        </w:rPr>
        <w:t>Auteur</w:t>
      </w:r>
      <w:r>
        <w:t xml:space="preserve">, </w:t>
      </w:r>
      <w:r>
        <w:rPr>
          <w:b/>
          <w:bCs/>
        </w:rPr>
        <w:t>Adresse IP</w:t>
      </w:r>
      <w:r>
        <w:t xml:space="preserve">, </w:t>
      </w:r>
      <w:r>
        <w:rPr>
          <w:b/>
          <w:bCs/>
        </w:rPr>
        <w:t>Détails</w:t>
      </w:r>
      <w:r>
        <w:t xml:space="preserve"> ; filtres </w:t>
      </w:r>
      <w:r>
        <w:rPr>
          <w:b/>
          <w:bCs/>
        </w:rPr>
        <w:t>Tous les événements</w:t>
      </w:r>
      <w:r>
        <w:t xml:space="preserve"> et </w:t>
      </w:r>
      <w:r>
        <w:rPr>
          <w:b/>
          <w:bCs/>
        </w:rPr>
        <w:t>Utilisateur ou auteur</w:t>
      </w:r>
      <w:r>
        <w:t>.</w:t>
      </w:r>
    </w:p>
    <w:p w14:paraId="28A9ABBF" w14:textId="77777777" w:rsidR="007270C5" w:rsidRDefault="003126F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>Un administrateur ne peut ni se désactiver ni retirer son propre droit d'administration. Pour un agent ou un signataire, le rôle ne suffit pas : rattachez-le aussi à son unité dans la cotation d'e-Services (§ 5.3).</w:t>
      </w:r>
    </w:p>
    <w:p w14:paraId="102E8BF1" w14:textId="77777777" w:rsidR="007270C5" w:rsidRDefault="003126F4">
      <w:pPr>
        <w:pStyle w:val="Titre1"/>
        <w:pageBreakBefore/>
      </w:pPr>
      <w:bookmarkStart w:id="11" w:name="_Toc243080414"/>
      <w:r>
        <w:lastRenderedPageBreak/>
        <w:t>3. Registre des opérateurs</w:t>
      </w:r>
      <w:bookmarkEnd w:id="11"/>
    </w:p>
    <w:p w14:paraId="64BB4FF3" w14:textId="77777777" w:rsidR="007270C5" w:rsidRDefault="003126F4">
      <w:pPr>
        <w:pStyle w:val="Titre2"/>
      </w:pPr>
      <w:bookmarkStart w:id="12" w:name="_Toc243080415"/>
      <w:r>
        <w:t>3.1 Rechercher</w:t>
      </w:r>
      <w:r>
        <w:t xml:space="preserve"> un opérateur</w:t>
      </w:r>
      <w:bookmarkEnd w:id="12"/>
    </w:p>
    <w:p w14:paraId="00F70E59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6BA3438" wp14:editId="70721059">
            <wp:extent cx="5905500" cy="3038475"/>
            <wp:effectExtent l="0" t="0" r="0" b="0"/>
            <wp:docPr id="1" name="reg-operateurs" descr="Registre : opérateurs économiques" title="Figure 1 — Registre : opérateurs économi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237B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Registre : opérateurs économiques</w:t>
      </w:r>
    </w:p>
    <w:p w14:paraId="6AD3F388" w14:textId="77777777" w:rsidR="007270C5" w:rsidRDefault="003126F4">
      <w:pPr>
        <w:spacing w:after="120" w:line="276" w:lineRule="auto"/>
        <w:jc w:val="both"/>
      </w:pPr>
      <w:r>
        <w:t xml:space="preserve">Recherche sur le </w:t>
      </w:r>
      <w:r>
        <w:rPr>
          <w:b/>
          <w:bCs/>
        </w:rPr>
        <w:t>NIU</w:t>
      </w:r>
      <w:r>
        <w:t xml:space="preserve">, la raison sociale, le </w:t>
      </w:r>
      <w:r>
        <w:rPr>
          <w:b/>
          <w:bCs/>
        </w:rPr>
        <w:t>RCCM</w:t>
      </w:r>
      <w:r>
        <w:t xml:space="preserve"> ou la ville ; colonnes NIU, raison sociale, </w:t>
      </w:r>
      <w:r>
        <w:rPr>
          <w:b/>
          <w:bCs/>
        </w:rPr>
        <w:t>personnalité</w:t>
      </w:r>
      <w:r>
        <w:t xml:space="preserve"> (PP, PM, SUC — succursale, avec la pastille « étranger »), ville, RCCM, statut (</w:t>
      </w:r>
      <w:r>
        <w:rPr>
          <w:b/>
          <w:bCs/>
        </w:rPr>
        <w:t>Actif</w:t>
      </w:r>
      <w:r>
        <w:t xml:space="preserve">, </w:t>
      </w:r>
      <w:r>
        <w:rPr>
          <w:b/>
          <w:bCs/>
        </w:rPr>
        <w:t>Su</w:t>
      </w:r>
      <w:r>
        <w:rPr>
          <w:b/>
          <w:bCs/>
        </w:rPr>
        <w:t>spendu</w:t>
      </w:r>
      <w:r>
        <w:t>).</w:t>
      </w:r>
    </w:p>
    <w:p w14:paraId="6032A98B" w14:textId="77777777" w:rsidR="007270C5" w:rsidRDefault="003126F4">
      <w:pPr>
        <w:pStyle w:val="Titre2"/>
      </w:pPr>
      <w:bookmarkStart w:id="13" w:name="_Toc243080416"/>
      <w:r>
        <w:t>3.2 Enrôler un opérateur</w:t>
      </w:r>
      <w:bookmarkEnd w:id="13"/>
    </w:p>
    <w:p w14:paraId="129F28C5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2EA1586" wp14:editId="4948A4CC">
            <wp:extent cx="5905500" cy="3038475"/>
            <wp:effectExtent l="0" t="0" r="0" b="0"/>
            <wp:docPr id="2" name="reg-enroler" descr="Enrôler un opérateur : fiche" title="Figure 2 — Enrôler un opérateur : fi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B6EC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— Enrôler un opérateur : fiche</w:t>
      </w:r>
    </w:p>
    <w:p w14:paraId="33D58621" w14:textId="77777777" w:rsidR="007270C5" w:rsidRDefault="003126F4">
      <w:pPr>
        <w:pStyle w:val="Paragraphedeliste"/>
        <w:numPr>
          <w:ilvl w:val="0"/>
          <w:numId w:val="5"/>
        </w:numPr>
        <w:spacing w:after="60" w:line="264" w:lineRule="auto"/>
      </w:pPr>
      <w:r>
        <w:rPr>
          <w:b/>
          <w:bCs/>
        </w:rPr>
        <w:t>+ Enrôler un opérateur</w:t>
      </w:r>
      <w:r>
        <w:t>.</w:t>
      </w:r>
    </w:p>
    <w:p w14:paraId="21876659" w14:textId="77777777" w:rsidR="007270C5" w:rsidRDefault="003126F4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Renseignez la fiche : </w:t>
      </w:r>
      <w:r>
        <w:rPr>
          <w:b/>
          <w:bCs/>
        </w:rPr>
        <w:t>NIU</w:t>
      </w:r>
      <w:r>
        <w:t xml:space="preserve"> (obligatoire), nom / raison sociale, personnalité juridique (personne physique, morale, succursale d'entité étrangère, GIE), étranger / national, CNI / passeport, directeur général, pays de naissance, chiffre d'affaires, adresse (bouton de géolocalisation</w:t>
      </w:r>
      <w:r>
        <w:t xml:space="preserve">), boîte postale, ville, pays, courriel, </w:t>
      </w:r>
      <w:r>
        <w:lastRenderedPageBreak/>
        <w:t>téléphones, carte de contribuable (dates), patente, activités principale et secondaire, régime d'imposition, RCCM (numéro, date, lieu).</w:t>
      </w:r>
    </w:p>
    <w:p w14:paraId="626E2D4F" w14:textId="77777777" w:rsidR="007270C5" w:rsidRDefault="003126F4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Saisissez le </w:t>
      </w:r>
      <w:r>
        <w:rPr>
          <w:b/>
          <w:bCs/>
        </w:rPr>
        <w:t>Motif de la modification</w:t>
      </w:r>
      <w:r>
        <w:t xml:space="preserve"> puis </w:t>
      </w:r>
      <w:r>
        <w:rPr>
          <w:b/>
          <w:bCs/>
        </w:rPr>
        <w:t>Enrôler</w:t>
      </w:r>
      <w:r>
        <w:t>.</w:t>
      </w:r>
    </w:p>
    <w:p w14:paraId="37CD2CC1" w14:textId="77777777" w:rsidR="007270C5" w:rsidRDefault="003126F4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>Les attributs non renseigné</w:t>
      </w:r>
      <w:r>
        <w:rPr>
          <w:i/>
          <w:iCs/>
          <w:color w:val="595959"/>
        </w:rPr>
        <w:t>s pourront être complétés automatiquement à la délivrance d'une procédure qui met à jour le registre (RG2 UC-05), sans écraser l'existant.</w:t>
      </w:r>
    </w:p>
    <w:p w14:paraId="553AC805" w14:textId="77777777" w:rsidR="007270C5" w:rsidRDefault="003126F4">
      <w:pPr>
        <w:pStyle w:val="Titre2"/>
      </w:pPr>
      <w:bookmarkStart w:id="14" w:name="_Toc243080417"/>
      <w:r>
        <w:t>3.3 Fiche, pièces, comptes rattachés, historique</w:t>
      </w:r>
      <w:bookmarkEnd w:id="14"/>
    </w:p>
    <w:p w14:paraId="4B1854D6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2E70E44" wp14:editId="751AE63F">
            <wp:extent cx="5905500" cy="3038475"/>
            <wp:effectExtent l="0" t="0" r="0" b="0"/>
            <wp:docPr id="3" name="reg-fiche" descr="Fiche de l'opérateur AFRICA TRADING SARL" title="Figure 3 — Fiche de l'opérateur AFRICA TRADING SA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7A98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 — Fiche de l'opérateur AFRICA TRADING SARL</w:t>
      </w:r>
    </w:p>
    <w:p w14:paraId="3F1B05CA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Fiche</w:t>
      </w:r>
      <w:r>
        <w:t xml:space="preserve"> : modifi</w:t>
      </w:r>
      <w:r>
        <w:t xml:space="preserve">cation des données et du </w:t>
      </w:r>
      <w:r>
        <w:rPr>
          <w:b/>
          <w:bCs/>
        </w:rPr>
        <w:t>Statut</w:t>
      </w:r>
      <w:r>
        <w:t xml:space="preserve"> (Actif / Suspendu), avec motif obligatoire.</w:t>
      </w:r>
    </w:p>
    <w:p w14:paraId="0AB9F7DE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Pièces (n)</w:t>
      </w:r>
      <w:r>
        <w:t xml:space="preserve"> : pièces d'enrôlement (patente, RCCM, NIU, CNI, CNPS…) reprises automatiquement dans les demandes (origine « registre des opérateurs »).</w:t>
      </w:r>
    </w:p>
    <w:p w14:paraId="1B66BF31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Comptes rattachés</w:t>
      </w:r>
      <w:r>
        <w:t xml:space="preserve"> : comptes SSO </w:t>
      </w:r>
      <w:r>
        <w:t>autorisés à déposer pour l'opérateur.</w:t>
      </w:r>
    </w:p>
    <w:p w14:paraId="4FC16F7A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Historique</w:t>
      </w:r>
      <w:r>
        <w:t xml:space="preserve"> : chaque modification, son auteur et son motif.</w:t>
      </w:r>
    </w:p>
    <w:p w14:paraId="4ADE6965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3FFEACA" wp14:editId="2BDF0127">
            <wp:extent cx="5905500" cy="3038475"/>
            <wp:effectExtent l="0" t="0" r="0" b="0"/>
            <wp:docPr id="4" name="reg-comptes" descr="Comptes rattachés : le CDA test.cda mandataire" title="Figure 4 — Comptes rattachés : le CDA test.cda mandat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2BDF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— Comptes rattachés : le CDA test.cda mandataire</w:t>
      </w:r>
    </w:p>
    <w:p w14:paraId="7065DE3A" w14:textId="77777777" w:rsidR="007270C5" w:rsidRDefault="003126F4">
      <w:pPr>
        <w:pStyle w:val="Paragraphedeliste"/>
        <w:numPr>
          <w:ilvl w:val="0"/>
          <w:numId w:val="6"/>
        </w:numPr>
        <w:spacing w:after="60" w:line="264" w:lineRule="auto"/>
      </w:pPr>
      <w:r>
        <w:lastRenderedPageBreak/>
        <w:t xml:space="preserve">Onglet </w:t>
      </w:r>
      <w:r>
        <w:rPr>
          <w:b/>
          <w:bCs/>
        </w:rPr>
        <w:t>Comptes rattachés</w:t>
      </w:r>
      <w:r>
        <w:t>, saisissez l'</w:t>
      </w:r>
      <w:r>
        <w:rPr>
          <w:b/>
          <w:bCs/>
        </w:rPr>
        <w:t>identifiant SSO</w:t>
      </w:r>
      <w:r>
        <w:t xml:space="preserve"> du compte.</w:t>
      </w:r>
    </w:p>
    <w:p w14:paraId="0F0B5D92" w14:textId="77777777" w:rsidR="007270C5" w:rsidRDefault="003126F4">
      <w:pPr>
        <w:pStyle w:val="Paragraphedeliste"/>
        <w:numPr>
          <w:ilvl w:val="0"/>
          <w:numId w:val="6"/>
        </w:numPr>
        <w:spacing w:after="60" w:line="264" w:lineRule="auto"/>
      </w:pPr>
      <w:r>
        <w:t xml:space="preserve">Choisissez la relation : </w:t>
      </w:r>
      <w:r>
        <w:rPr>
          <w:b/>
          <w:bCs/>
        </w:rPr>
        <w:t>Titulaire</w:t>
      </w:r>
      <w:r>
        <w:t xml:space="preserve"> (l'opérateur lui-même) ou </w:t>
      </w:r>
      <w:r>
        <w:rPr>
          <w:b/>
          <w:bCs/>
        </w:rPr>
        <w:t>Mandataire (CDA)</w:t>
      </w:r>
      <w:r>
        <w:t>.</w:t>
      </w:r>
    </w:p>
    <w:p w14:paraId="42115F50" w14:textId="77777777" w:rsidR="007270C5" w:rsidRDefault="003126F4">
      <w:pPr>
        <w:pStyle w:val="Paragraphedeliste"/>
        <w:numPr>
          <w:ilvl w:val="0"/>
          <w:numId w:val="6"/>
        </w:numPr>
        <w:spacing w:after="60" w:line="264" w:lineRule="auto"/>
      </w:pPr>
      <w:r>
        <w:rPr>
          <w:b/>
          <w:bCs/>
        </w:rPr>
        <w:t>Rattacher</w:t>
      </w:r>
      <w:r>
        <w:t xml:space="preserve">. La case </w:t>
      </w:r>
      <w:r>
        <w:rPr>
          <w:b/>
          <w:bCs/>
        </w:rPr>
        <w:t>ACTIF</w:t>
      </w:r>
      <w:r>
        <w:t xml:space="preserve"> permet de suspendre le rattachement.</w:t>
      </w:r>
    </w:p>
    <w:p w14:paraId="2F825F86" w14:textId="77777777" w:rsidR="007270C5" w:rsidRDefault="003126F4">
      <w:pPr>
        <w:pStyle w:val="Titre1"/>
        <w:pageBreakBefore/>
      </w:pPr>
      <w:bookmarkStart w:id="15" w:name="_Toc243080418"/>
      <w:r>
        <w:lastRenderedPageBreak/>
        <w:t>4. Référentiel Commun</w:t>
      </w:r>
      <w:bookmarkEnd w:id="15"/>
    </w:p>
    <w:p w14:paraId="37975AE4" w14:textId="77777777" w:rsidR="007270C5" w:rsidRDefault="003126F4">
      <w:pPr>
        <w:pStyle w:val="Titre2"/>
      </w:pPr>
      <w:bookmarkStart w:id="16" w:name="_Toc243080419"/>
      <w:r>
        <w:t>4.1 Catalogue</w:t>
      </w:r>
      <w:bookmarkEnd w:id="16"/>
    </w:p>
    <w:p w14:paraId="4486B40B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53C10BB" wp14:editId="0C5AAE6D">
            <wp:extent cx="5905500" cy="3038475"/>
            <wp:effectExtent l="0" t="0" r="0" b="0"/>
            <wp:docPr id="5" name="ref-catalogue" descr="Catalogue des tables de référence" title="Figure 5 — Catalogue des tables de réfé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F451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 — Catalogue des tables de référence</w:t>
      </w:r>
    </w:p>
    <w:p w14:paraId="256ABDF7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119 tables </w:t>
      </w:r>
      <w:r>
        <w:rPr>
          <w:rFonts w:ascii="Consolas" w:eastAsia="Consolas" w:hAnsi="Consolas" w:cs="Consolas"/>
          <w:color w:val="7A2E0E"/>
          <w:sz w:val="19"/>
          <w:szCs w:val="19"/>
        </w:rPr>
        <w:t>REF_*</w:t>
      </w:r>
      <w:r>
        <w:t xml:space="preserve"> réparties par catégorie (standards internationaux, normes régionales CEMAC, tables nationales, domaines d'activité) ; filtres par source, par flux </w:t>
      </w:r>
      <w:r>
        <w:rPr>
          <w:b/>
          <w:bCs/>
        </w:rPr>
        <w:t>BUY / SHIP / PAY</w:t>
      </w:r>
      <w:r>
        <w:t xml:space="preserve"> et par contenu ; vue cartes ou tableau.</w:t>
      </w:r>
    </w:p>
    <w:p w14:paraId="0B066DFF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>Chaque carte : code, libellé, norme de référence, s</w:t>
      </w:r>
      <w:r>
        <w:t>core de complétude ISO 19115, nombre de codes ou « À alimenter », contenu simple ou complexe, pastilles B / S / P (flux concernés).</w:t>
      </w:r>
    </w:p>
    <w:p w14:paraId="10B68B22" w14:textId="77777777" w:rsidR="007270C5" w:rsidRDefault="003126F4">
      <w:pPr>
        <w:pStyle w:val="Titre2"/>
      </w:pPr>
      <w:bookmarkStart w:id="17" w:name="_Toc243080420"/>
      <w:r>
        <w:t>4.2 Une table</w:t>
      </w:r>
      <w:bookmarkEnd w:id="17"/>
    </w:p>
    <w:p w14:paraId="4604535E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DE252EF" wp14:editId="3E944B4E">
            <wp:extent cx="5905500" cy="3038475"/>
            <wp:effectExtent l="0" t="0" r="0" b="0"/>
            <wp:docPr id="6" name="ref-table" descr="Table REF_COUNTRY : données" title="Figure 6 — Table REF_COUNTRY :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9F2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 — Table REF_COUNTRY : données</w:t>
      </w:r>
    </w:p>
    <w:p w14:paraId="0DF8F8DE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lastRenderedPageBreak/>
        <w:t xml:space="preserve">Onglets </w:t>
      </w:r>
      <w:r>
        <w:rPr>
          <w:b/>
          <w:bCs/>
        </w:rPr>
        <w:t>Données</w:t>
      </w:r>
      <w:r>
        <w:t xml:space="preserve">, </w:t>
      </w:r>
      <w:r>
        <w:rPr>
          <w:b/>
          <w:bCs/>
        </w:rPr>
        <w:t>Structure</w:t>
      </w:r>
      <w:r>
        <w:t xml:space="preserve"> (colonnes et types), </w:t>
      </w:r>
      <w:r>
        <w:rPr>
          <w:b/>
          <w:bCs/>
        </w:rPr>
        <w:t>Métadonnées ISO 19115</w:t>
      </w:r>
      <w:r>
        <w:t xml:space="preserve">, </w:t>
      </w:r>
      <w:r>
        <w:rPr>
          <w:b/>
          <w:bCs/>
        </w:rPr>
        <w:t>Historique</w:t>
      </w:r>
      <w:r>
        <w:t xml:space="preserve">, </w:t>
      </w:r>
      <w:r>
        <w:rPr>
          <w:b/>
          <w:bCs/>
        </w:rPr>
        <w:t>Import / export</w:t>
      </w:r>
      <w:r>
        <w:t xml:space="preserve">, </w:t>
      </w:r>
      <w:r>
        <w:rPr>
          <w:b/>
          <w:bCs/>
        </w:rPr>
        <w:t>API &amp; SQL</w:t>
      </w:r>
      <w:r>
        <w:t>.</w:t>
      </w:r>
    </w:p>
    <w:p w14:paraId="237008DC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Données</w:t>
      </w:r>
      <w:r>
        <w:t xml:space="preserve"> : recherche sans accents, filtres </w:t>
      </w:r>
      <w:r>
        <w:rPr>
          <w:b/>
          <w:bCs/>
        </w:rPr>
        <w:t>Tous / Actifs / Invalidés</w:t>
      </w:r>
      <w:r>
        <w:t xml:space="preserve">, </w:t>
      </w:r>
      <w:r>
        <w:rPr>
          <w:b/>
          <w:bCs/>
        </w:rPr>
        <w:t>Valide au</w:t>
      </w:r>
      <w:r>
        <w:t xml:space="preserve"> (date), </w:t>
      </w:r>
      <w:r>
        <w:rPr>
          <w:b/>
          <w:bCs/>
        </w:rPr>
        <w:t>+ Nouveau code</w:t>
      </w:r>
      <w:r>
        <w:t xml:space="preserve"> ; pagination.</w:t>
      </w:r>
    </w:p>
    <w:p w14:paraId="1C1099D8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>Un code ne se supprime pas : on l'</w:t>
      </w:r>
      <w:r>
        <w:rPr>
          <w:b/>
          <w:bCs/>
        </w:rPr>
        <w:t>invalide</w:t>
      </w:r>
      <w:r>
        <w:t xml:space="preserve"> (avec une période de validité), pour garder l'historiqu</w:t>
      </w:r>
      <w:r>
        <w:t>e des dossiers.</w:t>
      </w:r>
    </w:p>
    <w:p w14:paraId="43EAB69B" w14:textId="77777777" w:rsidR="007270C5" w:rsidRDefault="003126F4">
      <w:pPr>
        <w:pStyle w:val="Titre2"/>
      </w:pPr>
      <w:bookmarkStart w:id="18" w:name="_Toc243080421"/>
      <w:r>
        <w:t>4.3 Charger des codes</w:t>
      </w:r>
      <w:bookmarkEnd w:id="18"/>
    </w:p>
    <w:p w14:paraId="1E6C288F" w14:textId="77777777" w:rsidR="007270C5" w:rsidRDefault="003126F4">
      <w:pPr>
        <w:pStyle w:val="Paragraphedeliste"/>
        <w:numPr>
          <w:ilvl w:val="0"/>
          <w:numId w:val="7"/>
        </w:numPr>
        <w:spacing w:after="60" w:line="264" w:lineRule="auto"/>
      </w:pPr>
      <w:r>
        <w:t xml:space="preserve">Onglet </w:t>
      </w:r>
      <w:r>
        <w:rPr>
          <w:b/>
          <w:bCs/>
        </w:rPr>
        <w:t>Import / export</w:t>
      </w:r>
      <w:r>
        <w:t xml:space="preserve"> de la table : déposez un fichier CSV, JSON ou Excel.</w:t>
      </w:r>
    </w:p>
    <w:p w14:paraId="365CBE08" w14:textId="77777777" w:rsidR="007270C5" w:rsidRDefault="003126F4">
      <w:pPr>
        <w:pStyle w:val="Paragraphedeliste"/>
        <w:numPr>
          <w:ilvl w:val="0"/>
          <w:numId w:val="7"/>
        </w:numPr>
        <w:spacing w:after="60" w:line="264" w:lineRule="auto"/>
      </w:pPr>
      <w:r>
        <w:t xml:space="preserve">Lancez la </w:t>
      </w:r>
      <w:r>
        <w:rPr>
          <w:b/>
          <w:bCs/>
        </w:rPr>
        <w:t>simulation</w:t>
      </w:r>
      <w:r>
        <w:t xml:space="preserve"> : lignes créées, modifiées, invalidées, rejetées.</w:t>
      </w:r>
    </w:p>
    <w:p w14:paraId="1EF308B5" w14:textId="77777777" w:rsidR="007270C5" w:rsidRDefault="003126F4">
      <w:pPr>
        <w:pStyle w:val="Paragraphedeliste"/>
        <w:numPr>
          <w:ilvl w:val="0"/>
          <w:numId w:val="7"/>
        </w:numPr>
        <w:spacing w:after="60" w:line="264" w:lineRule="auto"/>
      </w:pPr>
      <w:r>
        <w:t xml:space="preserve">Choisissez </w:t>
      </w:r>
      <w:r>
        <w:rPr>
          <w:b/>
          <w:bCs/>
        </w:rPr>
        <w:t>fusion</w:t>
      </w:r>
      <w:r>
        <w:t xml:space="preserve"> ou </w:t>
      </w:r>
      <w:r>
        <w:rPr>
          <w:b/>
          <w:bCs/>
        </w:rPr>
        <w:t>remplacement</w:t>
      </w:r>
      <w:r>
        <w:t>, puis validez.</w:t>
      </w:r>
    </w:p>
    <w:p w14:paraId="6CA1CC63" w14:textId="77777777" w:rsidR="007270C5" w:rsidRDefault="003126F4">
      <w:pPr>
        <w:pStyle w:val="Paragraphedeliste"/>
        <w:numPr>
          <w:ilvl w:val="0"/>
          <w:numId w:val="7"/>
        </w:numPr>
        <w:spacing w:after="60" w:line="264" w:lineRule="auto"/>
      </w:pPr>
      <w:r>
        <w:t xml:space="preserve">Le </w:t>
      </w:r>
      <w:r>
        <w:rPr>
          <w:b/>
          <w:bCs/>
        </w:rPr>
        <w:t>Journal des chargem</w:t>
      </w:r>
      <w:r>
        <w:rPr>
          <w:b/>
          <w:bCs/>
        </w:rPr>
        <w:t>ents</w:t>
      </w:r>
      <w:r>
        <w:t xml:space="preserve"> garde la trace (lot, table, fichier, mode, lignes).</w:t>
      </w:r>
    </w:p>
    <w:p w14:paraId="162ADA7E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A19B6D1" wp14:editId="278754B5">
            <wp:extent cx="5905500" cy="3038475"/>
            <wp:effectExtent l="0" t="0" r="0" b="0"/>
            <wp:docPr id="7" name="ref-chargements" descr="Journal des chargements" title="Figure 7 — Journal des charg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D63D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7 — Journal des chargements</w:t>
      </w:r>
    </w:p>
    <w:p w14:paraId="58839A0E" w14:textId="77777777" w:rsidR="007270C5" w:rsidRDefault="003126F4">
      <w:pPr>
        <w:pStyle w:val="Titre2"/>
      </w:pPr>
      <w:bookmarkStart w:id="19" w:name="_Toc243080422"/>
      <w:r>
        <w:lastRenderedPageBreak/>
        <w:t>4.4 Créer une table</w:t>
      </w:r>
      <w:bookmarkEnd w:id="19"/>
    </w:p>
    <w:p w14:paraId="4BB9F842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DC962FF" wp14:editId="01E78FCE">
            <wp:extent cx="5905500" cy="3038475"/>
            <wp:effectExtent l="0" t="0" r="0" b="0"/>
            <wp:docPr id="8" name="ref-nouvelle" descr="Nouvelle table de référence : assistant en quatre étapes" title="Figure 8 — Nouvelle table de référence : assistant en quatre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C867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 — Nouvelle table de référence : assistant en quatre étapes</w:t>
      </w:r>
    </w:p>
    <w:p w14:paraId="1995FBC0" w14:textId="77777777" w:rsidR="007270C5" w:rsidRDefault="003126F4">
      <w:pPr>
        <w:spacing w:after="120" w:line="276" w:lineRule="auto"/>
        <w:jc w:val="both"/>
      </w:pPr>
      <w:r>
        <w:t>Assistant en quatre étapes (</w:t>
      </w:r>
      <w:r>
        <w:rPr>
          <w:b/>
          <w:bCs/>
        </w:rPr>
        <w:t>Point de départ</w:t>
      </w:r>
      <w:r>
        <w:t xml:space="preserve">, </w:t>
      </w:r>
      <w:r>
        <w:rPr>
          <w:b/>
          <w:bCs/>
        </w:rPr>
        <w:t>Identité</w:t>
      </w:r>
      <w:r>
        <w:t xml:space="preserve">, </w:t>
      </w:r>
      <w:r>
        <w:rPr>
          <w:b/>
          <w:bCs/>
        </w:rPr>
        <w:t>Structure</w:t>
      </w:r>
      <w:r>
        <w:t xml:space="preserve">, </w:t>
      </w:r>
      <w:r>
        <w:rPr>
          <w:b/>
          <w:bCs/>
        </w:rPr>
        <w:t>Création</w:t>
      </w:r>
      <w:r>
        <w:t xml:space="preserve">) : </w:t>
      </w:r>
      <w:r>
        <w:rPr>
          <w:b/>
          <w:bCs/>
        </w:rPr>
        <w:t>Partir de zéro</w:t>
      </w:r>
      <w:r>
        <w:t xml:space="preserve"> ou </w:t>
      </w:r>
      <w:r>
        <w:rPr>
          <w:b/>
          <w:bCs/>
        </w:rPr>
        <w:t>À partir d'un fichier</w:t>
      </w:r>
      <w:r>
        <w:t xml:space="preserve"> (NEXORA propose la structure et détecte les colonnes qui référencent une table existante). La table est créée à chaud : structure, fiche ISO 19115, table physique et historique, sans redéploiem</w:t>
      </w:r>
      <w:r>
        <w:t>ent.</w:t>
      </w:r>
    </w:p>
    <w:p w14:paraId="29E7B08B" w14:textId="77777777" w:rsidR="007270C5" w:rsidRDefault="003126F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Pour le VTP, vérifiez que les listes </w:t>
      </w:r>
      <w:r>
        <w:rPr>
          <w:rFonts w:ascii="Consolas" w:eastAsia="Consolas" w:hAnsi="Consolas" w:cs="Consolas"/>
          <w:color w:val="7A2E0E"/>
          <w:sz w:val="19"/>
          <w:szCs w:val="19"/>
        </w:rPr>
        <w:t>REF_AMM</w:t>
      </w:r>
      <w:r>
        <w:t xml:space="preserve"> (autorisations de mise sur le marché), </w:t>
      </w:r>
      <w:r>
        <w:rPr>
          <w:rFonts w:ascii="Consolas" w:eastAsia="Consolas" w:hAnsi="Consolas" w:cs="Consolas"/>
          <w:color w:val="7A2E0E"/>
          <w:sz w:val="19"/>
          <w:szCs w:val="19"/>
        </w:rPr>
        <w:t>REF_UNIT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REF_BANK</w:t>
      </w:r>
      <w:r>
        <w:t xml:space="preserve"> sont alimentées : sur la plate-forme de recette, plusieurs listes projetées étaient vides (0 code). Après toute mise à jour, rafraîchi</w:t>
      </w:r>
      <w:r>
        <w:t>ssez la projection dans e-Services (§ 5.4).</w:t>
      </w:r>
    </w:p>
    <w:p w14:paraId="386C9C63" w14:textId="77777777" w:rsidR="007270C5" w:rsidRDefault="003126F4">
      <w:pPr>
        <w:pStyle w:val="Titre1"/>
        <w:pageBreakBefore/>
      </w:pPr>
      <w:bookmarkStart w:id="20" w:name="_Toc243080423"/>
      <w:r>
        <w:lastRenderedPageBreak/>
        <w:t>5. Administration d'e-Services</w:t>
      </w:r>
      <w:bookmarkEnd w:id="20"/>
    </w:p>
    <w:p w14:paraId="39B85E47" w14:textId="77777777" w:rsidR="007270C5" w:rsidRDefault="003126F4">
      <w:pPr>
        <w:spacing w:after="120" w:line="276" w:lineRule="auto"/>
        <w:jc w:val="both"/>
      </w:pPr>
      <w:r>
        <w:t xml:space="preserve">Menu </w:t>
      </w:r>
      <w:r>
        <w:rPr>
          <w:b/>
          <w:bCs/>
        </w:rPr>
        <w:t>ADMINISTRATION › Procédures et cotation</w:t>
      </w:r>
      <w:r>
        <w:t xml:space="preserve"> d'e-Services. « Le Runtime n'exécute que des procédures publiées et approuvées dans le studio : le paquet est vérifié par son empreinte </w:t>
      </w:r>
      <w:r>
        <w:t>avant déploiement. »</w:t>
      </w:r>
    </w:p>
    <w:p w14:paraId="71059B3D" w14:textId="77777777" w:rsidR="007270C5" w:rsidRDefault="003126F4">
      <w:pPr>
        <w:pStyle w:val="Titre2"/>
      </w:pPr>
      <w:bookmarkStart w:id="21" w:name="_Toc243080424"/>
      <w:r>
        <w:t>5.1 Procédures : déployer une version</w:t>
      </w:r>
      <w:bookmarkEnd w:id="21"/>
    </w:p>
    <w:p w14:paraId="7F215E01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B848A09" wp14:editId="16B03798">
            <wp:extent cx="5905500" cy="3038475"/>
            <wp:effectExtent l="0" t="0" r="0" b="0"/>
            <wp:docPr id="9" name="adm-procedures" descr="Procédures publiées dans le studio et état de déploiement" title="Figure 9 — Procédures publiées dans le studio et état de déploi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4D77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 — Procédures publiées dans le studio et état de déploiement</w:t>
      </w:r>
    </w:p>
    <w:p w14:paraId="7848A6DE" w14:textId="77777777" w:rsidR="007270C5" w:rsidRDefault="003126F4">
      <w:pPr>
        <w:pStyle w:val="Paragraphedeliste"/>
        <w:numPr>
          <w:ilvl w:val="0"/>
          <w:numId w:val="8"/>
        </w:numPr>
        <w:spacing w:after="60" w:line="264" w:lineRule="auto"/>
      </w:pPr>
      <w:r>
        <w:t xml:space="preserve">Le tableau </w:t>
      </w:r>
      <w:r>
        <w:rPr>
          <w:b/>
          <w:bCs/>
        </w:rPr>
        <w:t>Procédures publiées dans le studio</w:t>
      </w:r>
      <w:r>
        <w:t xml:space="preserve"> liste chaque procédure, sa </w:t>
      </w:r>
      <w:r>
        <w:rPr>
          <w:b/>
          <w:bCs/>
        </w:rPr>
        <w:t>version publiée</w:t>
      </w:r>
      <w:r>
        <w:t xml:space="preserve"> (date, approbateur) et son état </w:t>
      </w:r>
      <w:r>
        <w:rPr>
          <w:b/>
          <w:bCs/>
        </w:rPr>
        <w:t>DÉPLO</w:t>
      </w:r>
      <w:r>
        <w:rPr>
          <w:b/>
          <w:bCs/>
        </w:rPr>
        <w:t>YÉE</w:t>
      </w:r>
      <w:r>
        <w:t xml:space="preserve"> (« v1 à jour », ou version à déployer).</w:t>
      </w:r>
    </w:p>
    <w:p w14:paraId="16368E48" w14:textId="77777777" w:rsidR="007270C5" w:rsidRDefault="003126F4">
      <w:pPr>
        <w:pStyle w:val="Paragraphedeliste"/>
        <w:numPr>
          <w:ilvl w:val="0"/>
          <w:numId w:val="8"/>
        </w:numPr>
        <w:spacing w:after="60" w:line="264" w:lineRule="auto"/>
      </w:pPr>
      <w:r>
        <w:t xml:space="preserve">Pour le VTP publié : cliquez sur </w:t>
      </w:r>
      <w:r>
        <w:rPr>
          <w:b/>
          <w:bCs/>
        </w:rPr>
        <w:t>Déployer</w:t>
      </w:r>
      <w:r>
        <w:t xml:space="preserve"> en face de la version.</w:t>
      </w:r>
    </w:p>
    <w:p w14:paraId="45FD2EE8" w14:textId="77777777" w:rsidR="007270C5" w:rsidRDefault="003126F4">
      <w:pPr>
        <w:pStyle w:val="Paragraphedeliste"/>
        <w:numPr>
          <w:ilvl w:val="0"/>
          <w:numId w:val="8"/>
        </w:numPr>
        <w:spacing w:after="60" w:line="264" w:lineRule="auto"/>
      </w:pPr>
      <w:r>
        <w:t>Le Runtime vérifie l'empreinte SHA-256 du paquet, compile les règles DRL, déploie le workflow dans le moteur Operaton, crée les vues métier et char</w:t>
      </w:r>
      <w:r>
        <w:t>ge les listes de codes.</w:t>
      </w:r>
    </w:p>
    <w:p w14:paraId="1CFD5074" w14:textId="77777777" w:rsidR="007270C5" w:rsidRDefault="003126F4">
      <w:pPr>
        <w:pStyle w:val="Paragraphedeliste"/>
        <w:numPr>
          <w:ilvl w:val="0"/>
          <w:numId w:val="8"/>
        </w:numPr>
        <w:spacing w:after="60" w:line="264" w:lineRule="auto"/>
      </w:pPr>
      <w:r>
        <w:t xml:space="preserve">Le tableau </w:t>
      </w:r>
      <w:r>
        <w:rPr>
          <w:b/>
          <w:bCs/>
        </w:rPr>
        <w:t>Déploiements</w:t>
      </w:r>
      <w:r>
        <w:t xml:space="preserve"> montre la définition Operaton (ex. </w:t>
      </w:r>
      <w:r>
        <w:rPr>
          <w:rFonts w:ascii="Consolas" w:eastAsia="Consolas" w:hAnsi="Consolas" w:cs="Consolas"/>
          <w:color w:val="7A2E0E"/>
          <w:sz w:val="19"/>
          <w:szCs w:val="19"/>
        </w:rPr>
        <w:t>vtp:1:…</w:t>
      </w:r>
      <w:r>
        <w:t>), la date, l'auteur et l'état (</w:t>
      </w:r>
      <w:r>
        <w:rPr>
          <w:b/>
          <w:bCs/>
        </w:rPr>
        <w:t>active</w:t>
      </w:r>
      <w:r>
        <w:t xml:space="preserve">, </w:t>
      </w:r>
      <w:r>
        <w:rPr>
          <w:b/>
          <w:bCs/>
        </w:rPr>
        <w:t>remplacée</w:t>
      </w:r>
      <w:r>
        <w:t>).</w:t>
      </w:r>
    </w:p>
    <w:p w14:paraId="3D042145" w14:textId="77777777" w:rsidR="007270C5" w:rsidRDefault="003126F4">
      <w:pPr>
        <w:pBdr>
          <w:left w:val="single" w:sz="18" w:space="8" w:color="1F4E79"/>
        </w:pBdr>
        <w:shd w:val="clear" w:color="auto" w:fill="EAF2FB"/>
        <w:spacing w:before="80" w:after="160" w:line="264" w:lineRule="auto"/>
        <w:ind w:left="120" w:right="120"/>
      </w:pPr>
      <w:r>
        <w:rPr>
          <w:b/>
          <w:bCs/>
          <w:color w:val="1F4E79"/>
        </w:rPr>
        <w:t xml:space="preserve">Résultat attendu — </w:t>
      </w:r>
      <w:r>
        <w:t xml:space="preserve">La procédure apparaît dans </w:t>
      </w:r>
      <w:r>
        <w:rPr>
          <w:b/>
          <w:bCs/>
        </w:rPr>
        <w:t>Nouvelle demande</w:t>
      </w:r>
      <w:r>
        <w:t xml:space="preserve"> et dans les procédures disponibles de l'accueil. Le</w:t>
      </w:r>
      <w:r>
        <w:t>s nouveaux dossiers suivent la version déployée ; les dossiers en cours gardent la leur.</w:t>
      </w:r>
    </w:p>
    <w:p w14:paraId="627D3792" w14:textId="77777777" w:rsidR="007270C5" w:rsidRDefault="003126F4">
      <w:pPr>
        <w:pStyle w:val="Titre2"/>
      </w:pPr>
      <w:bookmarkStart w:id="22" w:name="_Toc243080425"/>
      <w:r>
        <w:lastRenderedPageBreak/>
        <w:t>5.2 Formulaires générés</w:t>
      </w:r>
      <w:bookmarkEnd w:id="22"/>
    </w:p>
    <w:p w14:paraId="78C9BE44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1516ECE" wp14:editId="2C148B3C">
            <wp:extent cx="5905500" cy="3038475"/>
            <wp:effectExtent l="0" t="0" r="0" b="0"/>
            <wp:docPr id="10" name="adm-formulaires" descr="Formulaires en code Angular généré" title="Figure 10 — Formulaires en code Angular génér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3BEC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10 — Formulaires en code Angular généré</w:t>
      </w:r>
    </w:p>
    <w:p w14:paraId="6E28CB70" w14:textId="77777777" w:rsidR="007270C5" w:rsidRDefault="003126F4">
      <w:pPr>
        <w:pStyle w:val="Paragraphedeliste"/>
        <w:numPr>
          <w:ilvl w:val="0"/>
          <w:numId w:val="9"/>
        </w:numPr>
        <w:spacing w:after="60" w:line="264" w:lineRule="auto"/>
      </w:pPr>
      <w:r>
        <w:t xml:space="preserve">Dans le studio, un administrateur choisit pour une procédure le rendu </w:t>
      </w:r>
      <w:r>
        <w:rPr>
          <w:b/>
          <w:bCs/>
        </w:rPr>
        <w:t>Code Angular généré</w:t>
      </w:r>
      <w:r>
        <w:t xml:space="preserve"> (onglet Formulaire et données).</w:t>
      </w:r>
    </w:p>
    <w:p w14:paraId="2E116786" w14:textId="77777777" w:rsidR="007270C5" w:rsidRDefault="003126F4">
      <w:pPr>
        <w:pStyle w:val="Paragraphedeliste"/>
        <w:numPr>
          <w:ilvl w:val="0"/>
          <w:numId w:val="9"/>
        </w:numPr>
        <w:spacing w:after="60" w:line="264" w:lineRule="auto"/>
      </w:pPr>
      <w:r>
        <w:t xml:space="preserve">Ici, la colonne </w:t>
      </w:r>
      <w:r>
        <w:rPr>
          <w:b/>
          <w:bCs/>
        </w:rPr>
        <w:t>RENDU DEMANDÉ</w:t>
      </w:r>
      <w:r>
        <w:t xml:space="preserve"> passe à « Code généré » ; cliquez sur </w:t>
      </w:r>
      <w:r>
        <w:rPr>
          <w:b/>
          <w:bCs/>
        </w:rPr>
        <w:t>Préparer le code généré</w:t>
      </w:r>
      <w:r>
        <w:t xml:space="preserve"> : le code est récupéré du studio et écrit dans le dossier des sources (</w:t>
      </w:r>
      <w:r>
        <w:rPr>
          <w:rFonts w:ascii="Consolas" w:eastAsia="Consolas" w:hAnsi="Consolas" w:cs="Consolas"/>
          <w:color w:val="7A2E0E"/>
          <w:sz w:val="19"/>
          <w:szCs w:val="19"/>
        </w:rPr>
        <w:t>eservices/frontend/src/app/formulaires-generes</w:t>
      </w:r>
      <w:r>
        <w:t>).</w:t>
      </w:r>
    </w:p>
    <w:p w14:paraId="6CBD3F71" w14:textId="77777777" w:rsidR="007270C5" w:rsidRDefault="003126F4">
      <w:pPr>
        <w:pStyle w:val="Paragraphedeliste"/>
        <w:numPr>
          <w:ilvl w:val="0"/>
          <w:numId w:val="9"/>
        </w:numPr>
        <w:spacing w:after="60" w:line="264" w:lineRule="auto"/>
      </w:pPr>
      <w:r>
        <w:t xml:space="preserve">Reconstruisez puis redéployez e-Services ; la colonne </w:t>
      </w:r>
      <w:r>
        <w:rPr>
          <w:b/>
          <w:bCs/>
        </w:rPr>
        <w:t>COMPILÉ DANS CETTE VERSION D'E-SERVICES</w:t>
      </w:r>
      <w:r>
        <w:t xml:space="preserve"> le confirme.</w:t>
      </w:r>
    </w:p>
    <w:p w14:paraId="3337C1FF" w14:textId="77777777" w:rsidR="007270C5" w:rsidRDefault="003126F4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 xml:space="preserve">Tant que le composant d'une </w:t>
      </w:r>
      <w:r>
        <w:rPr>
          <w:i/>
          <w:iCs/>
          <w:color w:val="595959"/>
        </w:rPr>
        <w:t>version n'est pas compilé, le rendu dynamique est utilisé : aucune interruption de service.</w:t>
      </w:r>
    </w:p>
    <w:p w14:paraId="7D1A157F" w14:textId="77777777" w:rsidR="007270C5" w:rsidRDefault="003126F4">
      <w:pPr>
        <w:pStyle w:val="Titre2"/>
      </w:pPr>
      <w:bookmarkStart w:id="23" w:name="_Toc243080426"/>
      <w:r>
        <w:t>5.3 Cotation : lieux, unités et agents</w:t>
      </w:r>
      <w:bookmarkEnd w:id="23"/>
    </w:p>
    <w:p w14:paraId="6CB79C60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B2E51B2" wp14:editId="2B00D0ED">
            <wp:extent cx="5905500" cy="3038475"/>
            <wp:effectExtent l="0" t="0" r="0" b="0"/>
            <wp:docPr id="11" name="adm-cotation" descr="Cotation : lieux de traitement, unités et agents" title="Figure 11 — Cotation : lieux de traitement, unités et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6CD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11 — Cotation : lieux de traitement, unités et agents</w:t>
      </w:r>
    </w:p>
    <w:p w14:paraId="4F66EDEA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lastRenderedPageBreak/>
        <w:t>Lieux de traitement</w:t>
      </w:r>
      <w:r>
        <w:t xml:space="preserve"> : chaque lieu proposé dans le formulaire (</w:t>
      </w:r>
      <w:r>
        <w:t xml:space="preserve">administration centrale et 10 régions) est rattaché à une </w:t>
      </w:r>
      <w:r>
        <w:rPr>
          <w:b/>
          <w:bCs/>
        </w:rPr>
        <w:t>UNITÉ</w:t>
      </w:r>
      <w:r>
        <w:t xml:space="preserve"> ; la colonne </w:t>
      </w:r>
      <w:r>
        <w:rPr>
          <w:b/>
          <w:bCs/>
        </w:rPr>
        <w:t>AGENTS</w:t>
      </w:r>
      <w:r>
        <w:t xml:space="preserve"> indique agents / signataires actifs ; case </w:t>
      </w:r>
      <w:r>
        <w:rPr>
          <w:b/>
          <w:bCs/>
        </w:rPr>
        <w:t>ACTIF</w:t>
      </w:r>
      <w:r>
        <w:t>.</w:t>
      </w:r>
    </w:p>
    <w:p w14:paraId="3AC202E0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b/>
          <w:bCs/>
        </w:rPr>
        <w:t>Unités et agents</w:t>
      </w:r>
      <w:r>
        <w:t xml:space="preserve"> : choisissez l'</w:t>
      </w:r>
      <w:r>
        <w:rPr>
          <w:b/>
          <w:bCs/>
        </w:rPr>
        <w:t>Unité</w:t>
      </w:r>
      <w:r>
        <w:t>, saisissez l'</w:t>
      </w:r>
      <w:r>
        <w:rPr>
          <w:b/>
          <w:bCs/>
        </w:rPr>
        <w:t>Identifiant (compte SSO)</w:t>
      </w:r>
      <w:r>
        <w:t xml:space="preserve">, le </w:t>
      </w:r>
      <w:r>
        <w:rPr>
          <w:b/>
          <w:bCs/>
        </w:rPr>
        <w:t>Nom complet</w:t>
      </w:r>
      <w:r>
        <w:t xml:space="preserve">, le </w:t>
      </w:r>
      <w:r>
        <w:rPr>
          <w:b/>
          <w:bCs/>
        </w:rPr>
        <w:t>Rôle</w:t>
      </w:r>
      <w:r>
        <w:t xml:space="preserve"> (</w:t>
      </w:r>
      <w:r>
        <w:rPr>
          <w:b/>
          <w:bCs/>
        </w:rPr>
        <w:t>Agent de traitement</w:t>
      </w:r>
      <w:r>
        <w:t xml:space="preserve"> </w:t>
      </w:r>
      <w:r>
        <w:t xml:space="preserve">ou </w:t>
      </w:r>
      <w:r>
        <w:rPr>
          <w:b/>
          <w:bCs/>
        </w:rPr>
        <w:t>Signataire</w:t>
      </w:r>
      <w:r>
        <w:t xml:space="preserve">), puis </w:t>
      </w:r>
      <w:r>
        <w:rPr>
          <w:b/>
          <w:bCs/>
        </w:rPr>
        <w:t>+ Rattacher</w:t>
      </w:r>
      <w:r>
        <w:t>.</w:t>
      </w:r>
    </w:p>
    <w:p w14:paraId="3FF50F2F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Sous chaque unité : ses membres, leur charge (« n dossier(s) actif(s) ») et leur case </w:t>
      </w:r>
      <w:r>
        <w:rPr>
          <w:b/>
          <w:bCs/>
        </w:rPr>
        <w:t>actif</w:t>
      </w:r>
      <w:r>
        <w:t xml:space="preserve"> (décocher pour une absence).</w:t>
      </w:r>
    </w:p>
    <w:p w14:paraId="375466AD" w14:textId="77777777" w:rsidR="007270C5" w:rsidRDefault="003126F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>Chaque lieu doit avoir au moins un agent de traitement et un signataire actifs ; sinon le</w:t>
      </w:r>
      <w:r>
        <w:t xml:space="preserve"> dossier déposé reste « À coter » et un incident est créé.</w:t>
      </w:r>
    </w:p>
    <w:p w14:paraId="3BF3C434" w14:textId="77777777" w:rsidR="007270C5" w:rsidRDefault="003126F4">
      <w:pPr>
        <w:pStyle w:val="Titre2"/>
      </w:pPr>
      <w:bookmarkStart w:id="24" w:name="_Toc243080427"/>
      <w:r>
        <w:t>5.4 Listes de codes</w:t>
      </w:r>
      <w:bookmarkEnd w:id="24"/>
    </w:p>
    <w:p w14:paraId="11BAD210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95BD938" wp14:editId="33A9159E">
            <wp:extent cx="5905500" cy="3038475"/>
            <wp:effectExtent l="0" t="0" r="0" b="0"/>
            <wp:docPr id="12" name="adm-listes" descr="Listes de codes projetées du Référentiel Commun" title="Figure 12 — Listes de codes projetées du Référentiel Comm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7B1E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12 — Listes de codes projetées du Référentiel Commun</w:t>
      </w:r>
    </w:p>
    <w:p w14:paraId="3794F66E" w14:textId="77777777" w:rsidR="007270C5" w:rsidRDefault="003126F4">
      <w:pPr>
        <w:spacing w:after="120" w:line="276" w:lineRule="auto"/>
        <w:jc w:val="both"/>
      </w:pPr>
      <w:r>
        <w:t xml:space="preserve">Chaque procédure utilise une </w:t>
      </w:r>
      <w:r>
        <w:rPr>
          <w:b/>
          <w:bCs/>
        </w:rPr>
        <w:t>projection</w:t>
      </w:r>
      <w:r>
        <w:t xml:space="preserve"> locale des tables du Référentiel Commun (table, nombre de codes, date de chargement, auteur). Après une mise à jour du référentiel, cliquez sur </w:t>
      </w:r>
      <w:r>
        <w:rPr>
          <w:b/>
          <w:bCs/>
        </w:rPr>
        <w:t>Recharger &lt;procédure&gt;</w:t>
      </w:r>
      <w:r>
        <w:t xml:space="preserve"> (ex. </w:t>
      </w:r>
      <w:r>
        <w:rPr>
          <w:b/>
          <w:bCs/>
        </w:rPr>
        <w:t>Recharger VTP</w:t>
      </w:r>
      <w:r>
        <w:t>). Une table à 0 code donne une liste vide dans le formulaire.</w:t>
      </w:r>
    </w:p>
    <w:p w14:paraId="68BEAD34" w14:textId="77777777" w:rsidR="007270C5" w:rsidRDefault="003126F4">
      <w:pPr>
        <w:pStyle w:val="Titre2"/>
      </w:pPr>
      <w:bookmarkStart w:id="25" w:name="_Toc243080428"/>
      <w:r>
        <w:lastRenderedPageBreak/>
        <w:t>5.5 Inci</w:t>
      </w:r>
      <w:r>
        <w:t>dents</w:t>
      </w:r>
      <w:bookmarkEnd w:id="25"/>
    </w:p>
    <w:p w14:paraId="76079C86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8AF2F81" wp14:editId="73BE5149">
            <wp:extent cx="5905500" cy="3038475"/>
            <wp:effectExtent l="0" t="0" r="0" b="0"/>
            <wp:docPr id="13" name="adm-incidents" descr="Incidents du moteur de workflow" title="Figure 13 — Incidents du moteur de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AB74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13 — Incidents du moteur de workflow</w:t>
      </w:r>
    </w:p>
    <w:p w14:paraId="0A1A54D7" w14:textId="77777777" w:rsidR="007270C5" w:rsidRDefault="003126F4">
      <w:pPr>
        <w:spacing w:after="120" w:line="276" w:lineRule="auto"/>
        <w:jc w:val="both"/>
      </w:pPr>
      <w:r>
        <w:t xml:space="preserve">Tâches automatiques en échec (ex. « cotation impossible faute d'agent actif ») : date, dossier, étape, message. Corrigez la cause (cotation, liste, configuration) puis </w:t>
      </w:r>
      <w:r>
        <w:rPr>
          <w:b/>
          <w:bCs/>
        </w:rPr>
        <w:t>Relancer</w:t>
      </w:r>
      <w:r>
        <w:t>.</w:t>
      </w:r>
    </w:p>
    <w:p w14:paraId="2F356B76" w14:textId="77777777" w:rsidR="007270C5" w:rsidRDefault="003126F4">
      <w:pPr>
        <w:pStyle w:val="Titre2"/>
      </w:pPr>
      <w:bookmarkStart w:id="26" w:name="_Toc243080429"/>
      <w:r>
        <w:t>5.6 Vues métier</w:t>
      </w:r>
      <w:bookmarkEnd w:id="26"/>
    </w:p>
    <w:p w14:paraId="2F685FEA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7414D3C" wp14:editId="4F3CF068">
            <wp:extent cx="5905500" cy="3038475"/>
            <wp:effectExtent l="0" t="0" r="0" b="0"/>
            <wp:docPr id="14" name="adm-vues" descr="Vues métier créées au déploiement" title="Figure 14 — Vues métier créées au déploi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69E0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14 — Vues métier créées au déploiement</w:t>
      </w:r>
    </w:p>
    <w:p w14:paraId="3FCE965C" w14:textId="77777777" w:rsidR="007270C5" w:rsidRDefault="003126F4">
      <w:pPr>
        <w:spacing w:after="120" w:line="276" w:lineRule="auto"/>
        <w:jc w:val="both"/>
      </w:pPr>
      <w:r>
        <w:t>Une vue SQL par objet métier et par procédure déployée (</w:t>
      </w:r>
      <w:r>
        <w:rPr>
          <w:rFonts w:ascii="Consolas" w:eastAsia="Consolas" w:hAnsi="Consolas" w:cs="Consolas"/>
          <w:color w:val="7A2E0E"/>
          <w:sz w:val="19"/>
          <w:szCs w:val="19"/>
        </w:rPr>
        <w:t>proc_vtp.vtp_request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vtp_produits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vtp_payment_notice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vtp_certificate</w:t>
      </w:r>
      <w:r>
        <w:t>…), selon le modèle de données de la procédure : elles alimentent</w:t>
      </w:r>
      <w:r>
        <w:t xml:space="preserve"> les tableaux de bord et les extractions.</w:t>
      </w:r>
    </w:p>
    <w:p w14:paraId="736B150B" w14:textId="77777777" w:rsidR="007270C5" w:rsidRDefault="003126F4">
      <w:pPr>
        <w:pStyle w:val="Titre2"/>
      </w:pPr>
      <w:bookmarkStart w:id="27" w:name="_Toc243080430"/>
      <w:r>
        <w:lastRenderedPageBreak/>
        <w:t>5.7 Réception de messages</w:t>
      </w:r>
      <w:bookmarkEnd w:id="27"/>
    </w:p>
    <w:p w14:paraId="6E134E17" w14:textId="77777777" w:rsidR="007270C5" w:rsidRDefault="003126F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FDF980D" wp14:editId="6FD9157E">
            <wp:extent cx="5905500" cy="3038475"/>
            <wp:effectExtent l="0" t="0" r="0" b="0"/>
            <wp:docPr id="15" name="adm-reception" descr="Simulation d'un message partenaire" title="Figure 15 — Simulation d'un message parten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B560" w14:textId="77777777" w:rsidR="007270C5" w:rsidRDefault="003126F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15 — Simulation d'un message partenaire</w:t>
      </w:r>
    </w:p>
    <w:p w14:paraId="3DE608CE" w14:textId="77777777" w:rsidR="007270C5" w:rsidRDefault="003126F4">
      <w:pPr>
        <w:spacing w:after="120" w:line="276" w:lineRule="auto"/>
        <w:jc w:val="both"/>
      </w:pPr>
      <w:r>
        <w:t xml:space="preserve">Simule l'envoi par une banque ou une administration d'un message du catalogue : </w:t>
      </w:r>
      <w:r>
        <w:rPr>
          <w:b/>
          <w:bCs/>
        </w:rPr>
        <w:t>Message du catalogue</w:t>
      </w:r>
      <w:r>
        <w:t xml:space="preserve">, </w:t>
      </w:r>
      <w:r>
        <w:rPr>
          <w:b/>
          <w:bCs/>
        </w:rPr>
        <w:t>Type de contenu</w:t>
      </w:r>
      <w:r>
        <w:t xml:space="preserve"> (XML, JSON, CSV, text</w:t>
      </w:r>
      <w:r>
        <w:t xml:space="preserve">e), </w:t>
      </w:r>
      <w:r>
        <w:rPr>
          <w:b/>
          <w:bCs/>
        </w:rPr>
        <w:t>Idempotency-Key</w:t>
      </w:r>
      <w:r>
        <w:t xml:space="preserve"> (élimine les doublons), </w:t>
      </w:r>
      <w:r>
        <w:rPr>
          <w:b/>
          <w:bCs/>
        </w:rPr>
        <w:t>Partenaire émetteur</w:t>
      </w:r>
      <w:r>
        <w:t xml:space="preserve">, </w:t>
      </w:r>
      <w:r>
        <w:rPr>
          <w:b/>
          <w:bCs/>
        </w:rPr>
        <w:t>Contenu</w:t>
      </w:r>
      <w:r>
        <w:t xml:space="preserve"> ; </w:t>
      </w:r>
      <w:r>
        <w:rPr>
          <w:b/>
          <w:bCs/>
        </w:rPr>
        <w:t>Envoyer au guichet unique</w:t>
      </w:r>
      <w:r>
        <w:t>.</w:t>
      </w:r>
    </w:p>
    <w:p w14:paraId="3CEC9416" w14:textId="77777777" w:rsidR="007270C5" w:rsidRDefault="003126F4">
      <w:pPr>
        <w:pStyle w:val="Titre1"/>
        <w:pageBreakBefore/>
      </w:pPr>
      <w:bookmarkStart w:id="28" w:name="_Toc243080431"/>
      <w:r>
        <w:lastRenderedPageBreak/>
        <w:t>6. Stockage des fichiers et modèle de langage</w:t>
      </w:r>
      <w:bookmarkEnd w:id="28"/>
    </w:p>
    <w:p w14:paraId="5AF9F43F" w14:textId="77777777" w:rsidR="007270C5" w:rsidRDefault="003126F4">
      <w:pPr>
        <w:pStyle w:val="Titre2"/>
      </w:pPr>
      <w:bookmarkStart w:id="29" w:name="_Toc243080432"/>
      <w:r>
        <w:t>6.1 MinIO (facultatif)</w:t>
      </w:r>
      <w:bookmarkEnd w:id="29"/>
    </w:p>
    <w:p w14:paraId="421BF013" w14:textId="77777777" w:rsidR="007270C5" w:rsidRDefault="003126F4">
      <w:pPr>
        <w:pStyle w:val="Paragraphedeliste"/>
        <w:numPr>
          <w:ilvl w:val="0"/>
          <w:numId w:val="10"/>
        </w:numPr>
        <w:spacing w:after="60" w:line="264" w:lineRule="auto"/>
      </w:pPr>
      <w:r>
        <w:t>Installez MinIO et créez un utilisateur dédié au compartiment.</w:t>
      </w:r>
    </w:p>
    <w:p w14:paraId="44D5E4EA" w14:textId="77777777" w:rsidR="007270C5" w:rsidRDefault="003126F4">
      <w:pPr>
        <w:pStyle w:val="Paragraphedeliste"/>
        <w:numPr>
          <w:ilvl w:val="0"/>
          <w:numId w:val="10"/>
        </w:numPr>
        <w:spacing w:after="60" w:line="264" w:lineRule="auto"/>
      </w:pPr>
      <w:r>
        <w:t xml:space="preserve">Dans </w:t>
      </w:r>
      <w:r>
        <w:rPr>
          <w:rFonts w:ascii="Consolas" w:eastAsia="Consolas" w:hAnsi="Consolas" w:cs="Consolas"/>
          <w:color w:val="7A2E0E"/>
          <w:sz w:val="19"/>
          <w:szCs w:val="19"/>
        </w:rPr>
        <w:t>eservices/.env.lo</w:t>
      </w:r>
      <w:r>
        <w:rPr>
          <w:rFonts w:ascii="Consolas" w:eastAsia="Consolas" w:hAnsi="Consolas" w:cs="Consolas"/>
          <w:color w:val="7A2E0E"/>
          <w:sz w:val="19"/>
          <w:szCs w:val="19"/>
        </w:rPr>
        <w:t>cal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MINIO_URL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MINIO_ACCESS_KEY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MINIO_SECRET_KEY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MINIO_BUCKET</w:t>
      </w:r>
      <w:r>
        <w:t xml:space="preserve"> ; redémarrez e-Services (le journal indique « Stockage des fichiers : MinIO… »).</w:t>
      </w:r>
    </w:p>
    <w:p w14:paraId="5CBBC0F2" w14:textId="77777777" w:rsidR="007270C5" w:rsidRDefault="003126F4">
      <w:pPr>
        <w:pStyle w:val="Paragraphedeliste"/>
        <w:numPr>
          <w:ilvl w:val="0"/>
          <w:numId w:val="10"/>
        </w:numPr>
        <w:spacing w:after="60" w:line="264" w:lineRule="auto"/>
      </w:pPr>
      <w:r>
        <w:t xml:space="preserve">Migrez les fichiers existants : </w:t>
      </w:r>
      <w:r>
        <w:rPr>
          <w:rFonts w:ascii="Consolas" w:eastAsia="Consolas" w:hAnsi="Consolas" w:cs="Consolas"/>
          <w:color w:val="7A2E0E"/>
          <w:sz w:val="19"/>
          <w:szCs w:val="19"/>
        </w:rPr>
        <w:t>GET /api/v1/admin/storage</w:t>
      </w:r>
      <w:r>
        <w:t xml:space="preserve"> (répartition) puis </w:t>
      </w:r>
      <w:r>
        <w:rPr>
          <w:rFonts w:ascii="Consolas" w:eastAsia="Consolas" w:hAnsi="Consolas" w:cs="Consolas"/>
          <w:color w:val="7A2E0E"/>
          <w:sz w:val="19"/>
          <w:szCs w:val="19"/>
        </w:rPr>
        <w:t>POST /api/v1/admin/storage/migra</w:t>
      </w:r>
      <w:r>
        <w:rPr>
          <w:rFonts w:ascii="Consolas" w:eastAsia="Consolas" w:hAnsi="Consolas" w:cs="Consolas"/>
          <w:color w:val="7A2E0E"/>
          <w:sz w:val="19"/>
          <w:szCs w:val="19"/>
        </w:rPr>
        <w:t>te?lot=200</w:t>
      </w:r>
      <w:r>
        <w:t>, à relancer jusqu'à épuisement.</w:t>
      </w:r>
    </w:p>
    <w:p w14:paraId="29E5D8E2" w14:textId="77777777" w:rsidR="007270C5" w:rsidRDefault="003126F4">
      <w:pPr>
        <w:pBdr>
          <w:left w:val="single" w:sz="18" w:space="8" w:color="B45309"/>
        </w:pBdr>
        <w:shd w:val="clear" w:color="auto" w:fill="FFF4E5"/>
        <w:spacing w:before="80" w:after="160" w:line="264" w:lineRule="auto"/>
        <w:ind w:left="120" w:right="120"/>
      </w:pPr>
      <w:r>
        <w:rPr>
          <w:b/>
          <w:bCs/>
          <w:color w:val="B45309"/>
        </w:rPr>
        <w:t xml:space="preserve">Attention — </w:t>
      </w:r>
      <w:r>
        <w:t xml:space="preserve">Après migration, ne retirez plus </w:t>
      </w:r>
      <w:r>
        <w:rPr>
          <w:rFonts w:ascii="Consolas" w:eastAsia="Consolas" w:hAnsi="Consolas" w:cs="Consolas"/>
          <w:color w:val="7A2E0E"/>
          <w:sz w:val="19"/>
          <w:szCs w:val="19"/>
        </w:rPr>
        <w:t>MINIO_URL</w:t>
      </w:r>
      <w:r>
        <w:t xml:space="preserve"> : les fichiers rangés dans MinIO ne seraient plus lisibles. Sauvegardez MinIO avec la base.</w:t>
      </w:r>
    </w:p>
    <w:p w14:paraId="71BE2F30" w14:textId="77777777" w:rsidR="007270C5" w:rsidRDefault="003126F4">
      <w:pPr>
        <w:pStyle w:val="Titre2"/>
      </w:pPr>
      <w:bookmarkStart w:id="30" w:name="_Toc243080433"/>
      <w:r>
        <w:t>6.2 Modèle de langage des agents IA (facultatif)</w:t>
      </w:r>
      <w:bookmarkEnd w:id="30"/>
    </w:p>
    <w:p w14:paraId="28254385" w14:textId="77777777" w:rsidR="007270C5" w:rsidRDefault="003126F4">
      <w:pPr>
        <w:spacing w:after="120" w:line="276" w:lineRule="auto"/>
        <w:jc w:val="both"/>
      </w:pPr>
      <w:r>
        <w:t xml:space="preserve">Dans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procedures/.env.local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NEXORA_AI_URL</w:t>
      </w:r>
      <w:r>
        <w:t xml:space="preserve"> (ex.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http://localhost:11434/v1</w:t>
      </w:r>
      <w:r>
        <w:t xml:space="preserve"> pour Ollama),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NEXORA_AI_MODEL</w:t>
      </w:r>
      <w:r>
        <w:t>, éventuell</w:t>
      </w:r>
      <w:r>
        <w:t xml:space="preserve">ement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NEXORA_AI_API_KEY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NEXORA_AI_TIMEOUT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NEXORA_AI_VISION_MODEL</w:t>
      </w:r>
      <w:r>
        <w:t xml:space="preserve">. Sans modèle, les agents fonctionnent en mode </w:t>
      </w:r>
      <w:r>
        <w:rPr>
          <w:b/>
          <w:bCs/>
        </w:rPr>
        <w:t>heuristique</w:t>
      </w:r>
      <w:r>
        <w:t xml:space="preserve"> (affiché dans Studio › Agents IA).</w:t>
      </w:r>
    </w:p>
    <w:p w14:paraId="389BFB31" w14:textId="77777777" w:rsidR="007270C5" w:rsidRDefault="003126F4">
      <w:pPr>
        <w:pStyle w:val="Titre1"/>
        <w:pageBreakBefore/>
      </w:pPr>
      <w:bookmarkStart w:id="31" w:name="_Toc243080434"/>
      <w:r>
        <w:lastRenderedPageBreak/>
        <w:t>7. Exploitation</w:t>
      </w:r>
      <w:bookmarkEnd w:id="31"/>
    </w:p>
    <w:p w14:paraId="53005147" w14:textId="77777777" w:rsidR="007270C5" w:rsidRDefault="003126F4">
      <w:pPr>
        <w:pStyle w:val="Titre2"/>
      </w:pPr>
      <w:bookmarkStart w:id="32" w:name="_Toc243080435"/>
      <w:r>
        <w:t>7.1 Installation</w:t>
      </w:r>
      <w:bookmarkEnd w:id="32"/>
    </w:p>
    <w:p w14:paraId="4E3AFFC3" w14:textId="77777777" w:rsidR="007270C5" w:rsidRDefault="003126F4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Créez les bases : </w:t>
      </w:r>
      <w:r>
        <w:rPr>
          <w:rFonts w:ascii="Consolas" w:eastAsia="Consolas" w:hAnsi="Consolas" w:cs="Consolas"/>
          <w:color w:val="7A2E0E"/>
          <w:sz w:val="19"/>
          <w:szCs w:val="19"/>
        </w:rPr>
        <w:t>database\creer-bases-guichet-unique.cmd</w:t>
      </w:r>
      <w:r>
        <w:t xml:space="preserve"> (et </w:t>
      </w:r>
      <w:r>
        <w:rPr>
          <w:rFonts w:ascii="Consolas" w:eastAsia="Consolas" w:hAnsi="Consolas" w:cs="Consolas"/>
          <w:color w:val="7A2E0E"/>
          <w:sz w:val="19"/>
          <w:szCs w:val="19"/>
        </w:rPr>
        <w:t>creer-base.cmd</w:t>
      </w:r>
      <w:r>
        <w:t xml:space="preserve"> d'auth et de refdata).</w:t>
      </w:r>
    </w:p>
    <w:p w14:paraId="4872B60E" w14:textId="77777777" w:rsidR="007270C5" w:rsidRDefault="003126F4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Dans chaque service, copiez </w:t>
      </w:r>
      <w:r>
        <w:rPr>
          <w:rFonts w:ascii="Consolas" w:eastAsia="Consolas" w:hAnsi="Consolas" w:cs="Consolas"/>
          <w:color w:val="7A2E0E"/>
          <w:sz w:val="19"/>
          <w:szCs w:val="19"/>
        </w:rPr>
        <w:t>.env.example</w:t>
      </w:r>
      <w:r>
        <w:t xml:space="preserve"> en </w:t>
      </w:r>
      <w:r>
        <w:rPr>
          <w:rFonts w:ascii="Consolas" w:eastAsia="Consolas" w:hAnsi="Consolas" w:cs="Consolas"/>
          <w:color w:val="7A2E0E"/>
          <w:sz w:val="19"/>
          <w:szCs w:val="19"/>
        </w:rPr>
        <w:t>.env.local</w:t>
      </w:r>
      <w:r>
        <w:t xml:space="preserve"> et renseignez mots de passe et secrets (jamais versionnés).</w:t>
      </w:r>
    </w:p>
    <w:p w14:paraId="73BF053C" w14:textId="77777777" w:rsidR="007270C5" w:rsidRDefault="003126F4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Construisez chaque service : </w:t>
      </w:r>
      <w:r>
        <w:rPr>
          <w:rFonts w:ascii="Consolas" w:eastAsia="Consolas" w:hAnsi="Consolas" w:cs="Consolas"/>
          <w:color w:val="7A2E0E"/>
          <w:sz w:val="19"/>
          <w:szCs w:val="19"/>
        </w:rPr>
        <w:t>construire.cmd</w:t>
      </w:r>
      <w:r>
        <w:t xml:space="preserve"> (Maven, avec l'</w:t>
      </w:r>
      <w:r>
        <w:t>interface Angular).</w:t>
      </w:r>
    </w:p>
    <w:p w14:paraId="0238B9F3" w14:textId="77777777" w:rsidR="007270C5" w:rsidRDefault="003126F4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Lancez dans l'ordre : </w:t>
      </w:r>
      <w:r>
        <w:rPr>
          <w:rFonts w:ascii="Consolas" w:eastAsia="Consolas" w:hAnsi="Consolas" w:cs="Consolas"/>
          <w:color w:val="7A2E0E"/>
          <w:sz w:val="19"/>
          <w:szCs w:val="19"/>
        </w:rPr>
        <w:t>auth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refdata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registration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procedures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eservices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lancer.cmd</w:t>
      </w:r>
      <w:r>
        <w:t>).</w:t>
      </w:r>
    </w:p>
    <w:p w14:paraId="55424929" w14:textId="77777777" w:rsidR="007270C5" w:rsidRDefault="003126F4">
      <w:pPr>
        <w:pStyle w:val="Paragraphedeliste"/>
        <w:numPr>
          <w:ilvl w:val="0"/>
          <w:numId w:val="11"/>
        </w:numPr>
        <w:spacing w:after="60" w:line="264" w:lineRule="auto"/>
      </w:pPr>
      <w:r>
        <w:t xml:space="preserve">Connectez-vous avec </w:t>
      </w:r>
      <w:r>
        <w:rPr>
          <w:rFonts w:ascii="Consolas" w:eastAsia="Consolas" w:hAnsi="Consolas" w:cs="Consolas"/>
          <w:color w:val="7A2E0E"/>
          <w:sz w:val="19"/>
          <w:szCs w:val="19"/>
        </w:rPr>
        <w:t>admin</w:t>
      </w:r>
      <w:r>
        <w:t xml:space="preserve"> et changez son mot de passe.</w:t>
      </w:r>
    </w:p>
    <w:p w14:paraId="6AFD9857" w14:textId="77777777" w:rsidR="007270C5" w:rsidRDefault="003126F4">
      <w:pPr>
        <w:pStyle w:val="Titre2"/>
      </w:pPr>
      <w:bookmarkStart w:id="33" w:name="_Toc243080436"/>
      <w:r>
        <w:t>7.2 Ports et configuration</w:t>
      </w:r>
      <w:bookmarkEnd w:id="33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64"/>
        <w:gridCol w:w="1085"/>
        <w:gridCol w:w="6789"/>
      </w:tblGrid>
      <w:tr w:rsidR="007270C5" w14:paraId="0219080F" w14:textId="77777777">
        <w:trPr>
          <w:tblHeader/>
        </w:trPr>
        <w:tc>
          <w:tcPr>
            <w:tcW w:w="17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2869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08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FFB6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678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D278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Variables principales (</w:t>
            </w:r>
            <w:r>
              <w:rPr>
                <w:rFonts w:ascii="Consolas" w:eastAsia="Consolas" w:hAnsi="Consolas" w:cs="Consolas"/>
                <w:b/>
                <w:bCs/>
                <w:color w:val="7A2E0E"/>
                <w:sz w:val="17"/>
                <w:szCs w:val="17"/>
              </w:rPr>
              <w:t>.env.local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7270C5" w14:paraId="6F489E7D" w14:textId="77777777">
        <w:trPr>
          <w:cantSplit/>
        </w:trPr>
        <w:tc>
          <w:tcPr>
            <w:tcW w:w="17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DF59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2024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8090</w:t>
            </w:r>
          </w:p>
        </w:tc>
        <w:tc>
          <w:tcPr>
            <w:tcW w:w="6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E883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AUTH_DB_PASSWORD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AUTH_ADMIN_PASSWORD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AUTH_REDIRECT_ORIGINS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AUTH_TOKEN_VALIDITY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AUTH_SESSION_VALIDITY</w:t>
            </w:r>
          </w:p>
        </w:tc>
      </w:tr>
      <w:tr w:rsidR="007270C5" w14:paraId="60A4C67A" w14:textId="77777777">
        <w:trPr>
          <w:cantSplit/>
        </w:trPr>
        <w:tc>
          <w:tcPr>
            <w:tcW w:w="176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50464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refdata</w:t>
            </w:r>
          </w:p>
        </w:tc>
        <w:tc>
          <w:tcPr>
            <w:tcW w:w="108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4839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8082</w:t>
            </w:r>
          </w:p>
        </w:tc>
        <w:tc>
          <w:tcPr>
            <w:tcW w:w="678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68A8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REFDATA_DB_PASSWORD</w:t>
            </w:r>
          </w:p>
        </w:tc>
      </w:tr>
      <w:tr w:rsidR="007270C5" w14:paraId="231EB26E" w14:textId="77777777">
        <w:trPr>
          <w:cantSplit/>
        </w:trPr>
        <w:tc>
          <w:tcPr>
            <w:tcW w:w="17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212B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registration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84935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8083</w:t>
            </w:r>
          </w:p>
        </w:tc>
        <w:tc>
          <w:tcPr>
            <w:tcW w:w="6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673E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REGISTRATION_DB_PASSWORD</w:t>
            </w:r>
          </w:p>
        </w:tc>
      </w:tr>
      <w:tr w:rsidR="007270C5" w14:paraId="0B718D43" w14:textId="77777777">
        <w:trPr>
          <w:cantSplit/>
        </w:trPr>
        <w:tc>
          <w:tcPr>
            <w:tcW w:w="1764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FF801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procedures</w:t>
            </w:r>
          </w:p>
        </w:tc>
        <w:tc>
          <w:tcPr>
            <w:tcW w:w="1085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A3A98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8084</w:t>
            </w:r>
          </w:p>
        </w:tc>
        <w:tc>
          <w:tcPr>
            <w:tcW w:w="678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6B95A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PROCEDURES_DB_PASSWORD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NEXORA_AI_*</w:t>
            </w:r>
          </w:p>
        </w:tc>
      </w:tr>
      <w:tr w:rsidR="007270C5" w14:paraId="4D3EB208" w14:textId="77777777">
        <w:trPr>
          <w:cantSplit/>
        </w:trPr>
        <w:tc>
          <w:tcPr>
            <w:tcW w:w="17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F578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eservices</w:t>
            </w:r>
          </w:p>
        </w:tc>
        <w:tc>
          <w:tcPr>
            <w:tcW w:w="10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9C3E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8085</w:t>
            </w:r>
          </w:p>
        </w:tc>
        <w:tc>
          <w:tcPr>
            <w:tcW w:w="6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E31F0" w14:textId="77777777" w:rsidR="007270C5" w:rsidRDefault="003126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ESERVICES_DB_PASSWORD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ESERVICES_SEAL_SECRET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ESERVICES_PUBLIC_URL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MINIO_*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FORMULAIRES_GENERES_DOSSIER</w:t>
            </w:r>
          </w:p>
        </w:tc>
      </w:tr>
    </w:tbl>
    <w:p w14:paraId="7940C1D5" w14:textId="77777777" w:rsidR="007270C5" w:rsidRDefault="003126F4">
      <w:pPr>
        <w:pStyle w:val="Titre2"/>
      </w:pPr>
      <w:bookmarkStart w:id="34" w:name="_Toc243080437"/>
      <w:r>
        <w:t>7.3 Mises à jour, sauvegardes, supervision</w:t>
      </w:r>
      <w:bookmarkEnd w:id="34"/>
    </w:p>
    <w:p w14:paraId="4458FBEB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>Arrêtez le service, reconstruisez (</w:t>
      </w:r>
      <w:r>
        <w:rPr>
          <w:rFonts w:ascii="Consolas" w:eastAsia="Consolas" w:hAnsi="Consolas" w:cs="Consolas"/>
          <w:color w:val="7A2E0E"/>
          <w:sz w:val="19"/>
          <w:szCs w:val="19"/>
        </w:rPr>
        <w:t>construire.cmd</w:t>
      </w:r>
      <w:r>
        <w:t>), relancez : les migrations Flyway s'appliquent au démarr</w:t>
      </w:r>
      <w:r>
        <w:t>age.</w:t>
      </w:r>
    </w:p>
    <w:p w14:paraId="24C543CF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>Sauvegardez chaque jour les cinq bases PostgreSQL (</w:t>
      </w:r>
      <w:r>
        <w:rPr>
          <w:rFonts w:ascii="Consolas" w:eastAsia="Consolas" w:hAnsi="Consolas" w:cs="Consolas"/>
          <w:color w:val="7A2E0E"/>
          <w:sz w:val="19"/>
          <w:szCs w:val="19"/>
        </w:rPr>
        <w:t>pg_dump</w:t>
      </w:r>
      <w:r>
        <w:t xml:space="preserve">), les données MinIO et les </w:t>
      </w:r>
      <w:r>
        <w:rPr>
          <w:rFonts w:ascii="Consolas" w:eastAsia="Consolas" w:hAnsi="Consolas" w:cs="Consolas"/>
          <w:color w:val="7A2E0E"/>
          <w:sz w:val="19"/>
          <w:szCs w:val="19"/>
        </w:rPr>
        <w:t>.env.local</w:t>
      </w:r>
      <w:r>
        <w:t xml:space="preserve"> (dans un coffre).</w:t>
      </w:r>
    </w:p>
    <w:p w14:paraId="3EC72315" w14:textId="77777777" w:rsidR="007270C5" w:rsidRDefault="003126F4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Supervisez </w:t>
      </w:r>
      <w:r>
        <w:rPr>
          <w:rFonts w:ascii="Consolas" w:eastAsia="Consolas" w:hAnsi="Consolas" w:cs="Consolas"/>
          <w:color w:val="7A2E0E"/>
          <w:sz w:val="19"/>
          <w:szCs w:val="19"/>
        </w:rPr>
        <w:t>/actuator/health</w:t>
      </w:r>
      <w:r>
        <w:t xml:space="preserve"> de chaque service, la supervision d'e-Services (retards, encaissements), l'onglet Incidents et les journaux </w:t>
      </w:r>
      <w:r>
        <w:t>d'audit.</w:t>
      </w:r>
    </w:p>
    <w:p w14:paraId="7899B005" w14:textId="77777777" w:rsidR="007270C5" w:rsidRDefault="003126F4">
      <w:pPr>
        <w:pBdr>
          <w:left w:val="single" w:sz="18" w:space="8" w:color="2E7D32"/>
        </w:pBdr>
        <w:shd w:val="clear" w:color="auto" w:fill="E8F3EA"/>
        <w:spacing w:before="80" w:after="160" w:line="264" w:lineRule="auto"/>
        <w:ind w:left="120" w:right="120"/>
      </w:pPr>
      <w:r>
        <w:rPr>
          <w:b/>
          <w:bCs/>
          <w:color w:val="2E7D32"/>
        </w:rPr>
        <w:t xml:space="preserve">Astuce — </w:t>
      </w:r>
      <w:r>
        <w:t>Sur les postes de développement, excluez les dossiers des sources de l'analyse antivirus en temps réel : un faux positif a déjà mis en quarantaine une classe compilée du studio.</w:t>
      </w:r>
    </w:p>
    <w:p w14:paraId="3B02B663" w14:textId="77777777" w:rsidR="007270C5" w:rsidRDefault="003126F4">
      <w:pPr>
        <w:pStyle w:val="Titre1"/>
        <w:pageBreakBefore/>
      </w:pPr>
      <w:bookmarkStart w:id="35" w:name="_Toc243080438"/>
      <w:r>
        <w:lastRenderedPageBreak/>
        <w:t>8. Dépannage</w:t>
      </w:r>
      <w:bookmarkEnd w:id="3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43"/>
        <w:gridCol w:w="2789"/>
        <w:gridCol w:w="3806"/>
      </w:tblGrid>
      <w:tr w:rsidR="007270C5" w14:paraId="10E547E4" w14:textId="77777777">
        <w:trPr>
          <w:tblHeader/>
        </w:trPr>
        <w:tc>
          <w:tcPr>
            <w:tcW w:w="304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BD67E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Symptôme</w:t>
            </w:r>
          </w:p>
        </w:tc>
        <w:tc>
          <w:tcPr>
            <w:tcW w:w="278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9A82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Cause probable</w:t>
            </w:r>
          </w:p>
        </w:tc>
        <w:tc>
          <w:tcPr>
            <w:tcW w:w="38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3514" w14:textId="77777777" w:rsidR="007270C5" w:rsidRDefault="003126F4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 faire</w:t>
            </w:r>
          </w:p>
        </w:tc>
      </w:tr>
      <w:tr w:rsidR="007270C5" w14:paraId="4A3A22AD" w14:textId="77777777">
        <w:trPr>
          <w:cantSplit/>
        </w:trPr>
        <w:tc>
          <w:tcPr>
            <w:tcW w:w="30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A09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Procédure publiée absente de Nouvelle demande</w:t>
            </w:r>
          </w:p>
        </w:tc>
        <w:tc>
          <w:tcPr>
            <w:tcW w:w="2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7602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Non déployée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15C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 xml:space="preserve">Administration › Procédures › </w:t>
            </w:r>
            <w:r>
              <w:rPr>
                <w:b/>
                <w:bCs/>
                <w:sz w:val="19"/>
                <w:szCs w:val="19"/>
              </w:rPr>
              <w:t>Déployer</w:t>
            </w:r>
          </w:p>
        </w:tc>
      </w:tr>
      <w:tr w:rsidR="007270C5" w14:paraId="77029F17" w14:textId="77777777">
        <w:trPr>
          <w:cantSplit/>
        </w:trPr>
        <w:tc>
          <w:tcPr>
            <w:tcW w:w="304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13272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Dossier bloqué « À coter »</w:t>
            </w:r>
          </w:p>
        </w:tc>
        <w:tc>
          <w:tcPr>
            <w:tcW w:w="278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912F5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Aucun agent ou signataire actif pour l'unité</w:t>
            </w:r>
          </w:p>
        </w:tc>
        <w:tc>
          <w:tcPr>
            <w:tcW w:w="38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2F25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 xml:space="preserve">Cotation : rattacher, puis Incidents › </w:t>
            </w:r>
            <w:r>
              <w:rPr>
                <w:b/>
                <w:bCs/>
                <w:sz w:val="19"/>
                <w:szCs w:val="19"/>
              </w:rPr>
              <w:t>Relancer</w:t>
            </w:r>
          </w:p>
        </w:tc>
      </w:tr>
      <w:tr w:rsidR="007270C5" w14:paraId="0FC3FCB7" w14:textId="77777777">
        <w:trPr>
          <w:cantSplit/>
        </w:trPr>
        <w:tc>
          <w:tcPr>
            <w:tcW w:w="30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30EA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Liste vide dans un formulaire</w:t>
            </w:r>
          </w:p>
        </w:tc>
        <w:tc>
          <w:tcPr>
            <w:tcW w:w="2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748B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Table vide ou projection ancienne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D67C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 xml:space="preserve">Alimenter la table, puis </w:t>
            </w:r>
            <w:r>
              <w:rPr>
                <w:b/>
                <w:bCs/>
                <w:sz w:val="19"/>
                <w:szCs w:val="19"/>
              </w:rPr>
              <w:t>Recharger</w:t>
            </w:r>
            <w:r>
              <w:rPr>
                <w:sz w:val="19"/>
                <w:szCs w:val="19"/>
              </w:rPr>
              <w:t xml:space="preserve"> la procédure</w:t>
            </w:r>
          </w:p>
        </w:tc>
      </w:tr>
      <w:tr w:rsidR="007270C5" w14:paraId="773D71ED" w14:textId="77777777">
        <w:trPr>
          <w:cantSplit/>
        </w:trPr>
        <w:tc>
          <w:tcPr>
            <w:tcW w:w="304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B8C4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« Accès refusé »</w:t>
            </w:r>
          </w:p>
        </w:tc>
        <w:tc>
          <w:tcPr>
            <w:tcW w:w="278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3191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Rôle manquant</w:t>
            </w:r>
          </w:p>
        </w:tc>
        <w:tc>
          <w:tcPr>
            <w:tcW w:w="38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2C9E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Accès › Utilisateurs : ajouter le rôle ; reconnexion</w:t>
            </w:r>
          </w:p>
        </w:tc>
      </w:tr>
      <w:tr w:rsidR="007270C5" w14:paraId="6A9E124D" w14:textId="77777777">
        <w:trPr>
          <w:cantSplit/>
        </w:trPr>
        <w:tc>
          <w:tcPr>
            <w:tcW w:w="30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8AB6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Compte verrouillé</w:t>
            </w:r>
          </w:p>
        </w:tc>
        <w:tc>
          <w:tcPr>
            <w:tcW w:w="2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1419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5 échecs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F4D3" w14:textId="77777777" w:rsidR="007270C5" w:rsidRDefault="003126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Déverrouiller</w:t>
            </w:r>
          </w:p>
        </w:tc>
      </w:tr>
      <w:tr w:rsidR="007270C5" w14:paraId="622DD961" w14:textId="77777777">
        <w:trPr>
          <w:cantSplit/>
        </w:trPr>
        <w:tc>
          <w:tcPr>
            <w:tcW w:w="304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0F108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Formulaire généré non utilisé</w:t>
            </w:r>
          </w:p>
        </w:tc>
        <w:tc>
          <w:tcPr>
            <w:tcW w:w="278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B0AC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Composant non compilé</w:t>
            </w:r>
          </w:p>
        </w:tc>
        <w:tc>
          <w:tcPr>
            <w:tcW w:w="38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59E7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Préparer le code, reconstruire, redéployer e-Services</w:t>
            </w:r>
          </w:p>
        </w:tc>
      </w:tr>
      <w:tr w:rsidR="007270C5" w14:paraId="1BF8EB2A" w14:textId="77777777">
        <w:trPr>
          <w:cantSplit/>
        </w:trPr>
        <w:tc>
          <w:tcPr>
            <w:tcW w:w="30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5261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Fichier joint illisible</w:t>
            </w:r>
          </w:p>
        </w:tc>
        <w:tc>
          <w:tcPr>
            <w:tcW w:w="2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A1B8B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MinIO arrêté ou non configuré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8832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 xml:space="preserve">Vérifier MinIO et </w:t>
            </w:r>
            <w:r>
              <w:rPr>
                <w:rFonts w:ascii="Consolas" w:eastAsia="Consolas" w:hAnsi="Consolas" w:cs="Consolas"/>
                <w:color w:val="7A2E0E"/>
                <w:sz w:val="17"/>
                <w:szCs w:val="17"/>
              </w:rPr>
              <w:t>MINIO_URL</w:t>
            </w:r>
          </w:p>
        </w:tc>
      </w:tr>
      <w:tr w:rsidR="007270C5" w14:paraId="117A5B43" w14:textId="77777777">
        <w:trPr>
          <w:cantSplit/>
        </w:trPr>
        <w:tc>
          <w:tcPr>
            <w:tcW w:w="3043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26D9F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Page lente (Messages, tableaux de bord)</w:t>
            </w:r>
          </w:p>
        </w:tc>
        <w:tc>
          <w:tcPr>
            <w:tcW w:w="2789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2B8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Volume affiché</w:t>
            </w:r>
          </w:p>
        </w:tc>
        <w:tc>
          <w:tcPr>
            <w:tcW w:w="3806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A24D" w14:textId="77777777" w:rsidR="007270C5" w:rsidRDefault="003126F4">
            <w:pPr>
              <w:spacing w:line="252" w:lineRule="auto"/>
            </w:pPr>
            <w:r>
              <w:rPr>
                <w:sz w:val="19"/>
                <w:szCs w:val="19"/>
              </w:rPr>
              <w:t>Filtrer ; signaler à l'équipe (constaté en recette le 16/10/2026)</w:t>
            </w:r>
          </w:p>
        </w:tc>
      </w:tr>
    </w:tbl>
    <w:p w14:paraId="1E0BD369" w14:textId="77777777" w:rsidR="00000000" w:rsidRDefault="003126F4"/>
    <w:sectPr w:rsidR="00000000">
      <w:headerReference w:type="default" r:id="rId22"/>
      <w:footerReference w:type="default" r:id="rId23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C7094" w14:textId="77777777" w:rsidR="00000000" w:rsidRDefault="003126F4">
      <w:r>
        <w:separator/>
      </w:r>
    </w:p>
  </w:endnote>
  <w:endnote w:type="continuationSeparator" w:id="0">
    <w:p w14:paraId="56AB3A5D" w14:textId="77777777" w:rsidR="00000000" w:rsidRDefault="00312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D556D" w14:textId="77777777" w:rsidR="007270C5" w:rsidRDefault="003126F4">
    <w:pP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565DB7">
      <w:rPr>
        <w:color w:val="595959"/>
        <w:sz w:val="17"/>
        <w:szCs w:val="17"/>
      </w:rPr>
      <w:fldChar w:fldCharType="separate"/>
    </w:r>
    <w:r w:rsidR="00565DB7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/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 w:rsidR="00565DB7">
      <w:rPr>
        <w:color w:val="595959"/>
        <w:sz w:val="17"/>
        <w:szCs w:val="17"/>
      </w:rPr>
      <w:fldChar w:fldCharType="separate"/>
    </w:r>
    <w:r w:rsidR="00565DB7">
      <w:rPr>
        <w:noProof/>
        <w:color w:val="595959"/>
        <w:sz w:val="17"/>
        <w:szCs w:val="17"/>
      </w:rPr>
      <w:t>3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1A7CD4" w14:textId="77777777" w:rsidR="00000000" w:rsidRDefault="003126F4">
      <w:r>
        <w:separator/>
      </w:r>
    </w:p>
  </w:footnote>
  <w:footnote w:type="continuationSeparator" w:id="0">
    <w:p w14:paraId="6B52EA12" w14:textId="77777777" w:rsidR="00000000" w:rsidRDefault="00312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0DF74" w14:textId="77777777" w:rsidR="007270C5" w:rsidRDefault="003126F4">
    <w:pPr>
      <w:pBdr>
        <w:bottom w:val="single" w:sz="4" w:space="4" w:color="BFBFBF"/>
      </w:pBdr>
      <w:tabs>
        <w:tab w:val="right" w:pos="9638"/>
      </w:tabs>
    </w:pPr>
    <w:r>
      <w:rPr>
        <w:color w:val="595959"/>
        <w:sz w:val="17"/>
        <w:szCs w:val="17"/>
      </w:rPr>
      <w:t>NEXORA — Guide de l'administrateur</w:t>
    </w:r>
    <w:r>
      <w:rPr>
        <w:color w:val="595959"/>
        <w:sz w:val="17"/>
        <w:szCs w:val="17"/>
      </w:rPr>
      <w:tab/>
      <w:t>Version 1.0 — 16/10/2026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B2B7B"/>
    <w:multiLevelType w:val="hybridMultilevel"/>
    <w:tmpl w:val="99863B26"/>
    <w:lvl w:ilvl="0" w:tplc="737E068E" w:tentative="1">
      <w:start w:val="1"/>
      <w:numFmt w:val="bullet"/>
      <w:lvlText w:val="●"/>
      <w:lvlJc w:val="left"/>
      <w:pPr>
        <w:ind w:left="720" w:hanging="360"/>
      </w:pPr>
    </w:lvl>
    <w:lvl w:ilvl="1" w:tplc="B95ECC08" w:tentative="1">
      <w:start w:val="1"/>
      <w:numFmt w:val="bullet"/>
      <w:lvlText w:val="○"/>
      <w:lvlJc w:val="left"/>
      <w:pPr>
        <w:ind w:left="1440" w:hanging="360"/>
      </w:pPr>
    </w:lvl>
    <w:lvl w:ilvl="2" w:tplc="EBA0224C" w:tentative="1">
      <w:start w:val="1"/>
      <w:numFmt w:val="bullet"/>
      <w:lvlText w:val="■"/>
      <w:lvlJc w:val="left"/>
      <w:pPr>
        <w:ind w:left="2160" w:hanging="360"/>
      </w:pPr>
    </w:lvl>
    <w:lvl w:ilvl="3" w:tplc="0F047D08" w:tentative="1">
      <w:start w:val="1"/>
      <w:numFmt w:val="bullet"/>
      <w:lvlText w:val="●"/>
      <w:lvlJc w:val="left"/>
      <w:pPr>
        <w:ind w:left="2880" w:hanging="360"/>
      </w:pPr>
    </w:lvl>
    <w:lvl w:ilvl="4" w:tplc="40C2E272" w:tentative="1">
      <w:start w:val="1"/>
      <w:numFmt w:val="bullet"/>
      <w:lvlText w:val="○"/>
      <w:lvlJc w:val="left"/>
      <w:pPr>
        <w:ind w:left="3600" w:hanging="360"/>
      </w:pPr>
    </w:lvl>
    <w:lvl w:ilvl="5" w:tplc="BC523822" w:tentative="1">
      <w:start w:val="1"/>
      <w:numFmt w:val="bullet"/>
      <w:lvlText w:val="■"/>
      <w:lvlJc w:val="left"/>
      <w:pPr>
        <w:ind w:left="4320" w:hanging="360"/>
      </w:pPr>
    </w:lvl>
    <w:lvl w:ilvl="6" w:tplc="D7DEFC3E" w:tentative="1">
      <w:start w:val="1"/>
      <w:numFmt w:val="bullet"/>
      <w:lvlText w:val="●"/>
      <w:lvlJc w:val="left"/>
      <w:pPr>
        <w:ind w:left="5040" w:hanging="360"/>
      </w:pPr>
    </w:lvl>
    <w:lvl w:ilvl="7" w:tplc="809A10C0" w:tentative="1">
      <w:start w:val="1"/>
      <w:numFmt w:val="bullet"/>
      <w:lvlText w:val="●"/>
      <w:lvlJc w:val="left"/>
      <w:pPr>
        <w:ind w:left="5760" w:hanging="360"/>
      </w:pPr>
    </w:lvl>
    <w:lvl w:ilvl="8" w:tplc="E866110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0E3B05"/>
    <w:multiLevelType w:val="hybridMultilevel"/>
    <w:tmpl w:val="00DC3D7E"/>
    <w:lvl w:ilvl="0" w:tplc="6C02FBF2">
      <w:start w:val="1"/>
      <w:numFmt w:val="decimal"/>
      <w:lvlText w:val="%1."/>
      <w:lvlJc w:val="left"/>
      <w:pPr>
        <w:ind w:left="500" w:hanging="300"/>
      </w:pPr>
    </w:lvl>
    <w:lvl w:ilvl="1" w:tplc="34144FE0">
      <w:numFmt w:val="decimal"/>
      <w:lvlText w:val=""/>
      <w:lvlJc w:val="left"/>
    </w:lvl>
    <w:lvl w:ilvl="2" w:tplc="B78276C8">
      <w:numFmt w:val="decimal"/>
      <w:lvlText w:val=""/>
      <w:lvlJc w:val="left"/>
    </w:lvl>
    <w:lvl w:ilvl="3" w:tplc="60308120">
      <w:numFmt w:val="decimal"/>
      <w:lvlText w:val=""/>
      <w:lvlJc w:val="left"/>
    </w:lvl>
    <w:lvl w:ilvl="4" w:tplc="1B363E88">
      <w:numFmt w:val="decimal"/>
      <w:lvlText w:val=""/>
      <w:lvlJc w:val="left"/>
    </w:lvl>
    <w:lvl w:ilvl="5" w:tplc="362A7B72">
      <w:numFmt w:val="decimal"/>
      <w:lvlText w:val=""/>
      <w:lvlJc w:val="left"/>
    </w:lvl>
    <w:lvl w:ilvl="6" w:tplc="54A84932">
      <w:numFmt w:val="decimal"/>
      <w:lvlText w:val=""/>
      <w:lvlJc w:val="left"/>
    </w:lvl>
    <w:lvl w:ilvl="7" w:tplc="5F76A622">
      <w:numFmt w:val="decimal"/>
      <w:lvlText w:val=""/>
      <w:lvlJc w:val="left"/>
    </w:lvl>
    <w:lvl w:ilvl="8" w:tplc="F86014BA">
      <w:numFmt w:val="decimal"/>
      <w:lvlText w:val=""/>
      <w:lvlJc w:val="left"/>
    </w:lvl>
  </w:abstractNum>
  <w:abstractNum w:abstractNumId="2" w15:restartNumberingAfterBreak="0">
    <w:nsid w:val="72DB1BFA"/>
    <w:multiLevelType w:val="hybridMultilevel"/>
    <w:tmpl w:val="DF7A0EF0"/>
    <w:lvl w:ilvl="0" w:tplc="59A0D64A">
      <w:start w:val="1"/>
      <w:numFmt w:val="bullet"/>
      <w:lvlText w:val="•"/>
      <w:lvlJc w:val="left"/>
      <w:pPr>
        <w:ind w:left="500" w:hanging="260"/>
      </w:pPr>
    </w:lvl>
    <w:lvl w:ilvl="1" w:tplc="8AFEAFC8" w:tentative="1">
      <w:start w:val="1"/>
      <w:numFmt w:val="bullet"/>
      <w:lvlText w:val="–"/>
      <w:lvlJc w:val="left"/>
      <w:pPr>
        <w:ind w:left="1000" w:hanging="260"/>
      </w:pPr>
    </w:lvl>
    <w:lvl w:ilvl="2" w:tplc="00F047B4">
      <w:numFmt w:val="decimal"/>
      <w:lvlText w:val=""/>
      <w:lvlJc w:val="left"/>
    </w:lvl>
    <w:lvl w:ilvl="3" w:tplc="5BE03CA8">
      <w:numFmt w:val="decimal"/>
      <w:lvlText w:val=""/>
      <w:lvlJc w:val="left"/>
    </w:lvl>
    <w:lvl w:ilvl="4" w:tplc="7834F806">
      <w:numFmt w:val="decimal"/>
      <w:lvlText w:val=""/>
      <w:lvlJc w:val="left"/>
    </w:lvl>
    <w:lvl w:ilvl="5" w:tplc="8EACFCD6">
      <w:numFmt w:val="decimal"/>
      <w:lvlText w:val=""/>
      <w:lvlJc w:val="left"/>
    </w:lvl>
    <w:lvl w:ilvl="6" w:tplc="26E2188E">
      <w:numFmt w:val="decimal"/>
      <w:lvlText w:val=""/>
      <w:lvlJc w:val="left"/>
    </w:lvl>
    <w:lvl w:ilvl="7" w:tplc="7B9CA8C4">
      <w:numFmt w:val="decimal"/>
      <w:lvlText w:val=""/>
      <w:lvlJc w:val="left"/>
    </w:lvl>
    <w:lvl w:ilvl="8" w:tplc="05169B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0C5"/>
    <w:rsid w:val="003126F4"/>
    <w:rsid w:val="00565DB7"/>
    <w:rsid w:val="0072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A88695"/>
  <w15:docId w15:val="{6B187ADC-4D32-40F8-9936-CE56C11E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7"/>
      <w:szCs w:val="27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2F5597"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65DB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65DB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2789</Words>
  <Characters>16142</Characters>
  <Application>Microsoft Office Word</Application>
  <DocSecurity>0</DocSecurity>
  <Lines>414</Lines>
  <Paragraphs>298</Paragraphs>
  <ScaleCrop>false</ScaleCrop>
  <Company/>
  <LinksUpToDate>false</LinksUpToDate>
  <CharactersWithSpaces>18680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— Guide de l'administrateur</dc:title>
  <dc:creator>NEXORA</dc:creator>
  <cp:lastModifiedBy>Jameleddine  EL KAMEL</cp:lastModifiedBy>
  <cp:revision>3</cp:revision>
  <cp:lastPrinted>2026-10-16T20:59:00Z</cp:lastPrinted>
  <dcterms:created xsi:type="dcterms:W3CDTF">2026-10-16T20:59:00Z</dcterms:created>
  <dcterms:modified xsi:type="dcterms:W3CDTF">2026-10-16T20:59:00Z</dcterms:modified>
</cp:coreProperties>
</file>