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E07F2" w14:textId="77777777" w:rsidR="00C41AEA" w:rsidRDefault="00C41AEA">
      <w:pPr>
        <w:spacing w:before="2400"/>
      </w:pPr>
    </w:p>
    <w:p w14:paraId="5E83B078" w14:textId="77777777" w:rsidR="00C41AEA" w:rsidRDefault="00294004">
      <w:r>
        <w:rPr>
          <w:b/>
          <w:bCs/>
          <w:color w:val="1F4E79"/>
          <w:sz w:val="72"/>
          <w:szCs w:val="72"/>
        </w:rPr>
        <w:t>NEXORA</w:t>
      </w:r>
    </w:p>
    <w:p w14:paraId="7D15D876" w14:textId="77777777" w:rsidR="00C41AEA" w:rsidRDefault="00294004">
      <w:pPr>
        <w:spacing w:after="600"/>
      </w:pPr>
      <w:r>
        <w:rPr>
          <w:color w:val="595959"/>
          <w:sz w:val="32"/>
          <w:szCs w:val="32"/>
        </w:rPr>
        <w:t>Guichet unique du commerce extérieur</w:t>
      </w:r>
    </w:p>
    <w:p w14:paraId="4A1E2426" w14:textId="77777777" w:rsidR="00C41AEA" w:rsidRDefault="00294004">
      <w:pPr>
        <w:pBdr>
          <w:bottom w:val="single" w:sz="12" w:space="6" w:color="1F4E79"/>
        </w:pBdr>
      </w:pPr>
      <w:r>
        <w:rPr>
          <w:b/>
          <w:bCs/>
          <w:sz w:val="44"/>
          <w:szCs w:val="44"/>
        </w:rPr>
        <w:t>Guide de l'agent, du signataire, du superviseur et de la banque</w:t>
      </w:r>
    </w:p>
    <w:p w14:paraId="015D9442" w14:textId="77777777" w:rsidR="00C41AEA" w:rsidRDefault="00294004">
      <w:pPr>
        <w:spacing w:before="200" w:after="1600"/>
      </w:pPr>
      <w:r>
        <w:rPr>
          <w:color w:val="595959"/>
          <w:sz w:val="24"/>
          <w:szCs w:val="24"/>
        </w:rPr>
        <w:t>e-Services — espace e-GOV : instruire, décider, signer, superviser, encaisser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C41AEA" w14:paraId="5D69AE9D" w14:textId="77777777">
        <w:trPr>
          <w:tblHeader/>
        </w:trPr>
        <w:tc>
          <w:tcPr>
            <w:tcW w:w="240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D6244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722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FD70B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</w:tr>
      <w:tr w:rsidR="00C41AEA" w14:paraId="37492750" w14:textId="77777777">
        <w:trPr>
          <w:cantSplit/>
        </w:trPr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CB346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Version du document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65009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1.0 — 16/10/2026</w:t>
            </w:r>
          </w:p>
        </w:tc>
      </w:tr>
      <w:tr w:rsidR="00C41AEA" w14:paraId="7F852FEB" w14:textId="77777777">
        <w:trPr>
          <w:cantSplit/>
        </w:trPr>
        <w:tc>
          <w:tcPr>
            <w:tcW w:w="240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5EAD4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Statut</w:t>
            </w:r>
          </w:p>
        </w:tc>
        <w:tc>
          <w:tcPr>
            <w:tcW w:w="722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E746D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Guide utilisateur détaillé, par profil</w:t>
            </w:r>
          </w:p>
        </w:tc>
      </w:tr>
      <w:tr w:rsidR="00C41AEA" w14:paraId="66FADCAD" w14:textId="77777777">
        <w:trPr>
          <w:cantSplit/>
        </w:trPr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C3EA9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Public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CAFA4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Agents de traitement et de recevabilité, signataires, superviseurs, banques</w:t>
            </w:r>
          </w:p>
        </w:tc>
      </w:tr>
      <w:tr w:rsidR="00C41AEA" w14:paraId="286764F9" w14:textId="77777777">
        <w:trPr>
          <w:cantSplit/>
        </w:trPr>
        <w:tc>
          <w:tcPr>
            <w:tcW w:w="240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0B83B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Cas pratiques</w:t>
            </w:r>
          </w:p>
        </w:tc>
        <w:tc>
          <w:tcPr>
            <w:tcW w:w="722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89209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Visa Technique Provisoire MINSANTE (VTP) et inscription au fichier des importateurs et des exportateurs (FIMEX)</w:t>
            </w:r>
          </w:p>
        </w:tc>
      </w:tr>
      <w:tr w:rsidR="00C41AEA" w14:paraId="3EE062E9" w14:textId="77777777">
        <w:trPr>
          <w:cantSplit/>
        </w:trPr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9681F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Documents liés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2191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Guide d'utilisation et d'administration v1.0 (vue d'ensemble) · les trois autres guides par profil · Dossier d'architecture tech</w:t>
            </w:r>
            <w:r>
              <w:rPr>
                <w:sz w:val="19"/>
                <w:szCs w:val="19"/>
              </w:rPr>
              <w:t>nique v2.0</w:t>
            </w:r>
          </w:p>
        </w:tc>
      </w:tr>
    </w:tbl>
    <w:p w14:paraId="413F5711" w14:textId="77777777" w:rsidR="00C41AEA" w:rsidRDefault="00294004">
      <w:r>
        <w:br w:type="page"/>
      </w:r>
    </w:p>
    <w:p w14:paraId="35FBF986" w14:textId="77777777" w:rsidR="00C41AEA" w:rsidRDefault="00294004">
      <w:pPr>
        <w:spacing w:after="200"/>
      </w:pPr>
      <w:r>
        <w:rPr>
          <w:b/>
          <w:bCs/>
          <w:color w:val="1F4E79"/>
          <w:sz w:val="34"/>
          <w:szCs w:val="34"/>
        </w:rPr>
        <w:lastRenderedPageBreak/>
        <w:t>Historique des versions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61"/>
        <w:gridCol w:w="1509"/>
        <w:gridCol w:w="6968"/>
      </w:tblGrid>
      <w:tr w:rsidR="00C41AEA" w14:paraId="03259E11" w14:textId="77777777">
        <w:trPr>
          <w:tblHeader/>
        </w:trPr>
        <w:tc>
          <w:tcPr>
            <w:tcW w:w="116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0550F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50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EFF4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9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10C68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</w:t>
            </w:r>
          </w:p>
        </w:tc>
      </w:tr>
      <w:tr w:rsidR="00C41AEA" w14:paraId="70447A02" w14:textId="77777777">
        <w:trPr>
          <w:cantSplit/>
        </w:trPr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DB310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5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B5DB0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16/10/2026</w:t>
            </w:r>
          </w:p>
        </w:tc>
        <w:tc>
          <w:tcPr>
            <w:tcW w:w="69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6179B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Première version : instruction pas à pas d'un VTP, signature, supervision, encaissements et confirmation bancaire, avec captures d'écran</w:t>
            </w:r>
          </w:p>
        </w:tc>
      </w:tr>
    </w:tbl>
    <w:p w14:paraId="0E09A3BA" w14:textId="77777777" w:rsidR="00C41AEA" w:rsidRDefault="00294004">
      <w:pPr>
        <w:pageBreakBefore/>
        <w:spacing w:after="200"/>
      </w:pPr>
      <w:r>
        <w:rPr>
          <w:b/>
          <w:bCs/>
          <w:color w:val="1F4E79"/>
          <w:sz w:val="34"/>
          <w:szCs w:val="34"/>
        </w:rPr>
        <w:lastRenderedPageBreak/>
        <w:t>Sommaire</w:t>
      </w:r>
    </w:p>
    <w:sdt>
      <w:sdtPr>
        <w:alias w:val="Sommaire"/>
        <w:id w:val="2095125292"/>
      </w:sdtPr>
      <w:sdtEndPr/>
      <w:sdtContent>
        <w:p w14:paraId="5BE25B53" w14:textId="08C5DB7F" w:rsidR="00E34C14" w:rsidRDefault="00294004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80462" w:history="1">
            <w:r w:rsidR="00E34C14" w:rsidRPr="00532AAE">
              <w:rPr>
                <w:rStyle w:val="Lienhypertexte"/>
                <w:noProof/>
              </w:rPr>
              <w:t>1. Avant de commencer</w:t>
            </w:r>
            <w:r w:rsidR="00E34C14">
              <w:rPr>
                <w:noProof/>
              </w:rPr>
              <w:tab/>
            </w:r>
            <w:r w:rsidR="00E34C14">
              <w:rPr>
                <w:noProof/>
              </w:rPr>
              <w:fldChar w:fldCharType="begin"/>
            </w:r>
            <w:r w:rsidR="00E34C14">
              <w:rPr>
                <w:noProof/>
              </w:rPr>
              <w:instrText xml:space="preserve"> PAGEREF _Toc243080462 \h </w:instrText>
            </w:r>
            <w:r w:rsidR="00E34C14">
              <w:rPr>
                <w:noProof/>
              </w:rPr>
            </w:r>
            <w:r w:rsidR="00E34C14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E34C14">
              <w:rPr>
                <w:noProof/>
              </w:rPr>
              <w:fldChar w:fldCharType="end"/>
            </w:r>
          </w:hyperlink>
        </w:p>
        <w:p w14:paraId="15D65B18" w14:textId="4371EE56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63" w:history="1">
            <w:r w:rsidRPr="00532AAE">
              <w:rPr>
                <w:rStyle w:val="Lienhypertexte"/>
                <w:noProof/>
              </w:rPr>
              <w:t>1.1 Se connecter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715653" w14:textId="67BE6884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64" w:history="1">
            <w:r w:rsidRPr="00532AAE">
              <w:rPr>
                <w:rStyle w:val="Lienhypertexte"/>
                <w:noProof/>
              </w:rPr>
              <w:t>1.2 L'écran 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09873E" w14:textId="6FEDE2FD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65" w:history="1">
            <w:r w:rsidRPr="00532AAE">
              <w:rPr>
                <w:rStyle w:val="Lienhypertexte"/>
                <w:noProof/>
              </w:rPr>
              <w:t>1.3 Votre profil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962E3D" w14:textId="2A4305D7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66" w:history="1">
            <w:r w:rsidRPr="00532AAE">
              <w:rPr>
                <w:rStyle w:val="Lienhypertexte"/>
                <w:noProof/>
              </w:rPr>
              <w:t>1.4 Conventions de ce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78B665" w14:textId="0B867C35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67" w:history="1">
            <w:r w:rsidRPr="00532AAE">
              <w:rPr>
                <w:rStyle w:val="Lienhypertexte"/>
                <w:noProof/>
              </w:rPr>
              <w:t>1.5 Comment un dossier vous arrive : la cotation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FA3188" w14:textId="5C6BA45F" w:rsidR="00E34C14" w:rsidRDefault="00E34C14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68" w:history="1">
            <w:r w:rsidRPr="00532AAE">
              <w:rPr>
                <w:rStyle w:val="Lienhypertexte"/>
                <w:noProof/>
              </w:rPr>
              <w:t>2. Agent de traitement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4B1D61" w14:textId="5F8A9C52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69" w:history="1">
            <w:r w:rsidRPr="00532AAE">
              <w:rPr>
                <w:rStyle w:val="Lienhypertexte"/>
                <w:noProof/>
              </w:rPr>
              <w:t>2.1 Mes tâches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B2C617" w14:textId="6D6A6EC9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70" w:history="1">
            <w:r w:rsidRPr="00532AAE">
              <w:rPr>
                <w:rStyle w:val="Lienhypertexte"/>
                <w:noProof/>
              </w:rPr>
              <w:t>2.2 Ouvrir et examiner le dossier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662E81" w14:textId="6AB344F9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71" w:history="1">
            <w:r w:rsidRPr="00532AAE">
              <w:rPr>
                <w:rStyle w:val="Lienhypertexte"/>
                <w:noProof/>
              </w:rPr>
              <w:t>2.3 Décider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12F603" w14:textId="4B2B73A7" w:rsidR="00E34C14" w:rsidRDefault="00E34C14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72" w:history="1">
            <w:r w:rsidRPr="00532AAE">
              <w:rPr>
                <w:rStyle w:val="Lienhypertexte"/>
                <w:noProof/>
              </w:rPr>
              <w:t>3. Signataire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74A12F" w14:textId="7B274EEA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73" w:history="1">
            <w:r w:rsidRPr="00532AAE">
              <w:rPr>
                <w:rStyle w:val="Lienhypertexte"/>
                <w:noProof/>
              </w:rPr>
              <w:t>3.1 Recevoir le dossier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588EF1" w14:textId="07244D20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74" w:history="1">
            <w:r w:rsidRPr="00532AAE">
              <w:rPr>
                <w:rStyle w:val="Lienhypertexte"/>
                <w:noProof/>
              </w:rPr>
              <w:t>3.2 Prévisualiser le livrable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70B1F4" w14:textId="658264E6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75" w:history="1">
            <w:r w:rsidRPr="00532AAE">
              <w:rPr>
                <w:rStyle w:val="Lienhypertexte"/>
                <w:noProof/>
              </w:rPr>
              <w:t>3.3 Décider et signer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67C7E4" w14:textId="1769A421" w:rsidR="00E34C14" w:rsidRDefault="00E34C14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76" w:history="1">
            <w:r w:rsidRPr="00532AAE">
              <w:rPr>
                <w:rStyle w:val="Lienhypertexte"/>
                <w:noProof/>
              </w:rPr>
              <w:t>4. Superviseur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6C3F08" w14:textId="4D3BE2AF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77" w:history="1">
            <w:r w:rsidRPr="00532AAE">
              <w:rPr>
                <w:rStyle w:val="Lienhypertexte"/>
                <w:noProof/>
              </w:rPr>
              <w:t>4.1 Tableau de bord de supervision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BB0181" w14:textId="3D3B6A77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78" w:history="1">
            <w:r w:rsidRPr="00532AAE">
              <w:rPr>
                <w:rStyle w:val="Lienhypertexte"/>
                <w:noProof/>
              </w:rPr>
              <w:t>4.2 Tous les dossiers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358568" w14:textId="088D82EF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79" w:history="1">
            <w:r w:rsidRPr="00532AAE">
              <w:rPr>
                <w:rStyle w:val="Lienhypertexte"/>
                <w:noProof/>
              </w:rPr>
              <w:t>4.3 Encaissements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4BD4ED" w14:textId="5BB3552C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80" w:history="1">
            <w:r w:rsidRPr="00532AAE">
              <w:rPr>
                <w:rStyle w:val="Lienhypertexte"/>
                <w:noProof/>
              </w:rPr>
              <w:t>4.4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1346263" w14:textId="25C4CC7D" w:rsidR="00E34C14" w:rsidRDefault="00E34C14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81" w:history="1">
            <w:r w:rsidRPr="00532AAE">
              <w:rPr>
                <w:rStyle w:val="Lienhypertexte"/>
                <w:noProof/>
              </w:rPr>
              <w:t>5. Banque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AF4516" w14:textId="48E5376B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82" w:history="1">
            <w:r w:rsidRPr="00532AAE">
              <w:rPr>
                <w:rStyle w:val="Lienhypertexte"/>
                <w:noProof/>
              </w:rPr>
              <w:t>5.1 Confirmer un paiement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BFA1DA9" w14:textId="3BAE8D56" w:rsidR="00E34C14" w:rsidRDefault="00E34C1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83" w:history="1">
            <w:r w:rsidRPr="00532AAE">
              <w:rPr>
                <w:rStyle w:val="Lienhypertexte"/>
                <w:noProof/>
              </w:rPr>
              <w:t>5.2 Consulter les encaissements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5508682" w14:textId="2F365C7D" w:rsidR="00E34C14" w:rsidRDefault="00E34C14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84" w:history="1">
            <w:r w:rsidRPr="00532AAE">
              <w:rPr>
                <w:rStyle w:val="Lienhypertexte"/>
                <w:noProof/>
              </w:rPr>
              <w:t>6. Questions fréquentes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9400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2BFFFC" w14:textId="4D44DFD9" w:rsidR="00C41AEA" w:rsidRDefault="00294004">
          <w:r>
            <w:fldChar w:fldCharType="end"/>
          </w:r>
        </w:p>
      </w:sdtContent>
    </w:sdt>
    <w:p w14:paraId="4E0859DC" w14:textId="77777777" w:rsidR="00C41AEA" w:rsidRDefault="00294004">
      <w:pPr>
        <w:pStyle w:val="Titre1"/>
        <w:pageBreakBefore/>
      </w:pPr>
      <w:bookmarkStart w:id="0" w:name="_Toc243080462"/>
      <w:r>
        <w:lastRenderedPageBreak/>
        <w:t xml:space="preserve">1. Avant de </w:t>
      </w:r>
      <w:r>
        <w:t>commencer</w:t>
      </w:r>
      <w:bookmarkEnd w:id="0"/>
    </w:p>
    <w:p w14:paraId="316C3BAB" w14:textId="77777777" w:rsidR="00C41AEA" w:rsidRDefault="00294004">
      <w:pPr>
        <w:spacing w:after="120" w:line="276" w:lineRule="auto"/>
        <w:jc w:val="both"/>
      </w:pPr>
      <w:r>
        <w:t xml:space="preserve">Ce guide s'adresse aux utilisateurs des administrations et partenaires dans e-Services, espace </w:t>
      </w:r>
      <w:r>
        <w:rPr>
          <w:b/>
          <w:bCs/>
        </w:rPr>
        <w:t>e-GOV</w:t>
      </w:r>
      <w:r>
        <w:t xml:space="preserve"> : l'</w:t>
      </w:r>
      <w:r>
        <w:rPr>
          <w:b/>
          <w:bCs/>
        </w:rPr>
        <w:t>agent de traitement</w:t>
      </w:r>
      <w:r>
        <w:t xml:space="preserve"> qui instruit les dossiers, le </w:t>
      </w:r>
      <w:r>
        <w:rPr>
          <w:b/>
          <w:bCs/>
        </w:rPr>
        <w:t>signataire</w:t>
      </w:r>
      <w:r>
        <w:t xml:space="preserve"> qui décide et signe, le </w:t>
      </w:r>
      <w:r>
        <w:rPr>
          <w:b/>
          <w:bCs/>
        </w:rPr>
        <w:t>superviseur</w:t>
      </w:r>
      <w:r>
        <w:t xml:space="preserve"> qui pilote l'activité et la </w:t>
      </w:r>
      <w:r>
        <w:rPr>
          <w:b/>
          <w:bCs/>
        </w:rPr>
        <w:t>banque</w:t>
      </w:r>
      <w:r>
        <w:t xml:space="preserve"> qui confi</w:t>
      </w:r>
      <w:r>
        <w:t xml:space="preserve">rme les paiements. Le cas pratique est l'instruction d'une demande de </w:t>
      </w:r>
      <w:r>
        <w:rPr>
          <w:b/>
          <w:bCs/>
        </w:rPr>
        <w:t>Visa Technique Provisoire (VTP)</w:t>
      </w:r>
      <w:r>
        <w:t xml:space="preserve"> du MINSANTE (recevabilité, étude approfondie, signature), complété par un dossier FIMEX déjà délivré.</w:t>
      </w:r>
    </w:p>
    <w:p w14:paraId="2039D46F" w14:textId="77777777" w:rsidR="00C41AEA" w:rsidRDefault="00294004">
      <w:pPr>
        <w:pStyle w:val="Titre2"/>
      </w:pPr>
      <w:bookmarkStart w:id="1" w:name="_Toc243080463"/>
      <w:r>
        <w:t>1.1 Se connecter</w:t>
      </w:r>
      <w:bookmarkEnd w:id="1"/>
    </w:p>
    <w:p w14:paraId="65975A79" w14:textId="77777777" w:rsidR="00C41AEA" w:rsidRDefault="00294004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Ouvrez </w:t>
      </w:r>
      <w:r>
        <w:rPr>
          <w:b/>
          <w:bCs/>
        </w:rPr>
        <w:t>e-Services</w:t>
      </w:r>
      <w:r>
        <w:t xml:space="preserve"> à l'adresse commu</w:t>
      </w:r>
      <w:r>
        <w:t xml:space="preserve">niquée par votre administrateur (poste de développement : </w:t>
      </w:r>
      <w:r>
        <w:rPr>
          <w:rFonts w:ascii="Consolas" w:eastAsia="Consolas" w:hAnsi="Consolas" w:cs="Consolas"/>
          <w:color w:val="7A2E0E"/>
          <w:sz w:val="19"/>
          <w:szCs w:val="19"/>
        </w:rPr>
        <w:t>http://localhost:8085</w:t>
      </w:r>
      <w:r>
        <w:t>).</w:t>
      </w:r>
    </w:p>
    <w:p w14:paraId="7A76BDFA" w14:textId="77777777" w:rsidR="00C41AEA" w:rsidRDefault="00294004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Sans session ouverte, vous êtes redirigé vers la page </w:t>
      </w:r>
      <w:r>
        <w:rPr>
          <w:b/>
          <w:bCs/>
        </w:rPr>
        <w:t>Connexion</w:t>
      </w:r>
      <w:r>
        <w:t xml:space="preserve"> commune à toutes les applications (« Authentification unique »).</w:t>
      </w:r>
    </w:p>
    <w:p w14:paraId="386320D9" w14:textId="77777777" w:rsidR="00C41AEA" w:rsidRDefault="00294004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Saisissez votre </w:t>
      </w:r>
      <w:r>
        <w:rPr>
          <w:b/>
          <w:bCs/>
        </w:rPr>
        <w:t>Identifiant</w:t>
      </w:r>
      <w:r>
        <w:t xml:space="preserve"> et votre </w:t>
      </w:r>
      <w:r>
        <w:rPr>
          <w:b/>
          <w:bCs/>
        </w:rPr>
        <w:t>Mot de p</w:t>
      </w:r>
      <w:r>
        <w:rPr>
          <w:b/>
          <w:bCs/>
        </w:rPr>
        <w:t>asse</w:t>
      </w:r>
      <w:r>
        <w:t xml:space="preserve">, puis </w:t>
      </w:r>
      <w:r>
        <w:rPr>
          <w:b/>
          <w:bCs/>
        </w:rPr>
        <w:t>Se connecter</w:t>
      </w:r>
      <w:r>
        <w:t xml:space="preserve">. À la première connexion, saisissez un </w:t>
      </w:r>
      <w:r>
        <w:rPr>
          <w:b/>
          <w:bCs/>
        </w:rPr>
        <w:t>Nouveau mot de passe</w:t>
      </w:r>
      <w:r>
        <w:t xml:space="preserve"> (au moins 10 caractères, lettres et chiffres).</w:t>
      </w:r>
    </w:p>
    <w:p w14:paraId="4DEFF694" w14:textId="77777777" w:rsidR="00C41AEA" w:rsidRDefault="00294004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Vous revenez sur l'application demandée. La session vaut </w:t>
      </w:r>
      <w:r>
        <w:rPr>
          <w:b/>
          <w:bCs/>
        </w:rPr>
        <w:t>10 heures</w:t>
      </w:r>
      <w:r>
        <w:t xml:space="preserve"> pour toutes les applications NEXORA : le passage de l'une </w:t>
      </w:r>
      <w:r>
        <w:t>à l'autre (cadre « Plateforme NEXORA » en bas du menu) ne redemande pas le mot de passe.</w:t>
      </w:r>
    </w:p>
    <w:p w14:paraId="09D36C21" w14:textId="77777777" w:rsidR="00C41AEA" w:rsidRDefault="00294004">
      <w:pPr>
        <w:pBdr>
          <w:left w:val="single" w:sz="18" w:space="8" w:color="B45309"/>
        </w:pBdr>
        <w:shd w:val="clear" w:color="auto" w:fill="FFF4E5"/>
        <w:spacing w:before="80" w:after="160" w:line="264" w:lineRule="auto"/>
        <w:ind w:left="120" w:right="120"/>
      </w:pPr>
      <w:r>
        <w:rPr>
          <w:b/>
          <w:bCs/>
          <w:color w:val="B45309"/>
        </w:rPr>
        <w:t xml:space="preserve">Attention — </w:t>
      </w:r>
      <w:r>
        <w:t xml:space="preserve">Après </w:t>
      </w:r>
      <w:r>
        <w:rPr>
          <w:b/>
          <w:bCs/>
        </w:rPr>
        <w:t>5 échecs</w:t>
      </w:r>
      <w:r>
        <w:t xml:space="preserve"> de connexion, le compte est verrouillé 15 minutes. Un administrateur peut le déverrouiller plus tôt.</w:t>
      </w:r>
    </w:p>
    <w:p w14:paraId="0EE7D1BB" w14:textId="77777777" w:rsidR="00C41AEA" w:rsidRDefault="00294004">
      <w:pPr>
        <w:pStyle w:val="Titre2"/>
      </w:pPr>
      <w:bookmarkStart w:id="2" w:name="_Toc243080464"/>
      <w:r>
        <w:t>1.2 L'écran type</w:t>
      </w:r>
      <w:bookmarkEnd w:id="2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02"/>
        <w:gridCol w:w="7436"/>
      </w:tblGrid>
      <w:tr w:rsidR="00C41AEA" w14:paraId="7D54D06A" w14:textId="77777777">
        <w:trPr>
          <w:tblHeader/>
        </w:trPr>
        <w:tc>
          <w:tcPr>
            <w:tcW w:w="22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5BF0F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743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F9144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</w:tr>
      <w:tr w:rsidR="00C41AEA" w14:paraId="0AC82C61" w14:textId="77777777">
        <w:trPr>
          <w:cantSplit/>
        </w:trPr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C763C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Menu (à gauche)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09BDC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 xml:space="preserve">Nom de l'application, entrées regroupées par espace (par exemple </w:t>
            </w:r>
            <w:r>
              <w:rPr>
                <w:b/>
                <w:bCs/>
                <w:sz w:val="19"/>
                <w:szCs w:val="19"/>
              </w:rPr>
              <w:t>EFORCE — OPÉRATEURS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EGOV — ADMINISTRATIONS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SUPERVISION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ADMINISTRATION</w:t>
            </w:r>
            <w:r>
              <w:rPr>
                <w:sz w:val="19"/>
                <w:szCs w:val="19"/>
              </w:rPr>
              <w:t xml:space="preserve">) ; n'apparaissent que les entrées autorisées par vos droits. En bas, le cadre </w:t>
            </w:r>
            <w:r>
              <w:rPr>
                <w:b/>
                <w:bCs/>
                <w:sz w:val="19"/>
                <w:szCs w:val="19"/>
              </w:rPr>
              <w:t>Plateforme NEXORA</w:t>
            </w:r>
            <w:r>
              <w:rPr>
                <w:sz w:val="19"/>
                <w:szCs w:val="19"/>
              </w:rPr>
              <w:t xml:space="preserve"> liste </w:t>
            </w:r>
            <w:r>
              <w:rPr>
                <w:sz w:val="19"/>
                <w:szCs w:val="19"/>
              </w:rPr>
              <w:t>les autres applications (pastille verte : service disponible).</w:t>
            </w:r>
          </w:p>
        </w:tc>
      </w:tr>
      <w:tr w:rsidR="00C41AEA" w14:paraId="66289A9E" w14:textId="77777777">
        <w:trPr>
          <w:cantSplit/>
        </w:trPr>
        <w:tc>
          <w:tcPr>
            <w:tcW w:w="2202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B369E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Bandeau (en haut)</w:t>
            </w:r>
          </w:p>
        </w:tc>
        <w:tc>
          <w:tcPr>
            <w:tcW w:w="743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B19C7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 xml:space="preserve">Recherche rapide (numéro de dossier CUR, NIU ou raison sociale), boutons </w:t>
            </w:r>
            <w:r>
              <w:rPr>
                <w:b/>
                <w:bCs/>
                <w:sz w:val="19"/>
                <w:szCs w:val="19"/>
              </w:rPr>
              <w:t>FR / EN</w:t>
            </w:r>
            <w:r>
              <w:rPr>
                <w:sz w:val="19"/>
                <w:szCs w:val="19"/>
              </w:rPr>
              <w:t xml:space="preserve">, bouton du </w:t>
            </w:r>
            <w:r>
              <w:rPr>
                <w:b/>
                <w:bCs/>
                <w:sz w:val="19"/>
                <w:szCs w:val="19"/>
              </w:rPr>
              <w:t>mode sombre</w:t>
            </w:r>
            <w:r>
              <w:rPr>
                <w:sz w:val="19"/>
                <w:szCs w:val="19"/>
              </w:rPr>
              <w:t xml:space="preserve"> (croissant de lune), puis votre nom : menu </w:t>
            </w:r>
            <w:r>
              <w:rPr>
                <w:b/>
                <w:bCs/>
                <w:sz w:val="19"/>
                <w:szCs w:val="19"/>
              </w:rPr>
              <w:t>Mon compte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b/>
                <w:bCs/>
                <w:sz w:val="19"/>
                <w:szCs w:val="19"/>
              </w:rPr>
              <w:t>Se déconnecte</w:t>
            </w:r>
            <w:r>
              <w:rPr>
                <w:b/>
                <w:bCs/>
                <w:sz w:val="19"/>
                <w:szCs w:val="19"/>
              </w:rPr>
              <w:t>r</w:t>
            </w:r>
            <w:r>
              <w:rPr>
                <w:sz w:val="19"/>
                <w:szCs w:val="19"/>
              </w:rPr>
              <w:t>.</w:t>
            </w:r>
          </w:p>
        </w:tc>
      </w:tr>
      <w:tr w:rsidR="00C41AEA" w14:paraId="53A8890B" w14:textId="77777777">
        <w:trPr>
          <w:cantSplit/>
        </w:trPr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0897F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Zone centrale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7AEC4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Titre de la page, phrase d'explication, puis cartes et tableaux. Les champs obligatoires portent un astérisque rouge (*) ; un message rouge sous un champ indique ce qu'il faut corriger.</w:t>
            </w:r>
          </w:p>
        </w:tc>
      </w:tr>
    </w:tbl>
    <w:p w14:paraId="039E3DF2" w14:textId="77777777" w:rsidR="00C41AEA" w:rsidRDefault="00294004">
      <w:pPr>
        <w:pStyle w:val="Titre2"/>
      </w:pPr>
      <w:bookmarkStart w:id="3" w:name="_Toc243080465"/>
      <w:r>
        <w:t>1.3 Votre profil</w:t>
      </w:r>
      <w:bookmarkEnd w:id="3"/>
    </w:p>
    <w:p w14:paraId="68BB234F" w14:textId="77777777" w:rsidR="00C41AEA" w:rsidRDefault="00294004">
      <w:pPr>
        <w:spacing w:after="120" w:line="276" w:lineRule="auto"/>
        <w:jc w:val="both"/>
      </w:pPr>
      <w:r>
        <w:t xml:space="preserve">Le rôle à demander à l'administrateur des accès est </w:t>
      </w:r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</w:rPr>
        <w:t>AGENT_TRAITEMENT</w:t>
      </w:r>
      <w:r>
        <w:t xml:space="preserve"> (agent), </w:t>
      </w:r>
      <w:r>
        <w:rPr>
          <w:rFonts w:ascii="Consolas" w:eastAsia="Consolas" w:hAnsi="Consolas" w:cs="Consolas"/>
          <w:color w:val="7A2E0E"/>
          <w:sz w:val="19"/>
          <w:szCs w:val="19"/>
        </w:rPr>
        <w:t>AGENT_SIGNATAIRE</w:t>
      </w:r>
      <w:r>
        <w:t xml:space="preserve"> (signataire), </w:t>
      </w:r>
      <w:r>
        <w:rPr>
          <w:rFonts w:ascii="Consolas" w:eastAsia="Consolas" w:hAnsi="Consolas" w:cs="Consolas"/>
          <w:color w:val="7A2E0E"/>
          <w:sz w:val="19"/>
          <w:szCs w:val="19"/>
        </w:rPr>
        <w:t>SUPERVISEUR</w:t>
      </w:r>
      <w:r>
        <w:t xml:space="preserve"> (superviseur) ou </w:t>
      </w:r>
      <w:r>
        <w:rPr>
          <w:rFonts w:ascii="Consolas" w:eastAsia="Consolas" w:hAnsi="Consolas" w:cs="Consolas"/>
          <w:color w:val="7A2E0E"/>
          <w:sz w:val="19"/>
          <w:szCs w:val="19"/>
        </w:rPr>
        <w:t>BANQUE</w:t>
      </w:r>
      <w:r>
        <w:t xml:space="preserve"> (banque). Si une page affiche « Accès refusé : votre profil n'a pas le droit requis », demandez ce rôle puis reconnectez-vous.</w:t>
      </w:r>
    </w:p>
    <w:p w14:paraId="6E4688F4" w14:textId="77777777" w:rsidR="00C41AEA" w:rsidRDefault="00294004">
      <w:pPr>
        <w:pStyle w:val="Titre2"/>
      </w:pPr>
      <w:bookmarkStart w:id="4" w:name="_Toc243080466"/>
      <w:r>
        <w:t>1.4 Conventions de ce guide</w:t>
      </w:r>
      <w:bookmarkEnd w:id="4"/>
    </w:p>
    <w:p w14:paraId="2300F121" w14:textId="77777777" w:rsidR="00C41AEA" w:rsidRDefault="00294004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Les libellés en </w:t>
      </w:r>
      <w:r>
        <w:rPr>
          <w:b/>
          <w:bCs/>
        </w:rPr>
        <w:t>gras</w:t>
      </w:r>
      <w:r>
        <w:t xml:space="preserve"> sont ceux affichés à l'écran (boutons, onglets, colonnes).</w:t>
      </w:r>
    </w:p>
    <w:p w14:paraId="762F3575" w14:textId="77777777" w:rsidR="00C41AEA" w:rsidRDefault="00294004">
      <w:pPr>
        <w:pStyle w:val="Paragraphedeliste"/>
        <w:numPr>
          <w:ilvl w:val="0"/>
          <w:numId w:val="3"/>
        </w:numPr>
        <w:spacing w:after="60" w:line="264" w:lineRule="auto"/>
      </w:pPr>
      <w:r>
        <w:t>Les captures proviennent de la plate-forme de recette au 16/10/2026 ; vos écrans peuvent différer légèrement (procédures, données).</w:t>
      </w:r>
    </w:p>
    <w:p w14:paraId="0C22CBBC" w14:textId="77777777" w:rsidR="00C41AEA" w:rsidRDefault="00294004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Les encadrés </w:t>
      </w:r>
      <w:r>
        <w:rPr>
          <w:b/>
          <w:bCs/>
        </w:rPr>
        <w:t>Att</w:t>
      </w:r>
      <w:r>
        <w:rPr>
          <w:b/>
          <w:bCs/>
        </w:rPr>
        <w:t>ention</w:t>
      </w:r>
      <w:r>
        <w:t xml:space="preserve"> signalent une action irréversible ou un piège fréquent, les encadrés </w:t>
      </w:r>
      <w:r>
        <w:rPr>
          <w:b/>
          <w:bCs/>
        </w:rPr>
        <w:t>Astuce</w:t>
      </w:r>
      <w:r>
        <w:t xml:space="preserve"> un gain de temps, les encadrés </w:t>
      </w:r>
      <w:r>
        <w:rPr>
          <w:b/>
          <w:bCs/>
        </w:rPr>
        <w:t>Résultat attendu</w:t>
      </w:r>
      <w:r>
        <w:t xml:space="preserve"> ce que vous devez voir à la fin d'une étape.</w:t>
      </w:r>
    </w:p>
    <w:p w14:paraId="2DEE9316" w14:textId="77777777" w:rsidR="00C41AEA" w:rsidRDefault="00294004">
      <w:pPr>
        <w:pStyle w:val="Titre2"/>
      </w:pPr>
      <w:bookmarkStart w:id="5" w:name="_Toc243080467"/>
      <w:r>
        <w:t>1.5 Comment un dossier vous arrive : la cotation</w:t>
      </w:r>
      <w:bookmarkEnd w:id="5"/>
    </w:p>
    <w:p w14:paraId="348D77C7" w14:textId="77777777" w:rsidR="00C41AEA" w:rsidRDefault="00294004">
      <w:pPr>
        <w:spacing w:after="120" w:line="276" w:lineRule="auto"/>
        <w:jc w:val="both"/>
      </w:pPr>
      <w:r>
        <w:t>Un dossier déposé (et payé s'il</w:t>
      </w:r>
      <w:r>
        <w:t xml:space="preserve"> y a des frais) est </w:t>
      </w:r>
      <w:r>
        <w:rPr>
          <w:b/>
          <w:bCs/>
        </w:rPr>
        <w:t>coté</w:t>
      </w:r>
      <w:r>
        <w:t xml:space="preserve"> automatiquement : le système retient l'</w:t>
      </w:r>
      <w:r>
        <w:rPr>
          <w:b/>
          <w:bCs/>
        </w:rPr>
        <w:t>unité administrative</w:t>
      </w:r>
      <w:r>
        <w:t xml:space="preserve"> associée au </w:t>
      </w:r>
      <w:r>
        <w:rPr>
          <w:b/>
          <w:bCs/>
        </w:rPr>
        <w:t>lieu de traitement</w:t>
      </w:r>
      <w:r>
        <w:t xml:space="preserve"> choisi par le demandeur, puis désigne un </w:t>
      </w:r>
      <w:r>
        <w:rPr>
          <w:b/>
          <w:bCs/>
        </w:rPr>
        <w:t>agent de traitement</w:t>
      </w:r>
      <w:r>
        <w:t xml:space="preserve"> et un </w:t>
      </w:r>
      <w:r>
        <w:rPr>
          <w:b/>
          <w:bCs/>
        </w:rPr>
        <w:t>signataire</w:t>
      </w:r>
      <w:r>
        <w:t xml:space="preserve"> </w:t>
      </w:r>
      <w:r>
        <w:lastRenderedPageBreak/>
        <w:t>actifs de cette unité, en équilibrant la charge (stratégie « a</w:t>
      </w:r>
      <w:r>
        <w:t>léatoire équitable »). Seul l'agent coté voit et traite le dossier (règle RG2 UC-04).</w:t>
      </w:r>
    </w:p>
    <w:p w14:paraId="3238DD64" w14:textId="77777777" w:rsidR="00C41AEA" w:rsidRDefault="00294004">
      <w:pPr>
        <w:pBdr>
          <w:left w:val="single" w:sz="18" w:space="8" w:color="B45309"/>
        </w:pBdr>
        <w:shd w:val="clear" w:color="auto" w:fill="FFF4E5"/>
        <w:spacing w:before="80" w:after="160" w:line="264" w:lineRule="auto"/>
        <w:ind w:left="120" w:right="120"/>
      </w:pPr>
      <w:r>
        <w:rPr>
          <w:b/>
          <w:bCs/>
          <w:color w:val="B45309"/>
        </w:rPr>
        <w:t xml:space="preserve">Attention — </w:t>
      </w:r>
      <w:r>
        <w:t xml:space="preserve">Pour recevoir des dossiers, votre compte doit être </w:t>
      </w:r>
      <w:r>
        <w:rPr>
          <w:b/>
          <w:bCs/>
        </w:rPr>
        <w:t>rattaché à une unité</w:t>
      </w:r>
      <w:r>
        <w:t xml:space="preserve"> dans e-Services › Administration › Cotation (voir le guide de l'administrateur). Un rôle seul ne suffit pas.</w:t>
      </w:r>
    </w:p>
    <w:p w14:paraId="4A9225D6" w14:textId="77777777" w:rsidR="00C41AEA" w:rsidRDefault="00294004">
      <w:pPr>
        <w:pStyle w:val="Titre1"/>
        <w:pageBreakBefore/>
      </w:pPr>
      <w:bookmarkStart w:id="6" w:name="_Toc243080468"/>
      <w:r>
        <w:lastRenderedPageBreak/>
        <w:t>2. Agent de traitement</w:t>
      </w:r>
      <w:bookmarkEnd w:id="6"/>
    </w:p>
    <w:p w14:paraId="63C25AC8" w14:textId="77777777" w:rsidR="00C41AEA" w:rsidRDefault="0029400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BFF685" wp14:editId="39611094">
            <wp:extent cx="6096000" cy="1647825"/>
            <wp:effectExtent l="0" t="0" r="0" b="0"/>
            <wp:docPr id="1" name="g-agent" descr="Figure 1 — Instruction et signature d'un dossier" title="Figure 1 — Instruction et signature d'un doss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94E8" w14:textId="77777777" w:rsidR="00C41AEA" w:rsidRDefault="0029400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 — Instruction et signature d'un dossier</w:t>
      </w:r>
    </w:p>
    <w:p w14:paraId="4D5A517C" w14:textId="77777777" w:rsidR="00C41AEA" w:rsidRDefault="00294004">
      <w:pPr>
        <w:pStyle w:val="Titre2"/>
      </w:pPr>
      <w:bookmarkStart w:id="7" w:name="_Toc243080469"/>
      <w:r>
        <w:t>2.1 Mes tâches</w:t>
      </w:r>
      <w:bookmarkEnd w:id="7"/>
    </w:p>
    <w:p w14:paraId="1CF4EDA5" w14:textId="77777777" w:rsidR="00C41AEA" w:rsidRDefault="0029400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5BC5C373" wp14:editId="4CE7E9C5">
            <wp:extent cx="5905500" cy="3038475"/>
            <wp:effectExtent l="0" t="0" r="0" b="0"/>
            <wp:docPr id="2" name="es-taches" descr="Mes tâches : compteurs et liste des tâches" title="Figure 2 — Mes tâches : compteurs et liste des tâ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A67C" w14:textId="77777777" w:rsidR="00C41AEA" w:rsidRDefault="0029400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 — Mes tâches : compteurs et liste des tâches</w:t>
      </w:r>
    </w:p>
    <w:p w14:paraId="6CF8D130" w14:textId="77777777" w:rsidR="00C41AEA" w:rsidRDefault="00294004">
      <w:pPr>
        <w:pStyle w:val="Paragraphedeliste"/>
        <w:numPr>
          <w:ilvl w:val="0"/>
          <w:numId w:val="3"/>
        </w:numPr>
        <w:spacing w:after="60" w:line="264" w:lineRule="auto"/>
      </w:pPr>
      <w:r>
        <w:t>Q</w:t>
      </w:r>
      <w:r>
        <w:t xml:space="preserve">uatre compteurs : tâches </w:t>
      </w:r>
      <w:r>
        <w:rPr>
          <w:b/>
          <w:bCs/>
        </w:rPr>
        <w:t>à traiter</w:t>
      </w:r>
      <w:r>
        <w:t xml:space="preserve">, </w:t>
      </w:r>
      <w:r>
        <w:rPr>
          <w:b/>
          <w:bCs/>
        </w:rPr>
        <w:t>à signer</w:t>
      </w:r>
      <w:r>
        <w:t xml:space="preserve">, </w:t>
      </w:r>
      <w:r>
        <w:rPr>
          <w:b/>
          <w:bCs/>
        </w:rPr>
        <w:t>compléments à fournir</w:t>
      </w:r>
      <w:r>
        <w:t xml:space="preserve"> (dossiers en attente de l'opérateur), </w:t>
      </w:r>
      <w:r>
        <w:rPr>
          <w:b/>
          <w:bCs/>
        </w:rPr>
        <w:t>en retard</w:t>
      </w:r>
      <w:r>
        <w:t xml:space="preserve"> (échéance dépassée).</w:t>
      </w:r>
    </w:p>
    <w:p w14:paraId="207E1F3E" w14:textId="77777777" w:rsidR="00C41AEA" w:rsidRDefault="00294004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Tableau : </w:t>
      </w:r>
      <w:r>
        <w:rPr>
          <w:b/>
          <w:bCs/>
        </w:rPr>
        <w:t>TÂCHE</w:t>
      </w:r>
      <w:r>
        <w:t xml:space="preserve"> (par exemple « Recevabilité documentaire », « Étude approfondie »), </w:t>
      </w:r>
      <w:r>
        <w:rPr>
          <w:b/>
          <w:bCs/>
        </w:rPr>
        <w:t>DOSSIER (CUR)</w:t>
      </w:r>
      <w:r>
        <w:t xml:space="preserve">, </w:t>
      </w:r>
      <w:r>
        <w:rPr>
          <w:b/>
          <w:bCs/>
        </w:rPr>
        <w:t>OPÉRATEUR</w:t>
      </w:r>
      <w:r>
        <w:t xml:space="preserve">, </w:t>
      </w:r>
      <w:r>
        <w:rPr>
          <w:b/>
          <w:bCs/>
        </w:rPr>
        <w:t>NATURE</w:t>
      </w:r>
      <w:r>
        <w:t xml:space="preserve">, </w:t>
      </w:r>
      <w:r>
        <w:rPr>
          <w:b/>
          <w:bCs/>
        </w:rPr>
        <w:t>R</w:t>
      </w:r>
      <w:r>
        <w:rPr>
          <w:b/>
          <w:bCs/>
        </w:rPr>
        <w:t>EÇUE LE</w:t>
      </w:r>
      <w:r>
        <w:t xml:space="preserve">, </w:t>
      </w:r>
      <w:r>
        <w:rPr>
          <w:b/>
          <w:bCs/>
        </w:rPr>
        <w:t>ÉCHÉANCE</w:t>
      </w:r>
      <w:r>
        <w:t xml:space="preserve"> (en rouge si dépassée), </w:t>
      </w:r>
      <w:r>
        <w:rPr>
          <w:b/>
          <w:bCs/>
        </w:rPr>
        <w:t>STATUT</w:t>
      </w:r>
      <w:r>
        <w:t>.</w:t>
      </w:r>
    </w:p>
    <w:p w14:paraId="21814A4B" w14:textId="77777777" w:rsidR="00C41AEA" w:rsidRDefault="00294004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Actualiser</w:t>
      </w:r>
      <w:r>
        <w:t xml:space="preserve"> recharge la liste ; un clic sur une ligne ouvre le dossier.</w:t>
      </w:r>
    </w:p>
    <w:p w14:paraId="780BDEA2" w14:textId="77777777" w:rsidR="00C41AEA" w:rsidRDefault="00294004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Dossiers cotés</w:t>
      </w:r>
      <w:r>
        <w:t xml:space="preserve"> (menu) liste tous les dossiers qui vous ont été affectés, y compris ceux déjà traités, avec recherche et filtre par statut.</w:t>
      </w:r>
    </w:p>
    <w:p w14:paraId="7A68E050" w14:textId="77777777" w:rsidR="00C41AEA" w:rsidRDefault="00294004">
      <w:pPr>
        <w:pStyle w:val="Titre2"/>
      </w:pPr>
      <w:bookmarkStart w:id="8" w:name="_Toc243080470"/>
      <w:r>
        <w:t>2.2 Ouvrir et examiner le dossier</w:t>
      </w:r>
      <w:bookmarkEnd w:id="8"/>
    </w:p>
    <w:p w14:paraId="247259D2" w14:textId="77777777" w:rsidR="00C41AEA" w:rsidRDefault="00294004">
      <w:pPr>
        <w:spacing w:after="120" w:line="276" w:lineRule="auto"/>
        <w:jc w:val="both"/>
      </w:pPr>
      <w:r>
        <w:t xml:space="preserve">Le dossier s'ouvre avec, en haut, le </w:t>
      </w:r>
      <w:r>
        <w:rPr>
          <w:b/>
          <w:bCs/>
        </w:rPr>
        <w:t>cadre de décision</w:t>
      </w:r>
      <w:r>
        <w:t xml:space="preserve"> de votre tâche (titre de la tâche et heure</w:t>
      </w:r>
      <w:r>
        <w:t xml:space="preserve"> de réception), puis le formulaire complet en lecture, les pièces jointes (cliquez sur un nom de fichier pour le télécharger), et à droite le paiement, le suivi et les messages.</w:t>
      </w:r>
    </w:p>
    <w:p w14:paraId="51EC9166" w14:textId="77777777" w:rsidR="00C41AEA" w:rsidRDefault="0029400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7FFFFFB" wp14:editId="330C4316">
            <wp:extent cx="5905500" cy="3038475"/>
            <wp:effectExtent l="0" t="0" r="0" b="0"/>
            <wp:docPr id="3" name="es-dossier-fimex" descr="Dossier : formulaire en lecture, paiement et suivi" title="Figure 3 — Dossier : formulaire en lecture, paiement et sui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D429" w14:textId="77777777" w:rsidR="00C41AEA" w:rsidRDefault="0029400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3 — Dossier : formulaire en lecture, paiement et suivi</w:t>
      </w:r>
    </w:p>
    <w:p w14:paraId="4AE22E7E" w14:textId="77777777" w:rsidR="00C41AEA" w:rsidRDefault="00294004">
      <w:pPr>
        <w:pStyle w:val="Titre3"/>
      </w:pPr>
      <w:r>
        <w:t>Points de cont</w:t>
      </w:r>
      <w:r>
        <w:t>rôle pour le VTP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40"/>
        <w:gridCol w:w="5507"/>
        <w:gridCol w:w="1791"/>
      </w:tblGrid>
      <w:tr w:rsidR="00C41AEA" w14:paraId="29A9CDE1" w14:textId="77777777">
        <w:trPr>
          <w:tblHeader/>
        </w:trPr>
        <w:tc>
          <w:tcPr>
            <w:tcW w:w="234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E6C84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550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5EE80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Contrôles de l'agent</w:t>
            </w:r>
          </w:p>
        </w:tc>
        <w:tc>
          <w:tcPr>
            <w:tcW w:w="179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B8994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Référence</w:t>
            </w:r>
          </w:p>
        </w:tc>
      </w:tr>
      <w:tr w:rsidR="00C41AEA" w14:paraId="4EDAC341" w14:textId="77777777">
        <w:trPr>
          <w:cantSplit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C05C7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Recevabilité documentaire</w:t>
            </w:r>
          </w:p>
        </w:tc>
        <w:tc>
          <w:tcPr>
            <w:tcW w:w="55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6A9B6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Présence et lisibilité des pièces P1 à P3 (P4 si dérogation) ; cohérence entre la facture proforma et le formulaire ; FIMEX valide</w:t>
            </w:r>
          </w:p>
        </w:tc>
        <w:tc>
          <w:tcPr>
            <w:tcW w:w="17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9A639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SFD VTP UC-03</w:t>
            </w:r>
          </w:p>
        </w:tc>
      </w:tr>
      <w:tr w:rsidR="00C41AEA" w14:paraId="02EAA2B1" w14:textId="77777777">
        <w:trPr>
          <w:cantSplit/>
        </w:trPr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179D8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Étude approfondie</w:t>
            </w:r>
          </w:p>
        </w:tc>
        <w:tc>
          <w:tcPr>
            <w:tcW w:w="5507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C1628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Conformité sanitaire : désignation conforme à l'AMM, codes AMM actifs, additifs (Codex), quantités ; saisie des conditions du visa définitif</w:t>
            </w:r>
          </w:p>
        </w:tc>
        <w:tc>
          <w:tcPr>
            <w:tcW w:w="1791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AC955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SFD VTP UC-04</w:t>
            </w:r>
          </w:p>
        </w:tc>
      </w:tr>
      <w:tr w:rsidR="00C41AEA" w14:paraId="65680D66" w14:textId="77777777">
        <w:trPr>
          <w:cantSplit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0077C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Amendement</w:t>
            </w:r>
          </w:p>
        </w:tc>
        <w:tc>
          <w:tcPr>
            <w:tcW w:w="55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202E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Pas d'instruction : l'amendement va directement au signataire</w:t>
            </w:r>
          </w:p>
        </w:tc>
        <w:tc>
          <w:tcPr>
            <w:tcW w:w="17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B4021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UC-06, UC-07</w:t>
            </w:r>
          </w:p>
        </w:tc>
      </w:tr>
    </w:tbl>
    <w:p w14:paraId="63D6F2F8" w14:textId="77777777" w:rsidR="00C41AEA" w:rsidRDefault="00294004">
      <w:pPr>
        <w:pBdr>
          <w:left w:val="single" w:sz="18" w:space="8" w:color="2E7D32"/>
        </w:pBdr>
        <w:shd w:val="clear" w:color="auto" w:fill="E8F3EA"/>
        <w:spacing w:before="80" w:after="160" w:line="264" w:lineRule="auto"/>
        <w:ind w:left="120" w:right="120"/>
      </w:pPr>
      <w:r>
        <w:rPr>
          <w:b/>
          <w:bCs/>
          <w:color w:val="2E7D32"/>
        </w:rPr>
        <w:t xml:space="preserve">Astuce — </w:t>
      </w:r>
      <w:r>
        <w:t>Les contrôles automatiques (champs obligatoires, AMM, FIMEX, pièces) ont déjà été faits au dépôt : concentrez-vous sur ce qu'une machine ne peut pas vérifier (contenu des pièces, cohérence métier).</w:t>
      </w:r>
    </w:p>
    <w:p w14:paraId="48340A08" w14:textId="77777777" w:rsidR="00C41AEA" w:rsidRDefault="00294004">
      <w:pPr>
        <w:pStyle w:val="Titre2"/>
      </w:pPr>
      <w:bookmarkStart w:id="9" w:name="_Toc243080471"/>
      <w:r>
        <w:t>2.3 Décider</w:t>
      </w:r>
      <w:bookmarkEnd w:id="9"/>
    </w:p>
    <w:p w14:paraId="0F71AB01" w14:textId="77777777" w:rsidR="00C41AEA" w:rsidRDefault="00294004">
      <w:pPr>
        <w:spacing w:after="120" w:line="276" w:lineRule="auto"/>
        <w:jc w:val="both"/>
      </w:pPr>
      <w:r>
        <w:t>Le cadre de décision affiche « Vérifi</w:t>
      </w:r>
      <w:r>
        <w:t>ez la conformité documentaire puis décidez. L'observation est transmise au demandeur. »</w:t>
      </w:r>
    </w:p>
    <w:p w14:paraId="16B9ED87" w14:textId="77777777" w:rsidR="00C41AEA" w:rsidRDefault="00294004">
      <w:pPr>
        <w:pStyle w:val="Paragraphedeliste"/>
        <w:numPr>
          <w:ilvl w:val="0"/>
          <w:numId w:val="4"/>
        </w:numPr>
        <w:spacing w:after="60" w:line="264" w:lineRule="auto"/>
      </w:pPr>
      <w:r>
        <w:t xml:space="preserve">Si la tâche le prévoit, renseignez la partie </w:t>
      </w:r>
      <w:r>
        <w:rPr>
          <w:b/>
          <w:bCs/>
        </w:rPr>
        <w:t>Données d'instruction</w:t>
      </w:r>
      <w:r>
        <w:t xml:space="preserve"> (« Données saisies par l'organisme instructeur ; celles marquées * sont exigées pour une décision fav</w:t>
      </w:r>
      <w:r>
        <w:t>orable ») : pour le VTP, les conditions du visa définitif. Ces données ne sont ni visibles ni modifiables par le demandeur.</w:t>
      </w:r>
    </w:p>
    <w:p w14:paraId="75DA154D" w14:textId="77777777" w:rsidR="00C41AEA" w:rsidRDefault="00294004">
      <w:pPr>
        <w:pStyle w:val="Paragraphedeliste"/>
        <w:numPr>
          <w:ilvl w:val="0"/>
          <w:numId w:val="4"/>
        </w:numPr>
        <w:spacing w:after="60" w:line="264" w:lineRule="auto"/>
      </w:pPr>
      <w:r>
        <w:t>Rédigez l'</w:t>
      </w:r>
      <w:r>
        <w:rPr>
          <w:b/>
          <w:bCs/>
        </w:rPr>
        <w:t>Observation</w:t>
      </w:r>
      <w:r>
        <w:t xml:space="preserve"> : motif, éléments manquants ou remarques. Elle est transmise au destinataire de la décision.</w:t>
      </w:r>
    </w:p>
    <w:p w14:paraId="4A703331" w14:textId="77777777" w:rsidR="00C41AEA" w:rsidRDefault="00294004">
      <w:pPr>
        <w:pStyle w:val="Paragraphedeliste"/>
        <w:numPr>
          <w:ilvl w:val="0"/>
          <w:numId w:val="4"/>
        </w:numPr>
        <w:spacing w:after="60" w:line="264" w:lineRule="auto"/>
      </w:pPr>
      <w:r>
        <w:t>Cliquez sur la dé</w:t>
      </w:r>
      <w:r>
        <w:t>cision voulue 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77"/>
        <w:gridCol w:w="5354"/>
        <w:gridCol w:w="1607"/>
      </w:tblGrid>
      <w:tr w:rsidR="00C41AEA" w14:paraId="07394E54" w14:textId="77777777">
        <w:trPr>
          <w:tblHeader/>
        </w:trPr>
        <w:tc>
          <w:tcPr>
            <w:tcW w:w="267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8C155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Bouton</w:t>
            </w:r>
          </w:p>
        </w:tc>
        <w:tc>
          <w:tcPr>
            <w:tcW w:w="535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DAE40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Effet</w:t>
            </w:r>
          </w:p>
        </w:tc>
        <w:tc>
          <w:tcPr>
            <w:tcW w:w="160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294F4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Observation</w:t>
            </w:r>
          </w:p>
        </w:tc>
      </w:tr>
      <w:tr w:rsidR="00C41AEA" w14:paraId="1D9C49F1" w14:textId="77777777">
        <w:trPr>
          <w:cantSplit/>
        </w:trPr>
        <w:tc>
          <w:tcPr>
            <w:tcW w:w="26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E9F64" w14:textId="77777777" w:rsidR="00C41AEA" w:rsidRDefault="0029400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Demander un complément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5A5FA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 xml:space="preserve">Le dossier passe à « Complément d'information demandé » ; l'opérateur est notifié (message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VTP_COMPLEMENT</w:t>
            </w:r>
            <w:r>
              <w:rPr>
                <w:sz w:val="19"/>
                <w:szCs w:val="19"/>
              </w:rPr>
              <w:t xml:space="preserve">) ; à sa réponse, le dossier revient à </w:t>
            </w:r>
            <w:r>
              <w:rPr>
                <w:b/>
                <w:bCs/>
                <w:sz w:val="19"/>
                <w:szCs w:val="19"/>
              </w:rPr>
              <w:t>cette même étape</w:t>
            </w:r>
          </w:p>
        </w:tc>
        <w:tc>
          <w:tcPr>
            <w:tcW w:w="16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622E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Obligatoire</w:t>
            </w:r>
          </w:p>
        </w:tc>
      </w:tr>
      <w:tr w:rsidR="00C41AEA" w14:paraId="383547DC" w14:textId="77777777">
        <w:trPr>
          <w:cantSplit/>
        </w:trPr>
        <w:tc>
          <w:tcPr>
            <w:tcW w:w="2677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D641E" w14:textId="77777777" w:rsidR="00C41AEA" w:rsidRDefault="0029400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Valider</w:t>
            </w:r>
          </w:p>
        </w:tc>
        <w:tc>
          <w:tcPr>
            <w:tcW w:w="5354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683E7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Recevabilité : passage à l'étude approfondie. Étude approfondie : transmission au signataire (« En attente de signature »)</w:t>
            </w:r>
          </w:p>
        </w:tc>
        <w:tc>
          <w:tcPr>
            <w:tcW w:w="1607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F06D1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Facultative</w:t>
            </w:r>
          </w:p>
        </w:tc>
      </w:tr>
      <w:tr w:rsidR="00C41AEA" w14:paraId="455D2244" w14:textId="77777777">
        <w:trPr>
          <w:cantSplit/>
        </w:trPr>
        <w:tc>
          <w:tcPr>
            <w:tcW w:w="26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284C8" w14:textId="77777777" w:rsidR="00C41AEA" w:rsidRDefault="0029400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Rejeter</w:t>
            </w:r>
            <w:r>
              <w:rPr>
                <w:sz w:val="19"/>
                <w:szCs w:val="19"/>
              </w:rPr>
              <w:t xml:space="preserve"> (si la procédure le prévoit)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CDFE6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Fin du dossier, statut « Rejeté », décision envoyée au demandeur</w:t>
            </w:r>
          </w:p>
        </w:tc>
        <w:tc>
          <w:tcPr>
            <w:tcW w:w="16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63C1E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Obligatoire</w:t>
            </w:r>
          </w:p>
        </w:tc>
      </w:tr>
    </w:tbl>
    <w:p w14:paraId="20F85C9A" w14:textId="77777777" w:rsidR="00C41AEA" w:rsidRDefault="00294004">
      <w:pPr>
        <w:pBdr>
          <w:left w:val="single" w:sz="18" w:space="8" w:color="1F4E79"/>
        </w:pBdr>
        <w:shd w:val="clear" w:color="auto" w:fill="EAF2FB"/>
        <w:spacing w:before="80" w:after="160" w:line="264" w:lineRule="auto"/>
        <w:ind w:left="120" w:right="120"/>
      </w:pPr>
      <w:r>
        <w:rPr>
          <w:b/>
          <w:bCs/>
          <w:color w:val="1F4E79"/>
        </w:rPr>
        <w:lastRenderedPageBreak/>
        <w:t xml:space="preserve">Résultat attendu — </w:t>
      </w:r>
      <w:r>
        <w:t xml:space="preserve">Le message « Décision enregistrée : … » s'affiche, la tâche disparaît de </w:t>
      </w:r>
      <w:r>
        <w:rPr>
          <w:b/>
          <w:bCs/>
        </w:rPr>
        <w:t>Mes tâches</w:t>
      </w:r>
      <w:r>
        <w:t xml:space="preserve"> et un événement est ajouté au </w:t>
      </w:r>
      <w:r>
        <w:rPr>
          <w:b/>
          <w:bCs/>
        </w:rPr>
        <w:t>Suivi</w:t>
      </w:r>
      <w:r>
        <w:t xml:space="preserve"> (date, votre identifiant, observation).</w:t>
      </w:r>
    </w:p>
    <w:p w14:paraId="730547E0" w14:textId="77777777" w:rsidR="00C41AEA" w:rsidRDefault="00294004">
      <w:pPr>
        <w:pBdr>
          <w:left w:val="single" w:sz="18" w:space="8" w:color="B45309"/>
        </w:pBdr>
        <w:shd w:val="clear" w:color="auto" w:fill="FFF4E5"/>
        <w:spacing w:before="80" w:after="160" w:line="264" w:lineRule="auto"/>
        <w:ind w:left="120" w:right="120"/>
      </w:pPr>
      <w:r>
        <w:rPr>
          <w:b/>
          <w:bCs/>
          <w:color w:val="B45309"/>
        </w:rPr>
        <w:t xml:space="preserve">Attention — </w:t>
      </w:r>
      <w:r>
        <w:t>Une décision ne peut pas être annulée. En cas d'erreur, seul le s</w:t>
      </w:r>
      <w:r>
        <w:t>ignataire peut renvoyer le dossier pour réexamen.</w:t>
      </w:r>
    </w:p>
    <w:p w14:paraId="2CA3449A" w14:textId="77777777" w:rsidR="00C41AEA" w:rsidRDefault="00294004">
      <w:pPr>
        <w:pStyle w:val="Titre1"/>
        <w:pageBreakBefore/>
      </w:pPr>
      <w:bookmarkStart w:id="10" w:name="_Toc243080472"/>
      <w:r>
        <w:lastRenderedPageBreak/>
        <w:t>3. Signataire</w:t>
      </w:r>
      <w:bookmarkEnd w:id="10"/>
    </w:p>
    <w:p w14:paraId="0E8B94E6" w14:textId="77777777" w:rsidR="00C41AEA" w:rsidRDefault="00294004">
      <w:pPr>
        <w:pStyle w:val="Titre2"/>
      </w:pPr>
      <w:bookmarkStart w:id="11" w:name="_Toc243080473"/>
      <w:r>
        <w:t>3.1 Recevoir le dossier</w:t>
      </w:r>
      <w:bookmarkEnd w:id="11"/>
    </w:p>
    <w:p w14:paraId="1BDC03F0" w14:textId="77777777" w:rsidR="00C41AEA" w:rsidRDefault="00294004">
      <w:pPr>
        <w:spacing w:after="120" w:line="276" w:lineRule="auto"/>
        <w:jc w:val="both"/>
      </w:pPr>
      <w:r>
        <w:t xml:space="preserve">Le dossier validé par l'agent apparaît dans </w:t>
      </w:r>
      <w:r>
        <w:rPr>
          <w:b/>
          <w:bCs/>
        </w:rPr>
        <w:t>Mes tâches</w:t>
      </w:r>
      <w:r>
        <w:t xml:space="preserve"> (compteur </w:t>
      </w:r>
      <w:r>
        <w:rPr>
          <w:b/>
          <w:bCs/>
        </w:rPr>
        <w:t>à signer</w:t>
      </w:r>
      <w:r>
        <w:t xml:space="preserve">), statut </w:t>
      </w:r>
      <w:r>
        <w:rPr>
          <w:b/>
          <w:bCs/>
        </w:rPr>
        <w:t>En attente de signature</w:t>
      </w:r>
      <w:r>
        <w:t xml:space="preserve">. Le cadre de décision rappelle l'observation de l'agent ; le </w:t>
      </w:r>
      <w:r>
        <w:rPr>
          <w:b/>
          <w:bCs/>
        </w:rPr>
        <w:t>Suivi</w:t>
      </w:r>
      <w:r>
        <w:t xml:space="preserve"> montre tout l'historique d'instruction.</w:t>
      </w:r>
    </w:p>
    <w:p w14:paraId="628FD37F" w14:textId="77777777" w:rsidR="00C41AEA" w:rsidRDefault="00294004">
      <w:pPr>
        <w:pStyle w:val="Titre2"/>
      </w:pPr>
      <w:bookmarkStart w:id="12" w:name="_Toc243080474"/>
      <w:r>
        <w:t>3.2 Prévisualiser le livrable</w:t>
      </w:r>
      <w:bookmarkEnd w:id="12"/>
    </w:p>
    <w:p w14:paraId="42B189A6" w14:textId="77777777" w:rsidR="00C41AEA" w:rsidRDefault="00294004">
      <w:pPr>
        <w:spacing w:after="120" w:line="276" w:lineRule="auto"/>
        <w:jc w:val="both"/>
      </w:pPr>
      <w:r>
        <w:t xml:space="preserve">Le bouton </w:t>
      </w:r>
      <w:r>
        <w:rPr>
          <w:b/>
          <w:bCs/>
        </w:rPr>
        <w:t>Aperçu du livrable (brouillon)</w:t>
      </w:r>
      <w:r>
        <w:t xml:space="preserve"> génère le document tel qu'il sera délivré, avec un filigrane « brouillon » : vérifiez le titre (« VISA TECHNIQUE PROVISOIRE »), les données reportées (raison sociale, NIU, numéro de transaction, produits…) et les mentions. Rien n'est enregistré.</w:t>
      </w:r>
    </w:p>
    <w:p w14:paraId="2FFA8F54" w14:textId="77777777" w:rsidR="00C41AEA" w:rsidRDefault="00294004">
      <w:pPr>
        <w:pStyle w:val="Titre2"/>
      </w:pPr>
      <w:bookmarkStart w:id="13" w:name="_Toc243080475"/>
      <w:r>
        <w:t>3.3 Décid</w:t>
      </w:r>
      <w:r>
        <w:t>er et signer</w:t>
      </w:r>
      <w:bookmarkEnd w:id="13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77"/>
        <w:gridCol w:w="5354"/>
        <w:gridCol w:w="1607"/>
      </w:tblGrid>
      <w:tr w:rsidR="00C41AEA" w14:paraId="1BD3B69C" w14:textId="77777777">
        <w:trPr>
          <w:tblHeader/>
        </w:trPr>
        <w:tc>
          <w:tcPr>
            <w:tcW w:w="267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9642E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Bouton</w:t>
            </w:r>
          </w:p>
        </w:tc>
        <w:tc>
          <w:tcPr>
            <w:tcW w:w="535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50A50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Effet</w:t>
            </w:r>
          </w:p>
        </w:tc>
        <w:tc>
          <w:tcPr>
            <w:tcW w:w="160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94B1F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Observation</w:t>
            </w:r>
          </w:p>
        </w:tc>
      </w:tr>
      <w:tr w:rsidR="00C41AEA" w14:paraId="331AD707" w14:textId="77777777">
        <w:trPr>
          <w:cantSplit/>
        </w:trPr>
        <w:tc>
          <w:tcPr>
            <w:tcW w:w="26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14A0D" w14:textId="77777777" w:rsidR="00C41AEA" w:rsidRDefault="0029400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Valider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2A439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 xml:space="preserve">Le livrable est généré, numéroté (CUR + code document), signé, doté du code QR et du cachet électronique ; il est publié dans l'onglet </w:t>
            </w:r>
            <w:r>
              <w:rPr>
                <w:b/>
                <w:bCs/>
                <w:sz w:val="19"/>
                <w:szCs w:val="19"/>
              </w:rPr>
              <w:t>Livrables</w:t>
            </w:r>
            <w:r>
              <w:rPr>
                <w:sz w:val="19"/>
                <w:szCs w:val="19"/>
              </w:rPr>
              <w:t xml:space="preserve"> de l'opérateur ; les avis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VTP_AVIS_DOUANE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VTP_AVIS_SGS</w:t>
            </w:r>
            <w:r>
              <w:rPr>
                <w:sz w:val="19"/>
                <w:szCs w:val="19"/>
              </w:rPr>
              <w:t xml:space="preserve"> partent ; statut </w:t>
            </w:r>
            <w:r>
              <w:rPr>
                <w:b/>
                <w:bCs/>
                <w:sz w:val="19"/>
                <w:szCs w:val="19"/>
              </w:rPr>
              <w:t>Validé</w:t>
            </w:r>
          </w:p>
        </w:tc>
        <w:tc>
          <w:tcPr>
            <w:tcW w:w="16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2EDD4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Facultative</w:t>
            </w:r>
          </w:p>
        </w:tc>
      </w:tr>
      <w:tr w:rsidR="00C41AEA" w14:paraId="52A7CF32" w14:textId="77777777">
        <w:trPr>
          <w:cantSplit/>
        </w:trPr>
        <w:tc>
          <w:tcPr>
            <w:tcW w:w="2677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7E882" w14:textId="77777777" w:rsidR="00C41AEA" w:rsidRDefault="0029400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Retourner pour réexamen</w:t>
            </w:r>
          </w:p>
        </w:tc>
        <w:tc>
          <w:tcPr>
            <w:tcW w:w="5354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F8935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Le dossier revient à l'agent de traitement (règle RG001)</w:t>
            </w:r>
          </w:p>
        </w:tc>
        <w:tc>
          <w:tcPr>
            <w:tcW w:w="1607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FA91E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Obligatoire</w:t>
            </w:r>
          </w:p>
        </w:tc>
      </w:tr>
      <w:tr w:rsidR="00C41AEA" w14:paraId="6F2145F9" w14:textId="77777777">
        <w:trPr>
          <w:cantSplit/>
        </w:trPr>
        <w:tc>
          <w:tcPr>
            <w:tcW w:w="26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48F34" w14:textId="77777777" w:rsidR="00C41AEA" w:rsidRDefault="0029400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Rejeter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66FCB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 xml:space="preserve">Statut </w:t>
            </w:r>
            <w:r>
              <w:rPr>
                <w:b/>
                <w:bCs/>
                <w:sz w:val="19"/>
                <w:szCs w:val="19"/>
              </w:rPr>
              <w:t>Rejeté</w:t>
            </w:r>
            <w:r>
              <w:rPr>
                <w:sz w:val="19"/>
                <w:szCs w:val="19"/>
              </w:rPr>
              <w:t xml:space="preserve"> ; décision motivée envoyée à l'opérateur (message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VTP_DECISION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6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B9789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Obligatoire</w:t>
            </w:r>
          </w:p>
        </w:tc>
      </w:tr>
    </w:tbl>
    <w:p w14:paraId="6A864E2D" w14:textId="77777777" w:rsidR="00C41AEA" w:rsidRDefault="0029400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7876630E" wp14:editId="70C2F589">
            <wp:extent cx="5905500" cy="3038475"/>
            <wp:effectExtent l="0" t="0" r="0" b="0"/>
            <wp:docPr id="4" name="es-livrable-fimex" descr="Livrable délivré : visible par l'opérateur, vérifiable" title="Figure 4 — Livrable délivré : visible par l'opérateur, vérif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03C4" w14:textId="77777777" w:rsidR="00C41AEA" w:rsidRDefault="0029400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4 — Livrable délivré : visible par l'opérateur, vérifiable</w:t>
      </w:r>
    </w:p>
    <w:p w14:paraId="5A0753DD" w14:textId="77777777" w:rsidR="00C41AEA" w:rsidRDefault="00294004">
      <w:pPr>
        <w:pBdr>
          <w:left w:val="single" w:sz="18" w:space="8" w:color="1F4E79"/>
        </w:pBdr>
        <w:spacing w:before="60" w:after="160"/>
        <w:ind w:left="200"/>
      </w:pPr>
      <w:r>
        <w:rPr>
          <w:i/>
          <w:iCs/>
          <w:color w:val="595959"/>
        </w:rPr>
        <w:t>Pour un amendement, le nouveau livrable remplace l'ancien, qui passe à l'état SUPERSEDED et devient « non valide » à la vérification.</w:t>
      </w:r>
    </w:p>
    <w:p w14:paraId="66292112" w14:textId="77777777" w:rsidR="00C41AEA" w:rsidRDefault="00294004">
      <w:pPr>
        <w:pStyle w:val="Titre1"/>
        <w:pageBreakBefore/>
      </w:pPr>
      <w:bookmarkStart w:id="14" w:name="_Toc243080476"/>
      <w:r>
        <w:lastRenderedPageBreak/>
        <w:t>4. Superviseur</w:t>
      </w:r>
      <w:bookmarkEnd w:id="14"/>
    </w:p>
    <w:p w14:paraId="52E69CEF" w14:textId="77777777" w:rsidR="00C41AEA" w:rsidRDefault="00294004">
      <w:pPr>
        <w:pStyle w:val="Titre2"/>
      </w:pPr>
      <w:bookmarkStart w:id="15" w:name="_Toc243080477"/>
      <w:r>
        <w:t>4.1 Tableau de bord de supervision</w:t>
      </w:r>
      <w:bookmarkEnd w:id="15"/>
    </w:p>
    <w:p w14:paraId="741F5E27" w14:textId="77777777" w:rsidR="00C41AEA" w:rsidRDefault="0029400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025286E1" wp14:editId="330D0DD3">
            <wp:extent cx="5905500" cy="3038475"/>
            <wp:effectExtent l="0" t="0" r="0" b="0"/>
            <wp:docPr id="5" name="es-supervision" descr="Supervision : indicateurs, dossiers par statut, encaissements" title="Figure 5 — Supervision : indicateurs, dossiers par statut, encaiss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FC7F" w14:textId="77777777" w:rsidR="00C41AEA" w:rsidRDefault="0029400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5 — Supervision : indicateurs, dossiers par statut, encaissements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53"/>
        <w:gridCol w:w="6885"/>
      </w:tblGrid>
      <w:tr w:rsidR="00C41AEA" w14:paraId="176C4A0B" w14:textId="77777777">
        <w:trPr>
          <w:tblHeader/>
        </w:trPr>
        <w:tc>
          <w:tcPr>
            <w:tcW w:w="275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27791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Bloc</w:t>
            </w:r>
          </w:p>
        </w:tc>
        <w:tc>
          <w:tcPr>
            <w:tcW w:w="688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D103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Lecture</w:t>
            </w:r>
          </w:p>
        </w:tc>
      </w:tr>
      <w:tr w:rsidR="00C41AEA" w14:paraId="04CDA8D9" w14:textId="77777777">
        <w:trPr>
          <w:cantSplit/>
        </w:trPr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13554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Indicateurs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7AD3C" w14:textId="77777777" w:rsidR="00C41AEA" w:rsidRDefault="0029400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dossiers déposés</w:t>
            </w:r>
            <w:r>
              <w:rPr>
                <w:sz w:val="19"/>
                <w:szCs w:val="19"/>
              </w:rPr>
              <w:t xml:space="preserve"> (dont actifs), </w:t>
            </w:r>
            <w:r>
              <w:rPr>
                <w:b/>
                <w:bCs/>
                <w:sz w:val="19"/>
                <w:szCs w:val="19"/>
              </w:rPr>
              <w:t>en retard</w:t>
            </w:r>
            <w:r>
              <w:rPr>
                <w:sz w:val="19"/>
                <w:szCs w:val="19"/>
              </w:rPr>
              <w:t xml:space="preserve"> (échéance dépassée), </w:t>
            </w:r>
            <w:r>
              <w:rPr>
                <w:b/>
                <w:bCs/>
                <w:sz w:val="19"/>
                <w:szCs w:val="19"/>
              </w:rPr>
              <w:t>délai moyen de délivrance</w:t>
            </w:r>
            <w:r>
              <w:rPr>
                <w:sz w:val="19"/>
                <w:szCs w:val="19"/>
              </w:rPr>
              <w:t xml:space="preserve"> comparé à la cible de la SFD (48 h pour FIMEX et VTP), </w:t>
            </w:r>
            <w:r>
              <w:rPr>
                <w:b/>
                <w:bCs/>
                <w:sz w:val="19"/>
                <w:szCs w:val="19"/>
              </w:rPr>
              <w:t>XAF encaissés</w:t>
            </w:r>
            <w:r>
              <w:rPr>
                <w:sz w:val="19"/>
                <w:szCs w:val="19"/>
              </w:rPr>
              <w:t xml:space="preserve"> (et avis en attente)</w:t>
            </w:r>
          </w:p>
        </w:tc>
      </w:tr>
      <w:tr w:rsidR="00C41AEA" w14:paraId="038971B3" w14:textId="77777777">
        <w:trPr>
          <w:cantSplit/>
        </w:trPr>
        <w:tc>
          <w:tcPr>
            <w:tcW w:w="275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33C56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Dossiers par statut</w:t>
            </w:r>
          </w:p>
        </w:tc>
        <w:tc>
          <w:tcPr>
            <w:tcW w:w="6885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E8F3A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Répartition par statut et par procédure</w:t>
            </w:r>
          </w:p>
        </w:tc>
      </w:tr>
      <w:tr w:rsidR="00C41AEA" w14:paraId="6BAEA819" w14:textId="77777777">
        <w:trPr>
          <w:cantSplit/>
        </w:trPr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B9A65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Dossiers par type et nature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F01A3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Procédure, type, nature, nombre</w:t>
            </w:r>
          </w:p>
        </w:tc>
      </w:tr>
      <w:tr w:rsidR="00C41AEA" w14:paraId="72644AD2" w14:textId="77777777">
        <w:trPr>
          <w:cantSplit/>
        </w:trPr>
        <w:tc>
          <w:tcPr>
            <w:tcW w:w="275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3B7C7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Encaissements par bénéficiaire</w:t>
            </w:r>
          </w:p>
        </w:tc>
        <w:tc>
          <w:tcPr>
            <w:tcW w:w="6885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E07F6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 xml:space="preserve">Montants par bénéficiaire (MINCOMMERCE, CNCC, GUCE, DGI…) ; lien </w:t>
            </w:r>
            <w:r>
              <w:rPr>
                <w:b/>
                <w:bCs/>
                <w:sz w:val="19"/>
                <w:szCs w:val="19"/>
              </w:rPr>
              <w:t>Détail</w:t>
            </w:r>
            <w:r>
              <w:rPr>
                <w:sz w:val="19"/>
                <w:szCs w:val="19"/>
              </w:rPr>
              <w:t xml:space="preserve"> vers Encaissements</w:t>
            </w:r>
          </w:p>
        </w:tc>
      </w:tr>
      <w:tr w:rsidR="00C41AEA" w14:paraId="6ED5D5D2" w14:textId="77777777">
        <w:trPr>
          <w:cantSplit/>
        </w:trPr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74E0F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Messages par format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3AFE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 xml:space="preserve">Messages émis et reçus par format (JSON, XML, CSV, TXT…) ; lien </w:t>
            </w:r>
            <w:r>
              <w:rPr>
                <w:b/>
                <w:bCs/>
                <w:sz w:val="19"/>
                <w:szCs w:val="19"/>
              </w:rPr>
              <w:t>Journal des messages</w:t>
            </w:r>
          </w:p>
        </w:tc>
      </w:tr>
      <w:tr w:rsidR="00C41AEA" w14:paraId="3FE7986D" w14:textId="77777777">
        <w:trPr>
          <w:cantSplit/>
        </w:trPr>
        <w:tc>
          <w:tcPr>
            <w:tcW w:w="275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8D84C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Procédures déployées</w:t>
            </w:r>
          </w:p>
        </w:tc>
        <w:tc>
          <w:tcPr>
            <w:tcW w:w="6885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E8A96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Libellé, version et date de déploiement</w:t>
            </w:r>
          </w:p>
        </w:tc>
      </w:tr>
      <w:tr w:rsidR="00C41AEA" w14:paraId="4AD67F85" w14:textId="77777777">
        <w:trPr>
          <w:cantSplit/>
        </w:trPr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51B5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Journal d'audit (chaîné)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E6ADD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Date, acteur, canal (UI, API, ENGINE), action, dossier, empreinte ; les empreintes chaînées rendent toute modification détectable</w:t>
            </w:r>
          </w:p>
        </w:tc>
      </w:tr>
    </w:tbl>
    <w:p w14:paraId="21E6E5FD" w14:textId="77777777" w:rsidR="00C41AEA" w:rsidRDefault="00294004">
      <w:pPr>
        <w:spacing w:after="120" w:line="276" w:lineRule="auto"/>
        <w:jc w:val="both"/>
      </w:pPr>
      <w:r>
        <w:rPr>
          <w:b/>
          <w:bCs/>
        </w:rPr>
        <w:t>Actualiser</w:t>
      </w:r>
      <w:r>
        <w:t xml:space="preserve"> recharge les chiffres.</w:t>
      </w:r>
    </w:p>
    <w:p w14:paraId="3211D821" w14:textId="77777777" w:rsidR="00C41AEA" w:rsidRDefault="00294004">
      <w:pPr>
        <w:pStyle w:val="Titre2"/>
      </w:pPr>
      <w:bookmarkStart w:id="16" w:name="_Toc243080478"/>
      <w:r>
        <w:lastRenderedPageBreak/>
        <w:t>4.2 Tous les dossiers</w:t>
      </w:r>
      <w:bookmarkEnd w:id="16"/>
    </w:p>
    <w:p w14:paraId="719D2CD2" w14:textId="77777777" w:rsidR="00C41AEA" w:rsidRDefault="0029400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16D83851" wp14:editId="7FF52BAD">
            <wp:extent cx="5905500" cy="3038475"/>
            <wp:effectExtent l="0" t="0" r="0" b="0"/>
            <wp:docPr id="6" name="es-tous-dossiers" descr="Tous les dossiers, avec agent et signataire affectés" title="Figure 6 — Tous les dossiers, avec agent et signataire affect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7564" w14:textId="77777777" w:rsidR="00C41AEA" w:rsidRDefault="0029400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6 — Tous les dossiers, avec agent et signataire affectés</w:t>
      </w:r>
    </w:p>
    <w:p w14:paraId="261D55F8" w14:textId="77777777" w:rsidR="00C41AEA" w:rsidRDefault="00294004">
      <w:pPr>
        <w:pStyle w:val="Paragraphedeliste"/>
        <w:numPr>
          <w:ilvl w:val="0"/>
          <w:numId w:val="3"/>
        </w:numPr>
        <w:spacing w:after="60" w:line="264" w:lineRule="auto"/>
      </w:pPr>
      <w:r>
        <w:t>Tou</w:t>
      </w:r>
      <w:r>
        <w:t xml:space="preserve">s les dossiers déposés, toutes procédures : CUR, procédure, nature, opérateur, </w:t>
      </w:r>
      <w:r>
        <w:rPr>
          <w:b/>
          <w:bCs/>
        </w:rPr>
        <w:t>AGENT</w:t>
      </w:r>
      <w:r>
        <w:t xml:space="preserve"> et signataire cotés, date de dépôt, </w:t>
      </w:r>
      <w:r>
        <w:rPr>
          <w:b/>
          <w:bCs/>
        </w:rPr>
        <w:t>ÉCHÉANCE</w:t>
      </w:r>
      <w:r>
        <w:t xml:space="preserve"> (en rouge si dépassée), statut.</w:t>
      </w:r>
    </w:p>
    <w:p w14:paraId="4E77E05D" w14:textId="77777777" w:rsidR="00C41AEA" w:rsidRDefault="00294004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Recherche par CUR, NIU ou raison sociale, filtre </w:t>
      </w:r>
      <w:r>
        <w:rPr>
          <w:b/>
          <w:bCs/>
        </w:rPr>
        <w:t>Statut</w:t>
      </w:r>
      <w:r>
        <w:t xml:space="preserve">, et </w:t>
      </w:r>
      <w:r>
        <w:rPr>
          <w:b/>
          <w:bCs/>
        </w:rPr>
        <w:t>Critère indexé</w:t>
      </w:r>
      <w:r>
        <w:t xml:space="preserve"> : recherche sur un </w:t>
      </w:r>
      <w:r>
        <w:t xml:space="preserve">champ indexé du formulaire (par exemple </w:t>
      </w:r>
      <w:r>
        <w:rPr>
          <w:rFonts w:ascii="Consolas" w:eastAsia="Consolas" w:hAnsi="Consolas" w:cs="Consolas"/>
          <w:color w:val="7A2E0E"/>
          <w:sz w:val="19"/>
          <w:szCs w:val="19"/>
        </w:rPr>
        <w:t>commodityClassification</w:t>
      </w:r>
      <w:r>
        <w:t xml:space="preserve"> pour un code SH).</w:t>
      </w:r>
    </w:p>
    <w:p w14:paraId="67E71E62" w14:textId="77777777" w:rsidR="00C41AEA" w:rsidRDefault="00294004">
      <w:pPr>
        <w:pStyle w:val="Titre2"/>
      </w:pPr>
      <w:bookmarkStart w:id="17" w:name="_Toc243080479"/>
      <w:r>
        <w:t>4.3 Encaissements</w:t>
      </w:r>
      <w:bookmarkEnd w:id="17"/>
    </w:p>
    <w:p w14:paraId="28858433" w14:textId="77777777" w:rsidR="00C41AEA" w:rsidRDefault="0029400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7B998B26" wp14:editId="4C7C2205">
            <wp:extent cx="5905500" cy="3038475"/>
            <wp:effectExtent l="0" t="0" r="0" b="0"/>
            <wp:docPr id="7" name="es-encaissements" descr="Encaissements par bénéficiaire et relevés CSV" title="Figure 7 — Encaissements par bénéficiaire et relevés 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4FE7" w14:textId="77777777" w:rsidR="00C41AEA" w:rsidRDefault="0029400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7 — Encaissements par bénéficiaire et relevés CSV</w:t>
      </w:r>
    </w:p>
    <w:p w14:paraId="565F0D4F" w14:textId="77777777" w:rsidR="00C41AEA" w:rsidRDefault="00294004">
      <w:pPr>
        <w:pStyle w:val="Paragraphedeliste"/>
        <w:numPr>
          <w:ilvl w:val="0"/>
          <w:numId w:val="5"/>
        </w:numPr>
        <w:spacing w:after="60" w:line="264" w:lineRule="auto"/>
      </w:pPr>
      <w:r>
        <w:t xml:space="preserve">Filtrez par </w:t>
      </w:r>
      <w:r>
        <w:rPr>
          <w:b/>
          <w:bCs/>
        </w:rPr>
        <w:t>Procédure</w:t>
      </w:r>
      <w:r>
        <w:t xml:space="preserve"> et période (</w:t>
      </w:r>
      <w:r>
        <w:rPr>
          <w:b/>
          <w:bCs/>
        </w:rPr>
        <w:t>Du</w:t>
      </w:r>
      <w:r>
        <w:t xml:space="preserve">, </w:t>
      </w:r>
      <w:r>
        <w:rPr>
          <w:b/>
          <w:bCs/>
        </w:rPr>
        <w:t>Au</w:t>
      </w:r>
      <w:r>
        <w:t xml:space="preserve">), puis </w:t>
      </w:r>
      <w:r>
        <w:rPr>
          <w:b/>
          <w:bCs/>
        </w:rPr>
        <w:t>Filtrer</w:t>
      </w:r>
      <w:r>
        <w:t>.</w:t>
      </w:r>
    </w:p>
    <w:p w14:paraId="178E78FA" w14:textId="77777777" w:rsidR="00C41AEA" w:rsidRDefault="00294004">
      <w:pPr>
        <w:pStyle w:val="Paragraphedeliste"/>
        <w:numPr>
          <w:ilvl w:val="0"/>
          <w:numId w:val="5"/>
        </w:numPr>
        <w:spacing w:after="60" w:line="264" w:lineRule="auto"/>
      </w:pPr>
      <w:r>
        <w:t xml:space="preserve">Lisez les montants </w:t>
      </w:r>
      <w:r>
        <w:rPr>
          <w:b/>
          <w:bCs/>
        </w:rPr>
        <w:t>encaissés</w:t>
      </w:r>
      <w:r>
        <w:t xml:space="preserve"> et </w:t>
      </w:r>
      <w:r>
        <w:rPr>
          <w:b/>
          <w:bCs/>
        </w:rPr>
        <w:t>en attente</w:t>
      </w:r>
      <w:r>
        <w:t xml:space="preserve">, puis le tableau par </w:t>
      </w:r>
      <w:r>
        <w:rPr>
          <w:b/>
          <w:bCs/>
        </w:rPr>
        <w:t>BÉNÉFICIAIRE</w:t>
      </w:r>
      <w:r>
        <w:t xml:space="preserve"> (nombre d'avis, montant).</w:t>
      </w:r>
    </w:p>
    <w:p w14:paraId="4FC3CA2A" w14:textId="77777777" w:rsidR="00C41AEA" w:rsidRDefault="00294004">
      <w:pPr>
        <w:pStyle w:val="Paragraphedeliste"/>
        <w:numPr>
          <w:ilvl w:val="0"/>
          <w:numId w:val="5"/>
        </w:numPr>
        <w:spacing w:after="60" w:line="264" w:lineRule="auto"/>
      </w:pPr>
      <w:r>
        <w:t xml:space="preserve">Choisissez une procédure pour activer </w:t>
      </w:r>
      <w:r>
        <w:rPr>
          <w:b/>
          <w:bCs/>
        </w:rPr>
        <w:t>Relevé CSV</w:t>
      </w:r>
      <w:r>
        <w:t xml:space="preserve"> : le relevé de reversement est émis comme message CSV du catalogue (flux de reversement) et téléchargé.</w:t>
      </w:r>
    </w:p>
    <w:p w14:paraId="252F81B4" w14:textId="77777777" w:rsidR="00C41AEA" w:rsidRDefault="00294004">
      <w:pPr>
        <w:pStyle w:val="Titre2"/>
      </w:pPr>
      <w:bookmarkStart w:id="18" w:name="_Toc243080480"/>
      <w:r>
        <w:lastRenderedPageBreak/>
        <w:t>4.4 Messages</w:t>
      </w:r>
      <w:bookmarkEnd w:id="18"/>
    </w:p>
    <w:p w14:paraId="2A8FA511" w14:textId="77777777" w:rsidR="00C41AEA" w:rsidRDefault="00294004">
      <w:pPr>
        <w:spacing w:after="120" w:line="276" w:lineRule="auto"/>
        <w:jc w:val="both"/>
      </w:pPr>
      <w:r>
        <w:t xml:space="preserve">La page </w:t>
      </w:r>
      <w:r>
        <w:rPr>
          <w:b/>
          <w:bCs/>
        </w:rPr>
        <w:t>Messages</w:t>
      </w:r>
      <w:r>
        <w:t xml:space="preserve"> liste tous les échanges (demandes, notifications, décisions, paiements, avis aux partenaires), filtrables par message et par format ; un clic ouvre le détail (en-tête, contenu, état de validation, observation).</w:t>
      </w:r>
    </w:p>
    <w:p w14:paraId="63BC4C60" w14:textId="77777777" w:rsidR="00C41AEA" w:rsidRDefault="00294004">
      <w:pPr>
        <w:pBdr>
          <w:left w:val="single" w:sz="18" w:space="8" w:color="1F4E79"/>
        </w:pBdr>
        <w:spacing w:before="60" w:after="160"/>
        <w:ind w:left="200"/>
      </w:pPr>
      <w:r>
        <w:rPr>
          <w:i/>
          <w:iCs/>
          <w:color w:val="595959"/>
        </w:rPr>
        <w:t>Sur la plate-forme de recette du 16/</w:t>
      </w:r>
      <w:r>
        <w:rPr>
          <w:i/>
          <w:iCs/>
          <w:color w:val="595959"/>
        </w:rPr>
        <w:t>10/2026, la page Messages se chargeait très lentement (plusieurs dizaines de secondes) ; le même contenu est consultable par dossier dans le cadre Messages échangés.</w:t>
      </w:r>
    </w:p>
    <w:p w14:paraId="49CAD87D" w14:textId="77777777" w:rsidR="00C41AEA" w:rsidRDefault="00294004">
      <w:pPr>
        <w:pStyle w:val="Titre1"/>
        <w:pageBreakBefore/>
      </w:pPr>
      <w:bookmarkStart w:id="19" w:name="_Toc243080481"/>
      <w:r>
        <w:lastRenderedPageBreak/>
        <w:t>5. Banque</w:t>
      </w:r>
      <w:bookmarkEnd w:id="19"/>
    </w:p>
    <w:p w14:paraId="05E0168B" w14:textId="77777777" w:rsidR="00C41AEA" w:rsidRDefault="00294004">
      <w:pPr>
        <w:spacing w:after="120" w:line="276" w:lineRule="auto"/>
        <w:jc w:val="both"/>
      </w:pPr>
      <w:r>
        <w:t xml:space="preserve">La banque intervient de deux façons : elle </w:t>
      </w:r>
      <w:r>
        <w:rPr>
          <w:b/>
          <w:bCs/>
        </w:rPr>
        <w:t>confirme les paiements</w:t>
      </w:r>
      <w:r>
        <w:t xml:space="preserve"> des avis émis </w:t>
      </w:r>
      <w:r>
        <w:t xml:space="preserve">par le guichet unique, et elle consulte les </w:t>
      </w:r>
      <w:r>
        <w:rPr>
          <w:b/>
          <w:bCs/>
        </w:rPr>
        <w:t>encaissements</w:t>
      </w:r>
      <w:r>
        <w:t>.</w:t>
      </w:r>
    </w:p>
    <w:p w14:paraId="00CD91E4" w14:textId="77777777" w:rsidR="00C41AEA" w:rsidRDefault="00294004">
      <w:pPr>
        <w:pStyle w:val="Titre2"/>
      </w:pPr>
      <w:bookmarkStart w:id="20" w:name="_Toc243080482"/>
      <w:r>
        <w:t>5.1 Confirmer un paiement</w:t>
      </w:r>
      <w:bookmarkEnd w:id="20"/>
    </w:p>
    <w:p w14:paraId="69627E90" w14:textId="77777777" w:rsidR="00C41AEA" w:rsidRDefault="00294004">
      <w:pPr>
        <w:spacing w:after="120" w:line="276" w:lineRule="auto"/>
        <w:jc w:val="both"/>
      </w:pPr>
      <w:r>
        <w:t xml:space="preserve">En production, le système d'information de la banque envoie un message </w:t>
      </w:r>
      <w:r>
        <w:rPr>
          <w:rFonts w:ascii="Consolas" w:eastAsia="Consolas" w:hAnsi="Consolas" w:cs="Consolas"/>
          <w:color w:val="7A2E0E"/>
          <w:sz w:val="19"/>
          <w:szCs w:val="19"/>
        </w:rPr>
        <w:t>PAYMENT_CONFIRMATION</w:t>
      </w:r>
      <w:r>
        <w:t xml:space="preserve"> (XML, UN/CEFACT Rec. 17 / ISO 20022 simplifié) à l'API </w:t>
      </w:r>
      <w:r>
        <w:rPr>
          <w:rFonts w:ascii="Consolas" w:eastAsia="Consolas" w:hAnsi="Consolas" w:cs="Consolas"/>
          <w:color w:val="7A2E0E"/>
          <w:sz w:val="19"/>
          <w:szCs w:val="19"/>
        </w:rPr>
        <w:t>POST /api/v1/messages/in</w:t>
      </w:r>
      <w:r>
        <w:rPr>
          <w:rFonts w:ascii="Consolas" w:eastAsia="Consolas" w:hAnsi="Consolas" w:cs="Consolas"/>
          <w:color w:val="7A2E0E"/>
          <w:sz w:val="19"/>
          <w:szCs w:val="19"/>
        </w:rPr>
        <w:t>bound</w:t>
      </w:r>
      <w:r>
        <w:t xml:space="preserve">, avec un en-tête </w:t>
      </w:r>
      <w:r>
        <w:rPr>
          <w:b/>
          <w:bCs/>
        </w:rPr>
        <w:t>Idempotency-Key</w:t>
      </w:r>
      <w:r>
        <w:t xml:space="preserve"> unique : un envoi en double est reconnu et sans effet. L'onglet </w:t>
      </w:r>
      <w:r>
        <w:rPr>
          <w:b/>
          <w:bCs/>
        </w:rPr>
        <w:t>Réception de messages</w:t>
      </w:r>
      <w:r>
        <w:t xml:space="preserve"> de l'administration permet de simuler cet envoi :</w:t>
      </w:r>
    </w:p>
    <w:p w14:paraId="029E5700" w14:textId="77777777" w:rsidR="00C41AEA" w:rsidRDefault="0029400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51320556" wp14:editId="0703A730">
            <wp:extent cx="5905500" cy="3038475"/>
            <wp:effectExtent l="0" t="0" r="0" b="0"/>
            <wp:docPr id="8" name="adm-reception" descr="Réception d'un message partenaire (simulation bancaire)" title="Figure 8 — Réception d'un message partenaire (simulation bancai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3D2C" w14:textId="77777777" w:rsidR="00C41AEA" w:rsidRDefault="0029400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8 — Réception d'un message partenaire (simulation bancaire)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304"/>
        <w:gridCol w:w="6334"/>
      </w:tblGrid>
      <w:tr w:rsidR="00C41AEA" w14:paraId="310E2D71" w14:textId="77777777">
        <w:trPr>
          <w:tblHeader/>
        </w:trPr>
        <w:tc>
          <w:tcPr>
            <w:tcW w:w="330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36DDF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Élément XML</w:t>
            </w:r>
          </w:p>
        </w:tc>
        <w:tc>
          <w:tcPr>
            <w:tcW w:w="633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AC6ED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</w:tr>
      <w:tr w:rsidR="00C41AEA" w14:paraId="0F44B4C4" w14:textId="77777777">
        <w:trPr>
          <w:cantSplit/>
        </w:trPr>
        <w:tc>
          <w:tcPr>
            <w:tcW w:w="3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21C80" w14:textId="77777777" w:rsidR="00C41AEA" w:rsidRDefault="0029400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paymentNoticeNumber</w:t>
            </w:r>
          </w:p>
        </w:tc>
        <w:tc>
          <w:tcPr>
            <w:tcW w:w="63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C02CF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 xml:space="preserve">Numéro de l'avis (ex.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AVCM2026IFI000001</w:t>
            </w:r>
            <w:r>
              <w:rPr>
                <w:sz w:val="19"/>
                <w:szCs w:val="19"/>
              </w:rPr>
              <w:t>)</w:t>
            </w:r>
          </w:p>
        </w:tc>
      </w:tr>
      <w:tr w:rsidR="00C41AEA" w14:paraId="07E45DB7" w14:textId="77777777">
        <w:trPr>
          <w:cantSplit/>
        </w:trPr>
        <w:tc>
          <w:tcPr>
            <w:tcW w:w="3304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77687" w14:textId="77777777" w:rsidR="00C41AEA" w:rsidRDefault="0029400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paymentReferenceText</w:t>
            </w:r>
          </w:p>
        </w:tc>
        <w:tc>
          <w:tcPr>
            <w:tcW w:w="6334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B0324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Référence de quittance de la banque</w:t>
            </w:r>
          </w:p>
        </w:tc>
      </w:tr>
      <w:tr w:rsidR="00C41AEA" w14:paraId="0C741648" w14:textId="77777777">
        <w:trPr>
          <w:cantSplit/>
        </w:trPr>
        <w:tc>
          <w:tcPr>
            <w:tcW w:w="3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BDC97" w14:textId="77777777" w:rsidR="00C41AEA" w:rsidRDefault="0029400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paidAmount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currencyCode</w:t>
            </w:r>
          </w:p>
        </w:tc>
        <w:tc>
          <w:tcPr>
            <w:tcW w:w="63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A8604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Montant et monnaie (doivent correspondre à l'avis)</w:t>
            </w:r>
          </w:p>
        </w:tc>
      </w:tr>
      <w:tr w:rsidR="00C41AEA" w14:paraId="5E736C42" w14:textId="77777777">
        <w:trPr>
          <w:cantSplit/>
        </w:trPr>
        <w:tc>
          <w:tcPr>
            <w:tcW w:w="3304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7EED" w14:textId="77777777" w:rsidR="00C41AEA" w:rsidRDefault="0029400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paidAt</w:t>
            </w:r>
          </w:p>
        </w:tc>
        <w:tc>
          <w:tcPr>
            <w:tcW w:w="6334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D41D5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Date et heure ISO 8601</w:t>
            </w:r>
          </w:p>
        </w:tc>
      </w:tr>
      <w:tr w:rsidR="00C41AEA" w14:paraId="2143E1DE" w14:textId="77777777">
        <w:trPr>
          <w:cantSplit/>
        </w:trPr>
        <w:tc>
          <w:tcPr>
            <w:tcW w:w="3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CFEB0" w14:textId="77777777" w:rsidR="00C41AEA" w:rsidRDefault="0029400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bankCode</w:t>
            </w:r>
          </w:p>
        </w:tc>
        <w:tc>
          <w:tcPr>
            <w:tcW w:w="63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37031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 xml:space="preserve">Code de la banque (ex.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BICEC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443CC1DD" w14:textId="77777777" w:rsidR="00C41AEA" w:rsidRDefault="00294004">
      <w:pPr>
        <w:pBdr>
          <w:left w:val="single" w:sz="18" w:space="8" w:color="1F4E79"/>
        </w:pBdr>
        <w:shd w:val="clear" w:color="auto" w:fill="EAF2FB"/>
        <w:spacing w:before="80" w:after="160" w:line="264" w:lineRule="auto"/>
        <w:ind w:left="120" w:right="120"/>
      </w:pPr>
      <w:r>
        <w:rPr>
          <w:b/>
          <w:bCs/>
          <w:color w:val="1F4E79"/>
        </w:rPr>
        <w:t xml:space="preserve">Résultat attendu — </w:t>
      </w:r>
      <w:r>
        <w:t xml:space="preserve">L'avis passe à </w:t>
      </w:r>
      <w:r>
        <w:rPr>
          <w:b/>
          <w:bCs/>
        </w:rPr>
        <w:t>Payé</w:t>
      </w:r>
      <w:r>
        <w:t xml:space="preserve">, la quittance apparaît dans le dossier, le message est visible dans </w:t>
      </w:r>
      <w:r>
        <w:rPr>
          <w:b/>
          <w:bCs/>
        </w:rPr>
        <w:t>Messages échangés</w:t>
      </w:r>
      <w:r>
        <w:t xml:space="preserve"> (état </w:t>
      </w:r>
      <w:r>
        <w:rPr>
          <w:rFonts w:ascii="Consolas" w:eastAsia="Consolas" w:hAnsi="Consolas" w:cs="Consolas"/>
          <w:color w:val="7A2E0E"/>
          <w:sz w:val="19"/>
          <w:szCs w:val="19"/>
        </w:rPr>
        <w:t>IN_PROCESSED</w:t>
      </w:r>
      <w:r>
        <w:t>) et le dossier part en cotation.</w:t>
      </w:r>
    </w:p>
    <w:p w14:paraId="69E6084F" w14:textId="77777777" w:rsidR="00C41AEA" w:rsidRDefault="00294004">
      <w:pPr>
        <w:pStyle w:val="Titre2"/>
      </w:pPr>
      <w:bookmarkStart w:id="21" w:name="_Toc243080483"/>
      <w:r>
        <w:t>5.2 Consulter les encaissements</w:t>
      </w:r>
      <w:bookmarkEnd w:id="21"/>
    </w:p>
    <w:p w14:paraId="38D9B46A" w14:textId="77777777" w:rsidR="00C41AEA" w:rsidRDefault="00294004">
      <w:pPr>
        <w:spacing w:after="120" w:line="276" w:lineRule="auto"/>
        <w:jc w:val="both"/>
      </w:pPr>
      <w:r>
        <w:t>Même écran que le superviseur (§ 4.3) : encaissements par bénéficiaire, relevés CSV pour le rapprochement.</w:t>
      </w:r>
    </w:p>
    <w:p w14:paraId="12EB07B3" w14:textId="77777777" w:rsidR="00C41AEA" w:rsidRDefault="00294004">
      <w:pPr>
        <w:pStyle w:val="Titre1"/>
        <w:pageBreakBefore/>
      </w:pPr>
      <w:bookmarkStart w:id="22" w:name="_Toc243080484"/>
      <w:r>
        <w:lastRenderedPageBreak/>
        <w:t>6. Questions fréquentes</w:t>
      </w:r>
      <w:bookmarkEnd w:id="22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130"/>
        <w:gridCol w:w="5508"/>
      </w:tblGrid>
      <w:tr w:rsidR="00C41AEA" w14:paraId="7E5252A0" w14:textId="77777777">
        <w:trPr>
          <w:tblHeader/>
        </w:trPr>
        <w:tc>
          <w:tcPr>
            <w:tcW w:w="41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128D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Situation</w:t>
            </w:r>
          </w:p>
        </w:tc>
        <w:tc>
          <w:tcPr>
            <w:tcW w:w="550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B91B9" w14:textId="77777777" w:rsidR="00C41AEA" w:rsidRDefault="0029400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Que faire</w:t>
            </w:r>
          </w:p>
        </w:tc>
      </w:tr>
      <w:tr w:rsidR="00C41AEA" w14:paraId="09ECD7E3" w14:textId="77777777"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8BE09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Je ne vois aucune tâche</w:t>
            </w:r>
          </w:p>
        </w:tc>
        <w:tc>
          <w:tcPr>
            <w:tcW w:w="5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F2721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Vérifiez votre rattachement à une unité (Cotation) : sans rattachement, aucun dossier ne vous est coté</w:t>
            </w:r>
          </w:p>
        </w:tc>
      </w:tr>
      <w:tr w:rsidR="00C41AEA" w14:paraId="37424A00" w14:textId="77777777">
        <w:trPr>
          <w:cantSplit/>
        </w:trPr>
        <w:tc>
          <w:tcPr>
            <w:tcW w:w="413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2CA19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« L'observation est obligatoire »</w:t>
            </w:r>
          </w:p>
        </w:tc>
        <w:tc>
          <w:tcPr>
            <w:tcW w:w="550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087B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Rédigez une observation pour un complément, un retour ou un rejet</w:t>
            </w:r>
          </w:p>
        </w:tc>
      </w:tr>
      <w:tr w:rsidR="00C41AEA" w14:paraId="3673CD0D" w14:textId="77777777"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DAA76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La validation est refusée</w:t>
            </w:r>
          </w:p>
        </w:tc>
        <w:tc>
          <w:tcPr>
            <w:tcW w:w="5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116C8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Des données d'instruction marquées * ne sont pas renseignées</w:t>
            </w:r>
          </w:p>
        </w:tc>
      </w:tr>
      <w:tr w:rsidR="00C41AEA" w14:paraId="164A1CC2" w14:textId="77777777">
        <w:trPr>
          <w:cantSplit/>
        </w:trPr>
        <w:tc>
          <w:tcPr>
            <w:tcW w:w="413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E2FC3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Un dossier est resté « À coter »</w:t>
            </w:r>
          </w:p>
        </w:tc>
        <w:tc>
          <w:tcPr>
            <w:tcW w:w="550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AFC9E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Aucun agent ou signataire actif pour son unité : prévenez l'administrateur (onglet Incidents)</w:t>
            </w:r>
          </w:p>
        </w:tc>
      </w:tr>
      <w:tr w:rsidR="00C41AEA" w14:paraId="7ECA0D8A" w14:textId="77777777"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DEC69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L'opérateur ne répond pas au complément</w:t>
            </w:r>
          </w:p>
        </w:tc>
        <w:tc>
          <w:tcPr>
            <w:tcW w:w="5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338E2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Le dossier reste en « Complément d'information demandé » ; il apparaît dans les compteurs « compléments à fournir »</w:t>
            </w:r>
          </w:p>
        </w:tc>
      </w:tr>
      <w:tr w:rsidR="00C41AEA" w14:paraId="32B28C90" w14:textId="77777777">
        <w:trPr>
          <w:cantSplit/>
        </w:trPr>
        <w:tc>
          <w:tcPr>
            <w:tcW w:w="413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665D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Je dois corriger une validation</w:t>
            </w:r>
          </w:p>
        </w:tc>
        <w:tc>
          <w:tcPr>
            <w:tcW w:w="550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1C1BE" w14:textId="77777777" w:rsidR="00C41AEA" w:rsidRDefault="00294004">
            <w:pPr>
              <w:spacing w:line="252" w:lineRule="auto"/>
            </w:pPr>
            <w:r>
              <w:rPr>
                <w:sz w:val="19"/>
                <w:szCs w:val="19"/>
              </w:rPr>
              <w:t>Demandez au signataire de retourner le dossier pour réexamen</w:t>
            </w:r>
          </w:p>
        </w:tc>
      </w:tr>
    </w:tbl>
    <w:p w14:paraId="06C7316E" w14:textId="77777777" w:rsidR="00000000" w:rsidRDefault="00294004"/>
    <w:sectPr w:rsidR="00000000">
      <w:headerReference w:type="default" r:id="rId15"/>
      <w:footerReference w:type="default" r:id="rId16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15781B" w14:textId="77777777" w:rsidR="00000000" w:rsidRDefault="00294004">
      <w:r>
        <w:separator/>
      </w:r>
    </w:p>
  </w:endnote>
  <w:endnote w:type="continuationSeparator" w:id="0">
    <w:p w14:paraId="2716995F" w14:textId="77777777" w:rsidR="00000000" w:rsidRDefault="00294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33C4AC" w14:textId="77777777" w:rsidR="00C41AEA" w:rsidRDefault="00294004">
    <w:pPr>
      <w:jc w:val="center"/>
    </w:pPr>
    <w:r>
      <w:rPr>
        <w:color w:val="595959"/>
        <w:sz w:val="17"/>
        <w:szCs w:val="17"/>
      </w:rPr>
      <w:t xml:space="preserve">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 w:rsidR="00E34C14">
      <w:rPr>
        <w:color w:val="595959"/>
        <w:sz w:val="17"/>
        <w:szCs w:val="17"/>
      </w:rPr>
      <w:fldChar w:fldCharType="separate"/>
    </w:r>
    <w:r w:rsidR="00E34C14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/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 w:rsidR="00E34C14">
      <w:rPr>
        <w:color w:val="595959"/>
        <w:sz w:val="17"/>
        <w:szCs w:val="17"/>
      </w:rPr>
      <w:fldChar w:fldCharType="separate"/>
    </w:r>
    <w:r w:rsidR="00E34C14">
      <w:rPr>
        <w:noProof/>
        <w:color w:val="595959"/>
        <w:sz w:val="17"/>
        <w:szCs w:val="17"/>
      </w:rPr>
      <w:t>3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3181FA" w14:textId="77777777" w:rsidR="00000000" w:rsidRDefault="00294004">
      <w:r>
        <w:separator/>
      </w:r>
    </w:p>
  </w:footnote>
  <w:footnote w:type="continuationSeparator" w:id="0">
    <w:p w14:paraId="286B5DF0" w14:textId="77777777" w:rsidR="00000000" w:rsidRDefault="00294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7EC030" w14:textId="77777777" w:rsidR="00C41AEA" w:rsidRDefault="00294004">
    <w:pPr>
      <w:pBdr>
        <w:bottom w:val="single" w:sz="4" w:space="4" w:color="BFBFBF"/>
      </w:pBdr>
      <w:tabs>
        <w:tab w:val="right" w:pos="9638"/>
      </w:tabs>
    </w:pPr>
    <w:r>
      <w:rPr>
        <w:color w:val="595959"/>
        <w:sz w:val="17"/>
        <w:szCs w:val="17"/>
      </w:rPr>
      <w:t>NEXORA — Guide de l'agent, du signataire, du superviseur et de la banque</w:t>
    </w:r>
    <w:r>
      <w:rPr>
        <w:color w:val="595959"/>
        <w:sz w:val="17"/>
        <w:szCs w:val="17"/>
      </w:rPr>
      <w:tab/>
      <w:t>Version 1.0 — 16/10/2026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FF1E9F"/>
    <w:multiLevelType w:val="hybridMultilevel"/>
    <w:tmpl w:val="D6D088C2"/>
    <w:lvl w:ilvl="0" w:tplc="17825F70">
      <w:start w:val="1"/>
      <w:numFmt w:val="decimal"/>
      <w:lvlText w:val="%1."/>
      <w:lvlJc w:val="left"/>
      <w:pPr>
        <w:ind w:left="500" w:hanging="300"/>
      </w:pPr>
    </w:lvl>
    <w:lvl w:ilvl="1" w:tplc="BBB45B9E">
      <w:numFmt w:val="decimal"/>
      <w:lvlText w:val=""/>
      <w:lvlJc w:val="left"/>
    </w:lvl>
    <w:lvl w:ilvl="2" w:tplc="4D5E7F46">
      <w:numFmt w:val="decimal"/>
      <w:lvlText w:val=""/>
      <w:lvlJc w:val="left"/>
    </w:lvl>
    <w:lvl w:ilvl="3" w:tplc="10888B3E">
      <w:numFmt w:val="decimal"/>
      <w:lvlText w:val=""/>
      <w:lvlJc w:val="left"/>
    </w:lvl>
    <w:lvl w:ilvl="4" w:tplc="6108D394">
      <w:numFmt w:val="decimal"/>
      <w:lvlText w:val=""/>
      <w:lvlJc w:val="left"/>
    </w:lvl>
    <w:lvl w:ilvl="5" w:tplc="4E3A8942">
      <w:numFmt w:val="decimal"/>
      <w:lvlText w:val=""/>
      <w:lvlJc w:val="left"/>
    </w:lvl>
    <w:lvl w:ilvl="6" w:tplc="34F87140">
      <w:numFmt w:val="decimal"/>
      <w:lvlText w:val=""/>
      <w:lvlJc w:val="left"/>
    </w:lvl>
    <w:lvl w:ilvl="7" w:tplc="013C9496">
      <w:numFmt w:val="decimal"/>
      <w:lvlText w:val=""/>
      <w:lvlJc w:val="left"/>
    </w:lvl>
    <w:lvl w:ilvl="8" w:tplc="E7C04506">
      <w:numFmt w:val="decimal"/>
      <w:lvlText w:val=""/>
      <w:lvlJc w:val="left"/>
    </w:lvl>
  </w:abstractNum>
  <w:abstractNum w:abstractNumId="1" w15:restartNumberingAfterBreak="0">
    <w:nsid w:val="5EE95E76"/>
    <w:multiLevelType w:val="hybridMultilevel"/>
    <w:tmpl w:val="3AC036B4"/>
    <w:lvl w:ilvl="0" w:tplc="1368DDE2">
      <w:start w:val="1"/>
      <w:numFmt w:val="bullet"/>
      <w:lvlText w:val="•"/>
      <w:lvlJc w:val="left"/>
      <w:pPr>
        <w:ind w:left="500" w:hanging="260"/>
      </w:pPr>
    </w:lvl>
    <w:lvl w:ilvl="1" w:tplc="B0B23AD2" w:tentative="1">
      <w:start w:val="1"/>
      <w:numFmt w:val="bullet"/>
      <w:lvlText w:val="–"/>
      <w:lvlJc w:val="left"/>
      <w:pPr>
        <w:ind w:left="1000" w:hanging="260"/>
      </w:pPr>
    </w:lvl>
    <w:lvl w:ilvl="2" w:tplc="F4FC2F42">
      <w:numFmt w:val="decimal"/>
      <w:lvlText w:val=""/>
      <w:lvlJc w:val="left"/>
    </w:lvl>
    <w:lvl w:ilvl="3" w:tplc="582C2946">
      <w:numFmt w:val="decimal"/>
      <w:lvlText w:val=""/>
      <w:lvlJc w:val="left"/>
    </w:lvl>
    <w:lvl w:ilvl="4" w:tplc="E86AD02A">
      <w:numFmt w:val="decimal"/>
      <w:lvlText w:val=""/>
      <w:lvlJc w:val="left"/>
    </w:lvl>
    <w:lvl w:ilvl="5" w:tplc="9B8A648C">
      <w:numFmt w:val="decimal"/>
      <w:lvlText w:val=""/>
      <w:lvlJc w:val="left"/>
    </w:lvl>
    <w:lvl w:ilvl="6" w:tplc="EA8ECA18">
      <w:numFmt w:val="decimal"/>
      <w:lvlText w:val=""/>
      <w:lvlJc w:val="left"/>
    </w:lvl>
    <w:lvl w:ilvl="7" w:tplc="98125CEC">
      <w:numFmt w:val="decimal"/>
      <w:lvlText w:val=""/>
      <w:lvlJc w:val="left"/>
    </w:lvl>
    <w:lvl w:ilvl="8" w:tplc="26667A74">
      <w:numFmt w:val="decimal"/>
      <w:lvlText w:val=""/>
      <w:lvlJc w:val="left"/>
    </w:lvl>
  </w:abstractNum>
  <w:abstractNum w:abstractNumId="2" w15:restartNumberingAfterBreak="0">
    <w:nsid w:val="5F406C05"/>
    <w:multiLevelType w:val="hybridMultilevel"/>
    <w:tmpl w:val="79845FA8"/>
    <w:lvl w:ilvl="0" w:tplc="2A6CF540" w:tentative="1">
      <w:start w:val="1"/>
      <w:numFmt w:val="bullet"/>
      <w:lvlText w:val="●"/>
      <w:lvlJc w:val="left"/>
      <w:pPr>
        <w:ind w:left="720" w:hanging="360"/>
      </w:pPr>
    </w:lvl>
    <w:lvl w:ilvl="1" w:tplc="4608EF7E" w:tentative="1">
      <w:start w:val="1"/>
      <w:numFmt w:val="bullet"/>
      <w:lvlText w:val="○"/>
      <w:lvlJc w:val="left"/>
      <w:pPr>
        <w:ind w:left="1440" w:hanging="360"/>
      </w:pPr>
    </w:lvl>
    <w:lvl w:ilvl="2" w:tplc="7DC427AA" w:tentative="1">
      <w:start w:val="1"/>
      <w:numFmt w:val="bullet"/>
      <w:lvlText w:val="■"/>
      <w:lvlJc w:val="left"/>
      <w:pPr>
        <w:ind w:left="2160" w:hanging="360"/>
      </w:pPr>
    </w:lvl>
    <w:lvl w:ilvl="3" w:tplc="0C4615D4" w:tentative="1">
      <w:start w:val="1"/>
      <w:numFmt w:val="bullet"/>
      <w:lvlText w:val="●"/>
      <w:lvlJc w:val="left"/>
      <w:pPr>
        <w:ind w:left="2880" w:hanging="360"/>
      </w:pPr>
    </w:lvl>
    <w:lvl w:ilvl="4" w:tplc="A99AF4A4" w:tentative="1">
      <w:start w:val="1"/>
      <w:numFmt w:val="bullet"/>
      <w:lvlText w:val="○"/>
      <w:lvlJc w:val="left"/>
      <w:pPr>
        <w:ind w:left="3600" w:hanging="360"/>
      </w:pPr>
    </w:lvl>
    <w:lvl w:ilvl="5" w:tplc="D592F39A" w:tentative="1">
      <w:start w:val="1"/>
      <w:numFmt w:val="bullet"/>
      <w:lvlText w:val="■"/>
      <w:lvlJc w:val="left"/>
      <w:pPr>
        <w:ind w:left="4320" w:hanging="360"/>
      </w:pPr>
    </w:lvl>
    <w:lvl w:ilvl="6" w:tplc="119282E2" w:tentative="1">
      <w:start w:val="1"/>
      <w:numFmt w:val="bullet"/>
      <w:lvlText w:val="●"/>
      <w:lvlJc w:val="left"/>
      <w:pPr>
        <w:ind w:left="5040" w:hanging="360"/>
      </w:pPr>
    </w:lvl>
    <w:lvl w:ilvl="7" w:tplc="B5FAAC0E" w:tentative="1">
      <w:start w:val="1"/>
      <w:numFmt w:val="bullet"/>
      <w:lvlText w:val="●"/>
      <w:lvlJc w:val="left"/>
      <w:pPr>
        <w:ind w:left="5760" w:hanging="360"/>
      </w:pPr>
    </w:lvl>
    <w:lvl w:ilvl="8" w:tplc="39FCFDA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AEA"/>
    <w:rsid w:val="00294004"/>
    <w:rsid w:val="00C41AEA"/>
    <w:rsid w:val="00E3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4C8B03"/>
  <w15:docId w15:val="{6B187ADC-4D32-40F8-9936-CE56C11E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1A1A1A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120" w:after="200"/>
      <w:outlineLvl w:val="0"/>
    </w:pPr>
    <w:rPr>
      <w:b/>
      <w:bCs/>
      <w:color w:val="1F4E79"/>
      <w:sz w:val="34"/>
      <w:szCs w:val="34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1F4E79"/>
      <w:sz w:val="27"/>
      <w:szCs w:val="27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00" w:after="100"/>
      <w:outlineLvl w:val="2"/>
    </w:pPr>
    <w:rPr>
      <w:b/>
      <w:bCs/>
      <w:color w:val="2F5597"/>
      <w:sz w:val="23"/>
      <w:szCs w:val="23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E34C1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34C1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2026</Words>
  <Characters>11207</Characters>
  <Application>Microsoft Office Word</Application>
  <DocSecurity>0</DocSecurity>
  <Lines>286</Lines>
  <Paragraphs>204</Paragraphs>
  <ScaleCrop>false</ScaleCrop>
  <Company/>
  <LinksUpToDate>false</LinksUpToDate>
  <CharactersWithSpaces>13056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NEXORA — Guide de l'agent, du signataire, du superviseur et de la banque</dc:title>
  <dc:creator>NEXORA</dc:creator>
  <cp:lastModifiedBy>Jameleddine  EL KAMEL</cp:lastModifiedBy>
  <cp:revision>3</cp:revision>
  <cp:lastPrinted>2026-10-16T20:59:00Z</cp:lastPrinted>
  <dcterms:created xsi:type="dcterms:W3CDTF">2026-10-16T20:59:00Z</dcterms:created>
  <dcterms:modified xsi:type="dcterms:W3CDTF">2026-10-16T20:59:00Z</dcterms:modified>
</cp:coreProperties>
</file>