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B7E17" w14:textId="77777777" w:rsidR="00CA0AA5" w:rsidRDefault="00CA0AA5">
      <w:pPr>
        <w:spacing w:before="2400"/>
      </w:pPr>
    </w:p>
    <w:p w14:paraId="00E0FF51" w14:textId="77777777" w:rsidR="00CA0AA5" w:rsidRDefault="002E1DA5">
      <w:r>
        <w:rPr>
          <w:b/>
          <w:bCs/>
          <w:color w:val="1F4E79"/>
          <w:sz w:val="72"/>
          <w:szCs w:val="72"/>
        </w:rPr>
        <w:t>NEXORA</w:t>
      </w:r>
    </w:p>
    <w:p w14:paraId="52AF7A6D" w14:textId="77777777" w:rsidR="00CA0AA5" w:rsidRDefault="002E1DA5">
      <w:pPr>
        <w:spacing w:after="600"/>
      </w:pPr>
      <w:r>
        <w:rPr>
          <w:color w:val="595959"/>
          <w:sz w:val="32"/>
          <w:szCs w:val="32"/>
        </w:rPr>
        <w:t>Guichet unique du commerce extérieur</w:t>
      </w:r>
    </w:p>
    <w:p w14:paraId="30F883B0" w14:textId="77777777" w:rsidR="00CA0AA5" w:rsidRDefault="002E1DA5">
      <w:pPr>
        <w:pBdr>
          <w:bottom w:val="single" w:sz="12" w:space="6" w:color="1F4E79"/>
        </w:pBdr>
      </w:pPr>
      <w:r>
        <w:rPr>
          <w:b/>
          <w:bCs/>
          <w:sz w:val="44"/>
          <w:szCs w:val="44"/>
        </w:rPr>
        <w:t>Dossier d'architecture technique détaillé</w:t>
      </w:r>
    </w:p>
    <w:p w14:paraId="48E0BEF2" w14:textId="77777777" w:rsidR="00CA0AA5" w:rsidRDefault="002E1DA5">
      <w:pPr>
        <w:spacing w:before="200" w:after="1600"/>
      </w:pPr>
      <w:r>
        <w:rPr>
          <w:color w:val="595959"/>
          <w:sz w:val="24"/>
          <w:szCs w:val="24"/>
        </w:rPr>
        <w:t>Microservices auth, refdata, registration, procedures (studio) et eservices (Runtime)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CA0AA5" w14:paraId="3CBF374E" w14:textId="77777777">
        <w:trPr>
          <w:tblHeader/>
        </w:trPr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12BE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2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F225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CA0AA5" w14:paraId="14CDC720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9783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Version du document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5976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2.0 — 16 octobre 2026</w:t>
            </w:r>
          </w:p>
        </w:tc>
      </w:tr>
      <w:tr w:rsidR="00CA0AA5" w14:paraId="416414DA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CA6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Statut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989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Document de référence (diffusion projet)</w:t>
            </w:r>
          </w:p>
        </w:tc>
      </w:tr>
      <w:tr w:rsidR="00CA0AA5" w14:paraId="01F332B4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BEE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Périmètre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216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Plateforme NEXORA : SSO, Référentiel Commun, Registre des opérateurs, Studio des procédures, e-Services</w:t>
            </w:r>
          </w:p>
        </w:tc>
      </w:tr>
      <w:tr w:rsidR="00CA0AA5" w14:paraId="12697CF9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E56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Sources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7B3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Dossier de conception NEXORA v4.2, SCRDM D23B, modèle WFE PostgreSQL 17, SFD FIMEX v1.4, SFD VTP v1.2, SFD circuit Transaction v1.3, code sourc</w:t>
            </w:r>
            <w:r>
              <w:rPr>
                <w:sz w:val="19"/>
                <w:szCs w:val="19"/>
              </w:rPr>
              <w:t>e (dépôt nexora, branche main)</w:t>
            </w:r>
          </w:p>
        </w:tc>
      </w:tr>
      <w:tr w:rsidR="00CA0AA5" w14:paraId="1650CAA1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1D9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Documents liés</w:t>
            </w:r>
          </w:p>
        </w:tc>
        <w:tc>
          <w:tcPr>
            <w:tcW w:w="72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73DF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README · Ajouter une procédure · Personnaliser le formulaire · Formulaire en code Angular généré · Stockage des fichiers · Cas FIMEX · Cas VTP</w:t>
            </w:r>
          </w:p>
        </w:tc>
      </w:tr>
    </w:tbl>
    <w:p w14:paraId="347A482C" w14:textId="77777777" w:rsidR="00CA0AA5" w:rsidRDefault="002E1DA5">
      <w:r>
        <w:br w:type="page"/>
      </w:r>
    </w:p>
    <w:p w14:paraId="522F96FA" w14:textId="77777777" w:rsidR="00CA0AA5" w:rsidRDefault="002E1DA5">
      <w:pPr>
        <w:spacing w:after="200"/>
      </w:pPr>
      <w:r>
        <w:rPr>
          <w:b/>
          <w:bCs/>
          <w:color w:val="1F4E79"/>
          <w:sz w:val="34"/>
          <w:szCs w:val="34"/>
        </w:rPr>
        <w:lastRenderedPageBreak/>
        <w:t>Historique des versions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61"/>
        <w:gridCol w:w="1509"/>
        <w:gridCol w:w="6968"/>
      </w:tblGrid>
      <w:tr w:rsidR="00CA0AA5" w14:paraId="5014D0F0" w14:textId="77777777">
        <w:trPr>
          <w:tblHeader/>
        </w:trPr>
        <w:tc>
          <w:tcPr>
            <w:tcW w:w="116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CA3E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62B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69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2D04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</w:t>
            </w:r>
          </w:p>
        </w:tc>
      </w:tr>
      <w:tr w:rsidR="00CA0AA5" w14:paraId="31556DCF" w14:textId="77777777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62E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F7F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  <w:tc>
          <w:tcPr>
            <w:tcW w:w="6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C3DA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Première version : principes, microservices, sécurité, modèle de procédure, agents IA, Runtime, données, exploitation</w:t>
            </w:r>
          </w:p>
        </w:tc>
      </w:tr>
      <w:tr w:rsidR="00CA0AA5" w14:paraId="59112F0E" w14:textId="77777777">
        <w:tc>
          <w:tcPr>
            <w:tcW w:w="116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5EA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2.0</w:t>
            </w:r>
          </w:p>
        </w:tc>
        <w:tc>
          <w:tcPr>
            <w:tcW w:w="15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5752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16/10/2026</w:t>
            </w:r>
          </w:p>
        </w:tc>
        <w:tc>
          <w:tcPr>
            <w:tcW w:w="6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F5C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Constructeur visuel du formulaire et réglages par champ ; rendu dynamique ou code Angular généré ; format des messages par flux ; onglets Pièces jointes et Livrables ; stockage objet MinIO ; contrôle « visible si » au dépôt ; cas d'application VTP ; annexe</w:t>
            </w:r>
            <w:r>
              <w:rPr>
                <w:sz w:val="19"/>
                <w:szCs w:val="19"/>
              </w:rPr>
              <w:t>s migrations et glossaire</w:t>
            </w:r>
          </w:p>
        </w:tc>
      </w:tr>
    </w:tbl>
    <w:p w14:paraId="034722C7" w14:textId="77777777" w:rsidR="00CA0AA5" w:rsidRDefault="00CA0AA5">
      <w:pPr>
        <w:spacing w:after="80"/>
      </w:pPr>
    </w:p>
    <w:p w14:paraId="5B0DD4FA" w14:textId="77777777" w:rsidR="00CA0AA5" w:rsidRDefault="002E1DA5">
      <w:pPr>
        <w:pageBreakBefore/>
        <w:spacing w:after="200"/>
      </w:pPr>
      <w:r>
        <w:rPr>
          <w:b/>
          <w:bCs/>
          <w:color w:val="1F4E79"/>
          <w:sz w:val="34"/>
          <w:szCs w:val="34"/>
        </w:rPr>
        <w:lastRenderedPageBreak/>
        <w:t>Sommaire</w:t>
      </w:r>
    </w:p>
    <w:sdt>
      <w:sdtPr>
        <w:alias w:val="Sommaire"/>
        <w:id w:val="761717167"/>
      </w:sdtPr>
      <w:sdtEndPr/>
      <w:sdtContent>
        <w:p w14:paraId="59299E77" w14:textId="04BDD37B" w:rsidR="00930B06" w:rsidRDefault="002E1DA5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054623" w:history="1">
            <w:r w:rsidR="00930B06" w:rsidRPr="002D29ED">
              <w:rPr>
                <w:rStyle w:val="Lienhypertexte"/>
                <w:noProof/>
              </w:rPr>
              <w:t>1. Objet et périmètre</w:t>
            </w:r>
            <w:r w:rsidR="00930B06">
              <w:rPr>
                <w:noProof/>
              </w:rPr>
              <w:tab/>
            </w:r>
            <w:r w:rsidR="00930B06">
              <w:rPr>
                <w:noProof/>
              </w:rPr>
              <w:fldChar w:fldCharType="begin"/>
            </w:r>
            <w:r w:rsidR="00930B06">
              <w:rPr>
                <w:noProof/>
              </w:rPr>
              <w:instrText xml:space="preserve"> PAGEREF _Toc243054623 \h </w:instrText>
            </w:r>
            <w:r w:rsidR="00930B06">
              <w:rPr>
                <w:noProof/>
              </w:rPr>
            </w:r>
            <w:r w:rsidR="00930B06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930B06">
              <w:rPr>
                <w:noProof/>
              </w:rPr>
              <w:fldChar w:fldCharType="end"/>
            </w:r>
          </w:hyperlink>
        </w:p>
        <w:p w14:paraId="2CB12435" w14:textId="607EE34C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24" w:history="1">
            <w:r w:rsidRPr="002D29ED">
              <w:rPr>
                <w:rStyle w:val="Lienhypertexte"/>
                <w:noProof/>
              </w:rPr>
              <w:t>2. Principes d'architecture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C6CB17" w14:textId="5D284F4E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25" w:history="1">
            <w:r w:rsidRPr="002D29ED">
              <w:rPr>
                <w:rStyle w:val="Lienhypertexte"/>
                <w:noProof/>
              </w:rPr>
              <w:t>3. Vue d'ensemble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69EFEC" w14:textId="73160F1D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26" w:history="1">
            <w:r w:rsidRPr="002D29ED">
              <w:rPr>
                <w:rStyle w:val="Lienhypertexte"/>
                <w:noProof/>
              </w:rPr>
              <w:t>3.1 Contexte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25FDE9" w14:textId="5AFED6FE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27" w:history="1">
            <w:r w:rsidRPr="002D29ED">
              <w:rPr>
                <w:rStyle w:val="Lienhypertexte"/>
                <w:noProof/>
              </w:rPr>
              <w:t>3.2 Conteneurs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8AB0ED" w14:textId="4A8E5BA6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28" w:history="1">
            <w:r w:rsidRPr="002D29ED">
              <w:rPr>
                <w:rStyle w:val="Lienhypertexte"/>
                <w:noProof/>
              </w:rPr>
              <w:t>3.3 Chaîne de valeur : du texte réglementaire au service en ligne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B279C5" w14:textId="18602D3D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29" w:history="1">
            <w:r w:rsidRPr="002D29ED">
              <w:rPr>
                <w:rStyle w:val="Lienhypertexte"/>
                <w:noProof/>
              </w:rPr>
              <w:t>4. Socle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F65634" w14:textId="69081FE2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30" w:history="1">
            <w:r w:rsidRPr="002D29ED">
              <w:rPr>
                <w:rStyle w:val="Lienhypertexte"/>
                <w:noProof/>
              </w:rPr>
              <w:t>5. Microservices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55E859" w14:textId="049EDE4F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1" w:history="1">
            <w:r w:rsidRPr="002D29ED">
              <w:rPr>
                <w:rStyle w:val="Lienhypertexte"/>
                <w:noProof/>
              </w:rPr>
              <w:t>5.1 auth — Accès et SSO (8090)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BF87E8" w14:textId="2405010E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2" w:history="1">
            <w:r w:rsidRPr="002D29ED">
              <w:rPr>
                <w:rStyle w:val="Lienhypertexte"/>
                <w:noProof/>
              </w:rPr>
              <w:t>5.2 refdata — Référentiel Commun (8082)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CDA680" w14:textId="5F54D2DB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3" w:history="1">
            <w:r w:rsidRPr="002D29ED">
              <w:rPr>
                <w:rStyle w:val="Lienhypertexte"/>
                <w:noProof/>
              </w:rPr>
              <w:t>5.3 registration — Registre des opérateurs (8083)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794076" w14:textId="6AD48369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4" w:history="1">
            <w:r w:rsidRPr="002D29ED">
              <w:rPr>
                <w:rStyle w:val="Lienhypertexte"/>
                <w:noProof/>
              </w:rPr>
              <w:t>5.4 procedures — Studio des procédures (8084)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AABF0B" w14:textId="39D39CCA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5" w:history="1">
            <w:r w:rsidRPr="002D29ED">
              <w:rPr>
                <w:rStyle w:val="Lienhypertexte"/>
                <w:noProof/>
              </w:rPr>
              <w:t>5.5 eservices — Runtime du guichet unique (8085)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6FCA1C" w14:textId="6321789B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36" w:history="1">
            <w:r w:rsidRPr="002D29ED">
              <w:rPr>
                <w:rStyle w:val="Lienhypertexte"/>
                <w:noProof/>
              </w:rPr>
              <w:t>6.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A96818" w14:textId="668BEDE3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7" w:history="1">
            <w:r w:rsidRPr="002D29ED">
              <w:rPr>
                <w:rStyle w:val="Lienhypertexte"/>
                <w:noProof/>
              </w:rPr>
              <w:t>6.1 Authentification unique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0B24FB" w14:textId="1716E3EC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8" w:history="1">
            <w:r w:rsidRPr="002D29ED">
              <w:rPr>
                <w:rStyle w:val="Lienhypertexte"/>
                <w:noProof/>
              </w:rPr>
              <w:t>6.2 Autorisation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9676DD" w14:textId="027AC777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39" w:history="1">
            <w:r w:rsidRPr="002D29ED">
              <w:rPr>
                <w:rStyle w:val="Lienhypertexte"/>
                <w:noProof/>
              </w:rPr>
              <w:t>6.3 Rôles et droits du guichet unique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5AF9A4" w14:textId="0CBDE412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0" w:history="1">
            <w:r w:rsidRPr="002D29ED">
              <w:rPr>
                <w:rStyle w:val="Lienhypertexte"/>
                <w:noProof/>
              </w:rPr>
              <w:t>6.4 Mesures complémentaires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27DDFF" w14:textId="08AE0C30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41" w:history="1">
            <w:r w:rsidRPr="002D29ED">
              <w:rPr>
                <w:rStyle w:val="Lienhypertexte"/>
                <w:noProof/>
              </w:rPr>
              <w:t>7. Modèle de procédure et paquet publié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7C5C2C" w14:textId="284C681D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2" w:history="1">
            <w:r w:rsidRPr="002D29ED">
              <w:rPr>
                <w:rStyle w:val="Lienhypertexte"/>
                <w:noProof/>
              </w:rPr>
              <w:t>7.1 Contenu d'une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E8EA57" w14:textId="1FAC27A8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3" w:history="1">
            <w:r w:rsidRPr="002D29ED">
              <w:rPr>
                <w:rStyle w:val="Lienhypertexte"/>
                <w:noProof/>
              </w:rPr>
              <w:t>7.2 Cycle de vie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72C3BA" w14:textId="29E6EB92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4" w:history="1">
            <w:r w:rsidRPr="002D29ED">
              <w:rPr>
                <w:rStyle w:val="Lienhypertexte"/>
                <w:noProof/>
              </w:rPr>
              <w:t>7.3 Paquet nexora.procedure/1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CB9249" w14:textId="503957D5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5" w:history="1">
            <w:r w:rsidRPr="002D29ED">
              <w:rPr>
                <w:rStyle w:val="Lienhypertexte"/>
                <w:noProof/>
              </w:rPr>
              <w:t>7.4 Points de départ d'une nouvelle procédure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B7BA95" w14:textId="59056AF7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6" w:history="1">
            <w:r w:rsidRPr="002D29ED">
              <w:rPr>
                <w:rStyle w:val="Lienhypertexte"/>
                <w:noProof/>
              </w:rPr>
              <w:t>7.5 Formulaire : sections, gabarit d'IHM et réglages par champ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7DCB95" w14:textId="5FCF1BD8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7" w:history="1">
            <w:r w:rsidRPr="002D29ED">
              <w:rPr>
                <w:rStyle w:val="Lienhypertexte"/>
                <w:noProof/>
              </w:rPr>
              <w:t>7.6 Règles et approbation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F7EAB9" w14:textId="7946D200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48" w:history="1">
            <w:r w:rsidRPr="002D29ED">
              <w:rPr>
                <w:rStyle w:val="Lienhypertexte"/>
                <w:noProof/>
              </w:rPr>
              <w:t>7.7 Onglets du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1F47BA6" w14:textId="0E04EC89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49" w:history="1">
            <w:r w:rsidRPr="002D29ED">
              <w:rPr>
                <w:rStyle w:val="Lienhypertexte"/>
                <w:noProof/>
              </w:rPr>
              <w:t>8. Agents IA du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384ADF" w14:textId="1DC494E5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0" w:history="1">
            <w:r w:rsidRPr="002D29ED">
              <w:rPr>
                <w:rStyle w:val="Lienhypertexte"/>
                <w:noProof/>
              </w:rPr>
              <w:t>8.1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9D365C" w14:textId="66FE2549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1" w:history="1">
            <w:r w:rsidRPr="002D29ED">
              <w:rPr>
                <w:rStyle w:val="Lienhypertexte"/>
                <w:noProof/>
              </w:rPr>
              <w:t>8.2 Politique d'autonomie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3B503F" w14:textId="16BEF144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2" w:history="1">
            <w:r w:rsidRPr="002D29ED">
              <w:rPr>
                <w:rStyle w:val="Lienhypertexte"/>
                <w:noProof/>
              </w:rPr>
              <w:t>8.3 Sources lues par les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825F26" w14:textId="7D2B6B53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3" w:history="1">
            <w:r w:rsidRPr="002D29ED">
              <w:rPr>
                <w:rStyle w:val="Lienhypertexte"/>
                <w:noProof/>
              </w:rPr>
              <w:t>8.4 Référentiels UN/CEFACT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188FB9C" w14:textId="6419A749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4" w:history="1">
            <w:r w:rsidRPr="002D29ED">
              <w:rPr>
                <w:rStyle w:val="Lienhypertexte"/>
                <w:noProof/>
              </w:rPr>
              <w:t>8.5 Modèle de langage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F298277" w14:textId="206B8B15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5" w:history="1">
            <w:r w:rsidRPr="002D29ED">
              <w:rPr>
                <w:rStyle w:val="Lienhypertexte"/>
                <w:noProof/>
              </w:rPr>
              <w:t>8.6 Cas d'application : Visa Technique Provisoire (VTP)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7ECD32" w14:textId="5AAD233F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56" w:history="1">
            <w:r w:rsidRPr="002D29ED">
              <w:rPr>
                <w:rStyle w:val="Lienhypertexte"/>
                <w:noProof/>
              </w:rPr>
              <w:t>9. Exécution des procédures (Runtime)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92D952" w14:textId="621C38B7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7" w:history="1">
            <w:r w:rsidRPr="002D29ED">
              <w:rPr>
                <w:rStyle w:val="Lienhypertexte"/>
                <w:noProof/>
              </w:rPr>
              <w:t>9.1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A7F6AF" w14:textId="1C9533D0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8" w:history="1">
            <w:r w:rsidRPr="002D29ED">
              <w:rPr>
                <w:rStyle w:val="Lienhypertexte"/>
                <w:noProof/>
              </w:rPr>
              <w:t>9.2 Workflow générique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AF4D86" w14:textId="224BDAA7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59" w:history="1">
            <w:r w:rsidRPr="002D29ED">
              <w:rPr>
                <w:rStyle w:val="Lienhypertexte"/>
                <w:noProof/>
              </w:rPr>
              <w:t>9.3 Règles Drools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3DDF21" w14:textId="25955119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0" w:history="1">
            <w:r w:rsidRPr="002D29ED">
              <w:rPr>
                <w:rStyle w:val="Lienhypertexte"/>
                <w:noProof/>
              </w:rPr>
              <w:t>9.4 Dossier et validation au dépôt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A5C4FA" w14:textId="10F42CE6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1" w:history="1">
            <w:r w:rsidRPr="002D29ED">
              <w:rPr>
                <w:rStyle w:val="Lienhypertexte"/>
                <w:noProof/>
              </w:rPr>
              <w:t>9.5 CUR, cotation, paiement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826DB1" w14:textId="6374B333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2" w:history="1">
            <w:r w:rsidRPr="002D29ED">
              <w:rPr>
                <w:rStyle w:val="Lienhypertexte"/>
                <w:noProof/>
              </w:rPr>
              <w:t>9.6 Messages et format par flux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B710BE" w14:textId="48029015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3" w:history="1">
            <w:r w:rsidRPr="002D29ED">
              <w:rPr>
                <w:rStyle w:val="Lienhypertexte"/>
                <w:noProof/>
              </w:rPr>
              <w:t>9.7 Livrables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10A2304" w14:textId="2DEAA277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4" w:history="1">
            <w:r w:rsidRPr="002D29ED">
              <w:rPr>
                <w:rStyle w:val="Lienhypertexte"/>
                <w:noProof/>
              </w:rPr>
              <w:t>9.8 Interface du dossier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CEE09B2" w14:textId="26F13580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5" w:history="1">
            <w:r w:rsidRPr="002D29ED">
              <w:rPr>
                <w:rStyle w:val="Lienhypertexte"/>
                <w:noProof/>
              </w:rPr>
              <w:t>9.9 Stockage des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2F6E92D" w14:textId="64CD35B0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6" w:history="1">
            <w:r w:rsidRPr="002D29ED">
              <w:rPr>
                <w:rStyle w:val="Lienhypertexte"/>
                <w:noProof/>
              </w:rPr>
              <w:t>9.10 Rendu du formulaire : dynamique ou code Angular généré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55C3DEF" w14:textId="7D283E8E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67" w:history="1">
            <w:r w:rsidRPr="002D29ED">
              <w:rPr>
                <w:rStyle w:val="Lienhypertexte"/>
                <w:noProof/>
              </w:rPr>
              <w:t>10.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EC0EAD2" w14:textId="46E9CE56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8" w:history="1">
            <w:r w:rsidRPr="002D29ED">
              <w:rPr>
                <w:rStyle w:val="Lienhypertexte"/>
                <w:noProof/>
              </w:rPr>
              <w:t>10.1 Bases et schémas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9FD2A77" w14:textId="4450E515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69" w:history="1">
            <w:r w:rsidRPr="002D29ED">
              <w:rPr>
                <w:rStyle w:val="Lienhypertexte"/>
                <w:noProof/>
              </w:rPr>
              <w:t>10.2 Schéma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0530F91" w14:textId="07999A8E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70" w:history="1">
            <w:r w:rsidRPr="002D29ED">
              <w:rPr>
                <w:rStyle w:val="Lienhypertexte"/>
                <w:noProof/>
              </w:rPr>
              <w:t>10.3 Schéma wfe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D88FC92" w14:textId="446E6213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71" w:history="1">
            <w:r w:rsidRPr="002D29ED">
              <w:rPr>
                <w:rStyle w:val="Lienhypertexte"/>
                <w:noProof/>
              </w:rPr>
              <w:t>10.4 Vues métier proc_&lt;code&gt;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4E7783" w14:textId="18FDC157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72" w:history="1">
            <w:r w:rsidRPr="002D29ED">
              <w:rPr>
                <w:rStyle w:val="Lienhypertexte"/>
                <w:noProof/>
              </w:rPr>
              <w:t>10.5 Listes de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4B837A" w14:textId="3BDDA18B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73" w:history="1">
            <w:r w:rsidRPr="002D29ED">
              <w:rPr>
                <w:rStyle w:val="Lienhypertexte"/>
                <w:noProof/>
              </w:rPr>
              <w:t>11. Intégrations entre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7FFC393" w14:textId="3369B22D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74" w:history="1">
            <w:r w:rsidRPr="002D29ED">
              <w:rPr>
                <w:rStyle w:val="Lienhypertexte"/>
                <w:noProof/>
              </w:rPr>
              <w:t>12. Traçabilité et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FEB998" w14:textId="0EE0F4D6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75" w:history="1">
            <w:r w:rsidRPr="002D29ED">
              <w:rPr>
                <w:rStyle w:val="Lienhypertexte"/>
                <w:noProof/>
              </w:rPr>
              <w:t>13. Interfaces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C22B1DF" w14:textId="6F06D341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76" w:history="1">
            <w:r w:rsidRPr="002D29ED">
              <w:rPr>
                <w:rStyle w:val="Lienhypertexte"/>
                <w:noProof/>
              </w:rPr>
              <w:t>14. Déploiement et exploitation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0E6D96" w14:textId="72FED5EF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77" w:history="1">
            <w:r w:rsidRPr="002D29ED">
              <w:rPr>
                <w:rStyle w:val="Lienhypertexte"/>
                <w:noProof/>
              </w:rPr>
              <w:t>14.1 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68EE877" w14:textId="0F2C7613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78" w:history="1">
            <w:r w:rsidRPr="002D29ED">
              <w:rPr>
                <w:rStyle w:val="Lienhypertexte"/>
                <w:noProof/>
              </w:rPr>
              <w:t>14.2 Construction et lancement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378CFF5" w14:textId="06B22FDA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79" w:history="1">
            <w:r w:rsidRPr="002D29ED">
              <w:rPr>
                <w:rStyle w:val="Lienhypertexte"/>
                <w:noProof/>
              </w:rPr>
              <w:t>14.3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CEC2B8" w14:textId="16FBBBFA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80" w:history="1">
            <w:r w:rsidRPr="002D29ED">
              <w:rPr>
                <w:rStyle w:val="Lienhypertexte"/>
                <w:noProof/>
              </w:rPr>
              <w:t>14.4 Supervision et mise à l'échelle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310E914" w14:textId="5A58F23A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81" w:history="1">
            <w:r w:rsidRPr="002D29ED">
              <w:rPr>
                <w:rStyle w:val="Lienhypertexte"/>
                <w:noProof/>
              </w:rPr>
              <w:t>15. Extensibilité : ajout de nouvelles procédures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ACA951C" w14:textId="4D0A5FCC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82" w:history="1">
            <w:r w:rsidRPr="002D29ED">
              <w:rPr>
                <w:rStyle w:val="Lienhypertexte"/>
                <w:noProof/>
              </w:rPr>
              <w:t>16. Limites connues et évolutions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8C71BC6" w14:textId="7556CCF6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83" w:history="1">
            <w:r w:rsidRPr="002D29ED">
              <w:rPr>
                <w:rStyle w:val="Lienhypertexte"/>
                <w:noProof/>
              </w:rPr>
              <w:t>Annexe A — Index des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817B82" w14:textId="4897586A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84" w:history="1">
            <w:r w:rsidRPr="002D29ED">
              <w:rPr>
                <w:rStyle w:val="Lienhypertexte"/>
                <w:noProof/>
              </w:rPr>
              <w:t>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76BF861" w14:textId="18B7C91B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85" w:history="1">
            <w:r w:rsidRPr="002D29ED">
              <w:rPr>
                <w:rStyle w:val="Lienhypertexte"/>
                <w:noProof/>
              </w:rPr>
              <w:t>eservices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4246606" w14:textId="7C24AB95" w:rsidR="00930B06" w:rsidRDefault="00930B06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3054686" w:history="1">
            <w:r w:rsidRPr="002D29ED">
              <w:rPr>
                <w:rStyle w:val="Lienhypertexte"/>
                <w:noProof/>
              </w:rPr>
              <w:t>registration et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36AC447" w14:textId="5678C9BA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87" w:history="1">
            <w:r w:rsidRPr="002D29ED">
              <w:rPr>
                <w:rStyle w:val="Lienhypertexte"/>
                <w:noProof/>
              </w:rPr>
              <w:t>Annexe B — Décisions d'architecture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1F8B84C" w14:textId="0E3F20CF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88" w:history="1">
            <w:r w:rsidRPr="002D29ED">
              <w:rPr>
                <w:rStyle w:val="Lienhypertexte"/>
                <w:noProof/>
              </w:rPr>
              <w:t>Annexe C — Migrations de schéma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DC33A03" w14:textId="22ADE955" w:rsidR="00930B06" w:rsidRDefault="00930B06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3054689" w:history="1">
            <w:r w:rsidRPr="002D29ED">
              <w:rPr>
                <w:rStyle w:val="Lienhypertexte"/>
                <w:noProof/>
              </w:rPr>
              <w:t>Annexe D —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_Toc243054689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E1DA5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309E96D" w14:textId="75956F69" w:rsidR="00CA0AA5" w:rsidRDefault="002E1DA5">
          <w:r>
            <w:fldChar w:fldCharType="end"/>
          </w:r>
        </w:p>
      </w:sdtContent>
    </w:sdt>
    <w:p w14:paraId="0E4CF1E3" w14:textId="77777777" w:rsidR="00CA0AA5" w:rsidRDefault="002E1DA5">
      <w:pPr>
        <w:pStyle w:val="Titre1"/>
        <w:pageBreakBefore/>
      </w:pPr>
      <w:bookmarkStart w:id="0" w:name="_Toc243054623"/>
      <w:r>
        <w:lastRenderedPageBreak/>
        <w:t>1. Objet et périmètre</w:t>
      </w:r>
      <w:bookmarkEnd w:id="0"/>
    </w:p>
    <w:p w14:paraId="38E84B89" w14:textId="77777777" w:rsidR="00CA0AA5" w:rsidRDefault="002E1DA5">
      <w:pPr>
        <w:spacing w:after="120" w:line="276" w:lineRule="auto"/>
        <w:jc w:val="both"/>
      </w:pPr>
      <w:r>
        <w:t xml:space="preserve">Ce dossier décrit l'architecture technique de </w:t>
      </w:r>
      <w:r>
        <w:rPr>
          <w:b/>
          <w:bCs/>
        </w:rPr>
        <w:t>NEXORA</w:t>
      </w:r>
      <w:r>
        <w:t>, plateforme de guichet unique du commerce extérieur (Recommandation 33 de l'UN/CEFACT). Il s'adresse aux architectes, développeurs, exploitants et responsables de la sécurité qui conçoivent, font évoluer</w:t>
      </w:r>
      <w:r>
        <w:t xml:space="preserve"> ou exploitent la plateforme.</w:t>
      </w:r>
    </w:p>
    <w:p w14:paraId="42A697D8" w14:textId="77777777" w:rsidR="00CA0AA5" w:rsidRDefault="002E1DA5">
      <w:pPr>
        <w:spacing w:after="120" w:line="276" w:lineRule="auto"/>
        <w:jc w:val="both"/>
      </w:pPr>
      <w:r>
        <w:t xml:space="preserve">NEXORA dématérialise les procédures administratives du commerce extérieur (FIMEX, domiciliation bancaire, déclaration d'importation, Visa Technique Provisoire…) sans développement spécifique par procédure : une procédure est </w:t>
      </w:r>
      <w:r>
        <w:rPr>
          <w:b/>
          <w:bCs/>
        </w:rPr>
        <w:t>m</w:t>
      </w:r>
      <w:r>
        <w:rPr>
          <w:b/>
          <w:bCs/>
        </w:rPr>
        <w:t>odélisée</w:t>
      </w:r>
      <w:r>
        <w:t xml:space="preserve"> dans un studio, assistée par des agents IA, </w:t>
      </w:r>
      <w:r>
        <w:rPr>
          <w:b/>
          <w:bCs/>
        </w:rPr>
        <w:t>publiée</w:t>
      </w:r>
      <w:r>
        <w:t xml:space="preserve"> sous forme d'un paquet immuable, puis </w:t>
      </w:r>
      <w:r>
        <w:rPr>
          <w:b/>
          <w:bCs/>
        </w:rPr>
        <w:t>exécutée</w:t>
      </w:r>
      <w:r>
        <w:t xml:space="preserve"> par un Runtime générique (e-Services).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45"/>
        <w:gridCol w:w="7052"/>
        <w:gridCol w:w="941"/>
      </w:tblGrid>
      <w:tr w:rsidR="00CA0AA5" w14:paraId="0EF9C3E3" w14:textId="77777777">
        <w:trPr>
          <w:tblHeader/>
        </w:trPr>
        <w:tc>
          <w:tcPr>
            <w:tcW w:w="164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C017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705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6E27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94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96E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</w:tr>
      <w:tr w:rsidR="00CA0AA5" w14:paraId="0EB90099" w14:textId="77777777"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A18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</w:t>
            </w:r>
          </w:p>
        </w:tc>
        <w:tc>
          <w:tcPr>
            <w:tcW w:w="70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652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Authentification unique (SSO), utilisateurs, rôles, droits, journal de sécurité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49F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8090</w:t>
            </w:r>
          </w:p>
        </w:tc>
      </w:tr>
      <w:tr w:rsidR="00CA0AA5" w14:paraId="3AD3CB1B" w14:textId="77777777"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89BF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</w:t>
            </w:r>
          </w:p>
        </w:tc>
        <w:tc>
          <w:tcPr>
            <w:tcW w:w="70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416E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Référentiel Commun : tables de référence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REF_*</w:t>
            </w:r>
            <w:r>
              <w:rPr>
                <w:sz w:val="19"/>
                <w:szCs w:val="19"/>
              </w:rPr>
              <w:t xml:space="preserve"> (pays, unités, devises, AMM…)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F41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8082</w:t>
            </w:r>
          </w:p>
        </w:tc>
      </w:tr>
      <w:tr w:rsidR="00CA0AA5" w14:paraId="6B3F15F0" w14:textId="77777777"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39FD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</w:t>
            </w:r>
          </w:p>
        </w:tc>
        <w:tc>
          <w:tcPr>
            <w:tcW w:w="70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4E4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Registre des opérateurs économiques (NIU), pièces d'enrôlement, comptes rattachés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E83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8083</w:t>
            </w:r>
          </w:p>
        </w:tc>
      </w:tr>
      <w:tr w:rsidR="00CA0AA5" w14:paraId="10C01859" w14:textId="77777777"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98C7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</w:t>
            </w:r>
          </w:p>
        </w:tc>
        <w:tc>
          <w:tcPr>
            <w:tcW w:w="70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F061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Studio des procédures : modélisation, agents IA</w:t>
            </w:r>
            <w:r>
              <w:rPr>
                <w:sz w:val="19"/>
                <w:szCs w:val="19"/>
              </w:rPr>
              <w:t>, revue, cycle de vie, publication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EEF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8084</w:t>
            </w:r>
          </w:p>
        </w:tc>
      </w:tr>
      <w:tr w:rsidR="00CA0AA5" w14:paraId="14D5FD88" w14:textId="77777777"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D9C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</w:t>
            </w:r>
          </w:p>
        </w:tc>
        <w:tc>
          <w:tcPr>
            <w:tcW w:w="70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CA7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Runtime du guichet unique : e-Force (demandeur), e-GOV (administrations), e-PAYMENT, messages, livrables</w:t>
            </w:r>
          </w:p>
        </w:tc>
        <w:tc>
          <w:tcPr>
            <w:tcW w:w="9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E86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8085</w:t>
            </w:r>
          </w:p>
        </w:tc>
      </w:tr>
    </w:tbl>
    <w:p w14:paraId="706C07C5" w14:textId="77777777" w:rsidR="00CA0AA5" w:rsidRDefault="002E1DA5">
      <w:pPr>
        <w:pStyle w:val="Titre1"/>
        <w:pageBreakBefore/>
      </w:pPr>
      <w:bookmarkStart w:id="1" w:name="_Toc243054624"/>
      <w:r>
        <w:lastRenderedPageBreak/>
        <w:t>2. Principes d'architecture</w:t>
      </w:r>
      <w:bookmarkEnd w:id="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36"/>
        <w:gridCol w:w="7302"/>
      </w:tblGrid>
      <w:tr w:rsidR="00CA0AA5" w14:paraId="7346DB98" w14:textId="77777777">
        <w:trPr>
          <w:tblHeader/>
        </w:trPr>
        <w:tc>
          <w:tcPr>
            <w:tcW w:w="23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07B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Principe</w:t>
            </w:r>
          </w:p>
        </w:tc>
        <w:tc>
          <w:tcPr>
            <w:tcW w:w="73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B570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Mise en œuvre</w:t>
            </w:r>
          </w:p>
        </w:tc>
      </w:tr>
      <w:tr w:rsidR="00CA0AA5" w14:paraId="6A574663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4292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Procédure = donnée, pas code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D815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Une procédure est modélisée dans le studio puis publiée sous forme d'un </w:t>
            </w:r>
            <w:r>
              <w:rPr>
                <w:b/>
                <w:bCs/>
                <w:sz w:val="19"/>
                <w:szCs w:val="19"/>
              </w:rPr>
              <w:t>paquet JSON immuable</w:t>
            </w:r>
            <w:r>
              <w:rPr>
                <w:sz w:val="19"/>
                <w:szCs w:val="19"/>
              </w:rPr>
              <w:t xml:space="preserve"> (formulaire, pièces, frais, messages, flux, BPMN, DRL, livrables, réglages). Le Runtime l'exécute avec des composants génériques. Le r</w:t>
            </w:r>
            <w:r>
              <w:rPr>
                <w:sz w:val="19"/>
                <w:szCs w:val="19"/>
              </w:rPr>
              <w:t>endu en code Angular généré reste une option d'administration (§ 9.10).</w:t>
            </w:r>
          </w:p>
        </w:tc>
      </w:tr>
      <w:tr w:rsidR="00CA0AA5" w14:paraId="26681E88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42825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Séparation conception / exécution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4E7A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</w:t>
            </w:r>
            <w:r>
              <w:rPr>
                <w:sz w:val="19"/>
                <w:szCs w:val="19"/>
              </w:rPr>
              <w:t xml:space="preserve"> conçoit et publie ;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</w:t>
            </w:r>
            <w:r>
              <w:rPr>
                <w:sz w:val="19"/>
                <w:szCs w:val="19"/>
              </w:rPr>
              <w:t xml:space="preserve"> déploie et exécute. Le Runtime ne dépend du studio qu'au déploiement.</w:t>
            </w:r>
          </w:p>
        </w:tc>
      </w:tr>
      <w:tr w:rsidR="00CA0AA5" w14:paraId="47A2E5CE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7FC9C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Une base par microservice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9EC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nexora_refdata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nexora_registration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nexora_procedures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nexora_eservices</w:t>
            </w:r>
            <w:r>
              <w:rPr>
                <w:sz w:val="19"/>
                <w:szCs w:val="19"/>
              </w:rPr>
              <w:t xml:space="preserve"> ; aucun accès direct à la base d'un autre service.</w:t>
            </w:r>
          </w:p>
        </w:tc>
      </w:tr>
      <w:tr w:rsidR="00CA0AA5" w14:paraId="49A93314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E6AD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Standards ouverts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68B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BPMN 2.0, DRL (Drools), UN/CEFACT SCRDM D23B (chemins BIE), UNTDED (ISO 7372), modèle de données de l'OMD, UN/CCL, CUR-GUCE, enveloppe inspirée d'ebXML, erreurs RFC 9457, JWT RS256 / JWKS, API S3.</w:t>
            </w:r>
          </w:p>
        </w:tc>
      </w:tr>
      <w:tr w:rsidR="00CA0AA5" w14:paraId="1508E1FC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6BDD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Humain dans la boucle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092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Les agents IA prop</w:t>
            </w:r>
            <w:r>
              <w:rPr>
                <w:sz w:val="19"/>
                <w:szCs w:val="19"/>
              </w:rPr>
              <w:t xml:space="preserve">osent ; une personne revoit et soumet ; une </w:t>
            </w:r>
            <w:r>
              <w:rPr>
                <w:b/>
                <w:bCs/>
                <w:sz w:val="19"/>
                <w:szCs w:val="19"/>
              </w:rPr>
              <w:t>autre</w:t>
            </w:r>
            <w:r>
              <w:rPr>
                <w:sz w:val="19"/>
                <w:szCs w:val="19"/>
              </w:rPr>
              <w:t xml:space="preserve"> personne approuve et publie.</w:t>
            </w:r>
          </w:p>
        </w:tc>
      </w:tr>
      <w:tr w:rsidR="00CA0AA5" w14:paraId="0DCB1A85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43D6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Traçabilité inaltérable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1209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Historiques par trigger, journaux d'audit en ajout seul chaînés par SHA-256, versions publiées figées, empreinte des paquets.</w:t>
            </w:r>
          </w:p>
        </w:tc>
      </w:tr>
      <w:tr w:rsidR="00CA0AA5" w14:paraId="5C87ABD1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50A80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Référentiel unique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0B47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Les li</w:t>
            </w:r>
            <w:r>
              <w:rPr>
                <w:sz w:val="19"/>
                <w:szCs w:val="19"/>
              </w:rPr>
              <w:t>stes de codes viennent du Référentiel Commun ; le Runtime n'en garde qu'une projection en lecture.</w:t>
            </w:r>
          </w:p>
        </w:tc>
      </w:tr>
      <w:tr w:rsidR="00CA0AA5" w14:paraId="31105D6E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5D7F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Souveraineté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B28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Modèle de langage auto-hébergé (facultatif), stockage objet MinIO sur l'infrastructure choisie, aucun service SaaS requis.</w:t>
            </w:r>
          </w:p>
        </w:tc>
      </w:tr>
    </w:tbl>
    <w:p w14:paraId="5BDD2432" w14:textId="77777777" w:rsidR="00CA0AA5" w:rsidRDefault="002E1DA5">
      <w:pPr>
        <w:pStyle w:val="Titre1"/>
        <w:pageBreakBefore/>
      </w:pPr>
      <w:bookmarkStart w:id="2" w:name="_Toc243054625"/>
      <w:r>
        <w:lastRenderedPageBreak/>
        <w:t>3. Vue d'ensemble</w:t>
      </w:r>
      <w:bookmarkEnd w:id="2"/>
    </w:p>
    <w:p w14:paraId="4DC266D5" w14:textId="77777777" w:rsidR="00CA0AA5" w:rsidRDefault="002E1DA5">
      <w:pPr>
        <w:pStyle w:val="Titre2"/>
      </w:pPr>
      <w:bookmarkStart w:id="3" w:name="_Toc243054626"/>
      <w:r>
        <w:t>3.1 Contexte</w:t>
      </w:r>
      <w:bookmarkEnd w:id="3"/>
    </w:p>
    <w:p w14:paraId="35EFDCF6" w14:textId="77777777" w:rsidR="00CA0AA5" w:rsidRDefault="002E1DA5">
      <w:pPr>
        <w:spacing w:after="120" w:line="276" w:lineRule="auto"/>
        <w:jc w:val="both"/>
      </w:pPr>
      <w:r>
        <w:t xml:space="preserve">Six familles d'acteurs utilisent la plateforme. Les opérateurs et commissionnaires agréés (CDA) déposent leurs demandes dans </w:t>
      </w:r>
      <w:r>
        <w:rPr>
          <w:b/>
          <w:bCs/>
        </w:rPr>
        <w:t>e-Force</w:t>
      </w:r>
      <w:r>
        <w:t xml:space="preserve"> ; les agents et signataires des administrations les instruisent dans </w:t>
      </w:r>
      <w:r>
        <w:rPr>
          <w:b/>
          <w:bCs/>
        </w:rPr>
        <w:t>e-GOV</w:t>
      </w:r>
      <w:r>
        <w:t xml:space="preserve"> ; les banques con</w:t>
      </w:r>
      <w:r>
        <w:t xml:space="preserve">firment les paiements par messages ; les concepteurs modélisent les procédures dans le </w:t>
      </w:r>
      <w:r>
        <w:rPr>
          <w:b/>
          <w:bCs/>
        </w:rPr>
        <w:t>studio</w:t>
      </w:r>
      <w:r>
        <w:t xml:space="preserve"> ; le public vérifie l'authenticité des livrables par code QR.</w:t>
      </w:r>
    </w:p>
    <w:p w14:paraId="4DFC8C34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79A9D71A" wp14:editId="03AE08D2">
            <wp:extent cx="6096000" cy="3105150"/>
            <wp:effectExtent l="0" t="0" r="0" b="0"/>
            <wp:docPr id="1" name="contexte" descr="Figure 1 — Contexte de la plateforme NEXORA" title="Figure 1 — Contexte de la plateforme NEX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81A0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1 — Contexte de la plateforme NEXORA</w:t>
      </w:r>
    </w:p>
    <w:p w14:paraId="24C8D60E" w14:textId="77777777" w:rsidR="00CA0AA5" w:rsidRDefault="002E1DA5">
      <w:pPr>
        <w:spacing w:after="120" w:line="276" w:lineRule="auto"/>
        <w:jc w:val="both"/>
      </w:pPr>
      <w:r>
        <w:t xml:space="preserve">Le studio peut s'appuyer sur un </w:t>
      </w:r>
      <w:r>
        <w:rPr>
          <w:b/>
          <w:bCs/>
        </w:rPr>
        <w:t>modèle de langage auto</w:t>
      </w:r>
      <w:r>
        <w:rPr>
          <w:b/>
          <w:bCs/>
        </w:rPr>
        <w:t>-hébergé</w:t>
      </w:r>
      <w:r>
        <w:t xml:space="preserve"> (API compatible OpenAI : Ollama, vLLM…) pour les agents ; il est facultatif : sans modèle, les agents fonctionnent en mode heuristique déterministe.</w:t>
      </w:r>
    </w:p>
    <w:p w14:paraId="47C8A589" w14:textId="77777777" w:rsidR="00CA0AA5" w:rsidRDefault="002E1DA5">
      <w:pPr>
        <w:pStyle w:val="Titre2"/>
      </w:pPr>
      <w:bookmarkStart w:id="4" w:name="_Toc243054627"/>
      <w:r>
        <w:t>3.2 Conteneurs</w:t>
      </w:r>
      <w:bookmarkEnd w:id="4"/>
    </w:p>
    <w:p w14:paraId="7783596D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469503E1" wp14:editId="5DC2B34A">
            <wp:extent cx="6096000" cy="2600325"/>
            <wp:effectExtent l="0" t="0" r="0" b="0"/>
            <wp:docPr id="2" name="conteneurs" descr="Figure 2 — Conteneurs applicatifs et bases de données" title="Figure 2 — Conteneurs applicatifs et bases de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9094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Conteneurs applicatifs et bases de données</w:t>
      </w:r>
    </w:p>
    <w:p w14:paraId="0159397D" w14:textId="77777777" w:rsidR="00CA0AA5" w:rsidRDefault="002E1DA5">
      <w:pPr>
        <w:spacing w:after="120" w:line="276" w:lineRule="auto"/>
        <w:jc w:val="both"/>
      </w:pPr>
      <w:r>
        <w:t>En production, chaque servi</w:t>
      </w:r>
      <w:r>
        <w:t xml:space="preserve">ce est un </w:t>
      </w:r>
      <w:r>
        <w:rPr>
          <w:b/>
          <w:bCs/>
        </w:rPr>
        <w:t>jar exécutable</w:t>
      </w:r>
      <w:r>
        <w:t xml:space="preserve"> qui sert aussi son interface Angular ; les ports 4201 à 4205 ne servent qu'au développement (</w:t>
      </w:r>
      <w:r>
        <w:rPr>
          <w:rFonts w:ascii="Consolas" w:eastAsia="Consolas" w:hAnsi="Consolas" w:cs="Consolas"/>
          <w:color w:val="7A2E0E"/>
          <w:sz w:val="19"/>
          <w:szCs w:val="19"/>
        </w:rPr>
        <w:t>ng serve</w:t>
      </w:r>
      <w:r>
        <w:t>).</w:t>
      </w:r>
    </w:p>
    <w:p w14:paraId="56FF1AF8" w14:textId="77777777" w:rsidR="00CA0AA5" w:rsidRDefault="002E1DA5">
      <w:pPr>
        <w:pStyle w:val="Titre2"/>
      </w:pPr>
      <w:bookmarkStart w:id="5" w:name="_Toc243054628"/>
      <w:r>
        <w:lastRenderedPageBreak/>
        <w:t>3.3 Chaîne de valeur : du texte réglementaire au service en ligne</w:t>
      </w:r>
      <w:bookmarkEnd w:id="5"/>
    </w:p>
    <w:p w14:paraId="13BA7C88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116514F2" wp14:editId="6DE15370">
            <wp:extent cx="6096000" cy="1666875"/>
            <wp:effectExtent l="0" t="0" r="0" b="0"/>
            <wp:docPr id="3" name="chaine" descr="Figure 3 — Du studio au Runtime" title="Figure 3 — Du studio au Run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2394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— Du studio au Runtime</w:t>
      </w:r>
    </w:p>
    <w:p w14:paraId="0E89CB1F" w14:textId="77777777" w:rsidR="00CA0AA5" w:rsidRDefault="002E1DA5">
      <w:pPr>
        <w:pStyle w:val="Titre1"/>
        <w:pageBreakBefore/>
      </w:pPr>
      <w:bookmarkStart w:id="6" w:name="_Toc243054629"/>
      <w:r>
        <w:lastRenderedPageBreak/>
        <w:t>4. Socle technique</w:t>
      </w:r>
      <w:bookmarkEnd w:id="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77"/>
        <w:gridCol w:w="6258"/>
        <w:gridCol w:w="1503"/>
      </w:tblGrid>
      <w:tr w:rsidR="00CA0AA5" w14:paraId="6CDE6744" w14:textId="77777777">
        <w:trPr>
          <w:tblHeader/>
        </w:trPr>
        <w:tc>
          <w:tcPr>
            <w:tcW w:w="187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1C88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Couche</w:t>
            </w:r>
          </w:p>
        </w:tc>
        <w:tc>
          <w:tcPr>
            <w:tcW w:w="625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770F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Choix</w:t>
            </w:r>
          </w:p>
        </w:tc>
        <w:tc>
          <w:tcPr>
            <w:tcW w:w="15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3246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</w:tr>
      <w:tr w:rsidR="00CA0AA5" w14:paraId="3D6117E1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929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Langage, exécution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1751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Java (OpenJDK, Eclipse Adoptium)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D37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21</w:t>
            </w:r>
          </w:p>
        </w:tc>
      </w:tr>
      <w:tr w:rsidR="00CA0AA5" w14:paraId="64328D46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ED8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Cadre applicatif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19C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Spring Boot : WebMVC,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JdbcClient</w:t>
            </w:r>
            <w:r>
              <w:rPr>
                <w:sz w:val="19"/>
                <w:szCs w:val="19"/>
              </w:rPr>
              <w:t>, Validation, Security, OAuth2 Resource Server, RestClient, Actuator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F1A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4.1</w:t>
            </w:r>
          </w:p>
        </w:tc>
      </w:tr>
      <w:tr w:rsidR="00CA0AA5" w14:paraId="5333CF49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2AF1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Sérialisation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E39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Jackson 3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tools.jackson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C51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fourni par Boot 4</w:t>
            </w:r>
          </w:p>
        </w:tc>
      </w:tr>
      <w:tr w:rsidR="00CA0AA5" w14:paraId="032D7D05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16F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A35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PostgreSQL : JSONB, GIN, partitionnement, triggers PL/pgSQL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0A8E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17</w:t>
            </w:r>
          </w:p>
        </w:tc>
      </w:tr>
      <w:tr w:rsidR="00CA0AA5" w14:paraId="23E1ADD4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1E90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Migrations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A4E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Flyway (une série par service ; </w:t>
            </w:r>
            <w:r>
              <w:rPr>
                <w:sz w:val="19"/>
                <w:szCs w:val="19"/>
              </w:rPr>
              <w:t>une migration publiée n'est jamais modifiée)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4B2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fourni par Boot 4</w:t>
            </w:r>
          </w:p>
        </w:tc>
      </w:tr>
      <w:tr w:rsidR="00CA0AA5" w14:paraId="7C78E932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658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Workflow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9DEA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Operaton</w:t>
            </w:r>
            <w:r>
              <w:rPr>
                <w:sz w:val="19"/>
                <w:szCs w:val="19"/>
              </w:rPr>
              <w:t xml:space="preserve"> (fork communautaire de Camunda 7, extensions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camunda:</w:t>
            </w:r>
            <w:r>
              <w:rPr>
                <w:sz w:val="19"/>
                <w:szCs w:val="19"/>
              </w:rPr>
              <w:t>), embarqué dans e-Services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6FF9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2.1</w:t>
            </w:r>
          </w:p>
        </w:tc>
      </w:tr>
      <w:tr w:rsidR="00CA0AA5" w14:paraId="1596D34F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282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Règles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969E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Drools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drools-engine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drools-mvel</w:t>
            </w:r>
            <w:r>
              <w:rPr>
                <w:sz w:val="19"/>
                <w:szCs w:val="19"/>
              </w:rPr>
              <w:t>), DRL compilé à chaud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B108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10.2</w:t>
            </w:r>
          </w:p>
        </w:tc>
      </w:tr>
      <w:tr w:rsidR="00CA0AA5" w14:paraId="2F40115A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284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Livrables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4C6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OpenPDF, ZXing (QR), cachet HMAC-SHA256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293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3.0 · 3.5</w:t>
            </w:r>
          </w:p>
        </w:tc>
      </w:tr>
      <w:tr w:rsidR="00CA0AA5" w14:paraId="3DB0B766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728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Stockage objet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6DC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MinIO (API S3) via le SDK Java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io.minio</w:t>
            </w:r>
            <w:r>
              <w:rPr>
                <w:sz w:val="19"/>
                <w:szCs w:val="19"/>
              </w:rPr>
              <w:t xml:space="preserve"> et OkHttp 5 ; repli PostgreSQL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134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8.6</w:t>
            </w:r>
          </w:p>
        </w:tc>
      </w:tr>
      <w:tr w:rsidR="00CA0AA5" w14:paraId="7E60E11B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978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Interfaces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9E25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Angular (composants autonomes, signals, zoneless), Angular CDK (glisser-déposer), bpmn-js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3A2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22 · 22.2 · 1</w:t>
            </w:r>
            <w:r>
              <w:rPr>
                <w:sz w:val="19"/>
                <w:szCs w:val="19"/>
              </w:rPr>
              <w:t>8</w:t>
            </w:r>
          </w:p>
        </w:tc>
      </w:tr>
      <w:tr w:rsidR="00CA0AA5" w14:paraId="7887A33F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C65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Construction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CE7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Maven +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frontend-maven-plugin</w:t>
            </w:r>
            <w:r>
              <w:rPr>
                <w:sz w:val="19"/>
                <w:szCs w:val="19"/>
              </w:rPr>
              <w:t xml:space="preserve"> (Node embarqué)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A930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Node 24</w:t>
            </w:r>
          </w:p>
        </w:tc>
      </w:tr>
      <w:tr w:rsidR="00CA0AA5" w14:paraId="30310693" w14:textId="77777777">
        <w:tc>
          <w:tcPr>
            <w:tcW w:w="18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A61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Jetons</w:t>
            </w:r>
          </w:p>
        </w:tc>
        <w:tc>
          <w:tcPr>
            <w:tcW w:w="625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AF8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JWT RS256 (Nimbus via Spring Security), JWKS</w:t>
            </w:r>
          </w:p>
        </w:tc>
        <w:tc>
          <w:tcPr>
            <w:tcW w:w="15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56E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63D61383" w14:textId="77777777" w:rsidR="00CA0AA5" w:rsidRDefault="002E1DA5">
      <w:pPr>
        <w:pStyle w:val="Titre1"/>
        <w:pageBreakBefore/>
      </w:pPr>
      <w:bookmarkStart w:id="7" w:name="_Toc243054630"/>
      <w:r>
        <w:lastRenderedPageBreak/>
        <w:t>5. Microservices</w:t>
      </w:r>
      <w:bookmarkEnd w:id="7"/>
    </w:p>
    <w:p w14:paraId="26B767D3" w14:textId="77777777" w:rsidR="00CA0AA5" w:rsidRDefault="002E1DA5">
      <w:pPr>
        <w:spacing w:after="120" w:line="276" w:lineRule="auto"/>
        <w:jc w:val="both"/>
      </w:pPr>
      <w:r>
        <w:t>Tous les services partagent la même structure de dépôt :</w:t>
      </w:r>
    </w:p>
    <w:p w14:paraId="6516DE52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&lt;service&gt;/</w:t>
      </w:r>
    </w:p>
    <w:p w14:paraId="395BD35F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backend/   Spring Boot : com.nexora.&lt;service&gt;…, db/migration (Flyway), static/ (UI construite)</w:t>
      </w:r>
    </w:p>
    <w:p w14:paraId="12C8A65A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frontend/  Angular : core/ (api, auth, i18n, session), pages/, shared/</w:t>
      </w:r>
    </w:p>
    <w:p w14:paraId="36A27F12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database/  scripts de création de la base et du rôle</w:t>
      </w:r>
    </w:p>
    <w:p w14:paraId="12F1AE1B" w14:textId="77777777" w:rsidR="00CA0AA5" w:rsidRDefault="002E1DA5">
      <w:pPr>
        <w:shd w:val="clear" w:color="auto" w:fill="F4F4F4"/>
        <w:spacing w:after="16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construire.cmd · lancer.cmd · .env.local (secrets, non versionné) · README.md</w:t>
      </w:r>
    </w:p>
    <w:p w14:paraId="5CB1101B" w14:textId="77777777" w:rsidR="00CA0AA5" w:rsidRDefault="002E1DA5">
      <w:pPr>
        <w:spacing w:after="120" w:line="276" w:lineRule="auto"/>
        <w:jc w:val="both"/>
      </w:pPr>
      <w:r>
        <w:t xml:space="preserve">Paquets transverses de chaque backend : </w:t>
      </w:r>
      <w:r>
        <w:rPr>
          <w:rFonts w:ascii="Consolas" w:eastAsia="Consolas" w:hAnsi="Consolas" w:cs="Consolas"/>
          <w:color w:val="7A2E0E"/>
          <w:sz w:val="19"/>
          <w:szCs w:val="19"/>
        </w:rPr>
        <w:t>security</w:t>
      </w:r>
      <w:r>
        <w:t xml:space="preserve"> (filtre JWT, </w:t>
      </w:r>
      <w:r>
        <w:rPr>
          <w:rFonts w:ascii="Consolas" w:eastAsia="Consolas" w:hAnsi="Consolas" w:cs="Consolas"/>
          <w:color w:val="7A2E0E"/>
          <w:sz w:val="19"/>
          <w:szCs w:val="19"/>
        </w:rPr>
        <w:t>Habilitations</w:t>
      </w:r>
      <w:r>
        <w:t xml:space="preserve">), </w:t>
      </w:r>
      <w:r>
        <w:rPr>
          <w:rFonts w:ascii="Consolas" w:eastAsia="Consolas" w:hAnsi="Consolas" w:cs="Consolas"/>
          <w:color w:val="7A2E0E"/>
          <w:sz w:val="19"/>
          <w:szCs w:val="19"/>
        </w:rPr>
        <w:t>web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ApiExceptionHandler</w:t>
      </w:r>
      <w:r>
        <w:t xml:space="preserve"> RFC 9457, </w:t>
      </w:r>
      <w:r>
        <w:rPr>
          <w:rFonts w:ascii="Consolas" w:eastAsia="Consolas" w:hAnsi="Consolas" w:cs="Consolas"/>
          <w:color w:val="7A2E0E"/>
          <w:sz w:val="19"/>
          <w:szCs w:val="19"/>
        </w:rPr>
        <w:t>ConfigController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WebConfig</w:t>
      </w:r>
      <w:r>
        <w:t xml:space="preserve"> CORS et routage SPA, </w:t>
      </w:r>
      <w:r>
        <w:rPr>
          <w:rFonts w:ascii="Consolas" w:eastAsia="Consolas" w:hAnsi="Consolas" w:cs="Consolas"/>
          <w:color w:val="7A2E0E"/>
          <w:sz w:val="19"/>
          <w:szCs w:val="19"/>
        </w:rPr>
        <w:t>Json</w:t>
      </w:r>
      <w:r>
        <w:t xml:space="preserve">), </w:t>
      </w:r>
      <w:r>
        <w:rPr>
          <w:rFonts w:ascii="Consolas" w:eastAsia="Consolas" w:hAnsi="Consolas" w:cs="Consolas"/>
          <w:color w:val="7A2E0E"/>
          <w:sz w:val="19"/>
          <w:szCs w:val="19"/>
        </w:rPr>
        <w:t>audit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Journal</w:t>
      </w:r>
      <w:r>
        <w:t>).</w:t>
      </w:r>
    </w:p>
    <w:p w14:paraId="0FC3D4E5" w14:textId="77777777" w:rsidR="00CA0AA5" w:rsidRDefault="002E1DA5">
      <w:pPr>
        <w:pStyle w:val="Titre2"/>
      </w:pPr>
      <w:bookmarkStart w:id="8" w:name="_Toc243054631"/>
      <w:r>
        <w:t>5.1 auth — Accès et SSO (8090)</w:t>
      </w:r>
      <w:bookmarkEnd w:id="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 w:rsidR="00CA0AA5" w14:paraId="6A0A1C65" w14:textId="77777777">
        <w:trPr>
          <w:tblHeader/>
        </w:trPr>
        <w:tc>
          <w:tcPr>
            <w:tcW w:w="16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1D0C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8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6369E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CA0AA5" w14:paraId="5D91A5DD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361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Rôle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03A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Authentification unique, utilisateurs, groupes, rôles, droits, journal de sécurité, portail des applications</w:t>
            </w:r>
          </w:p>
        </w:tc>
      </w:tr>
      <w:tr w:rsidR="00CA0AA5" w14:paraId="7E32A8F9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4FAF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Paquets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638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account</w:t>
            </w:r>
            <w:r>
              <w:rPr>
                <w:sz w:val="19"/>
                <w:szCs w:val="19"/>
              </w:rPr>
              <w:t xml:space="preserve"> (AccountService, AdminService, Journal),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security</w:t>
            </w:r>
            <w:r>
              <w:rPr>
                <w:sz w:val="19"/>
                <w:szCs w:val="19"/>
              </w:rPr>
              <w:t xml:space="preserve"> (KeyService, TokenService, SecurityConfig),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web</w:t>
            </w:r>
            <w:r>
              <w:rPr>
                <w:sz w:val="19"/>
                <w:szCs w:val="19"/>
              </w:rPr>
              <w:t xml:space="preserve"> (SsoController, AdminController)</w:t>
            </w:r>
          </w:p>
        </w:tc>
      </w:tr>
      <w:tr w:rsidR="00CA0AA5" w14:paraId="10433B2F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9597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Tables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BBC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auth_group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auth_permission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auth_role_permission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auth_user_role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auth_user_group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auth_group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_role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auth_session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auth_event</w:t>
            </w:r>
          </w:p>
        </w:tc>
      </w:tr>
      <w:tr w:rsidR="00CA0AA5" w14:paraId="2A700473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24C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Points clés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9FB0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Clé RSA générée au premier démarrage et conservée en base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kid</w:t>
            </w:r>
            <w:r>
              <w:rPr>
                <w:sz w:val="19"/>
                <w:szCs w:val="19"/>
              </w:rPr>
              <w:t xml:space="preserve"> publié dans le JWKS) ; jeton valable 8 h, session SSO 10 h (cookie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NEXORA_SSO</w:t>
            </w:r>
            <w:r>
              <w:rPr>
                <w:sz w:val="19"/>
                <w:szCs w:val="19"/>
              </w:rPr>
              <w:t>) ; liste blanche des URL de retour ; portail filtré par droits</w:t>
            </w:r>
          </w:p>
        </w:tc>
      </w:tr>
    </w:tbl>
    <w:p w14:paraId="26677F81" w14:textId="77777777" w:rsidR="00CA0AA5" w:rsidRDefault="002E1DA5">
      <w:pPr>
        <w:pStyle w:val="Titre2"/>
      </w:pPr>
      <w:bookmarkStart w:id="9" w:name="_Toc243054632"/>
      <w:r>
        <w:t>5.2 refdata — Référentiel Commun (8082)</w:t>
      </w:r>
      <w:bookmarkEnd w:id="9"/>
    </w:p>
    <w:p w14:paraId="6B933587" w14:textId="77777777" w:rsidR="00CA0AA5" w:rsidRDefault="002E1DA5">
      <w:pPr>
        <w:spacing w:after="120" w:line="276" w:lineRule="auto"/>
        <w:jc w:val="both"/>
      </w:pPr>
      <w:r>
        <w:t>Moteur générique de tables de référence : métadonnées (</w:t>
      </w:r>
      <w:r>
        <w:rPr>
          <w:rFonts w:ascii="Consolas" w:eastAsia="Consolas" w:hAnsi="Consolas" w:cs="Consolas"/>
          <w:color w:val="7A2E0E"/>
          <w:sz w:val="19"/>
          <w:szCs w:val="19"/>
        </w:rPr>
        <w:t>ref_table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ref_column</w:t>
      </w:r>
      <w:r>
        <w:t>), entrées JSONB (</w:t>
      </w:r>
      <w:r>
        <w:rPr>
          <w:rFonts w:ascii="Consolas" w:eastAsia="Consolas" w:hAnsi="Consolas" w:cs="Consolas"/>
          <w:color w:val="7A2E0E"/>
          <w:sz w:val="19"/>
          <w:szCs w:val="19"/>
        </w:rPr>
        <w:t>ref_entry</w:t>
      </w:r>
      <w:r>
        <w:t xml:space="preserve">) matérialisées en vraies tables </w:t>
      </w:r>
      <w:r>
        <w:rPr>
          <w:rFonts w:ascii="Consolas" w:eastAsia="Consolas" w:hAnsi="Consolas" w:cs="Consolas"/>
          <w:color w:val="7A2E0E"/>
          <w:sz w:val="19"/>
          <w:szCs w:val="19"/>
        </w:rPr>
        <w:t>referentiel.ref</w:t>
      </w:r>
      <w:r>
        <w:rPr>
          <w:rFonts w:ascii="Consolas" w:eastAsia="Consolas" w:hAnsi="Consolas" w:cs="Consolas"/>
          <w:color w:val="7A2E0E"/>
          <w:sz w:val="19"/>
          <w:szCs w:val="19"/>
        </w:rPr>
        <w:t>_*</w:t>
      </w:r>
      <w:r>
        <w:t xml:space="preserve"> synchronisées par trigger ; historique par trigger, invalidation plutôt que suppression. Les autres services l'interrogent par </w:t>
      </w:r>
      <w:r>
        <w:rPr>
          <w:rFonts w:ascii="Consolas" w:eastAsia="Consolas" w:hAnsi="Consolas" w:cs="Consolas"/>
          <w:color w:val="7A2E0E"/>
          <w:sz w:val="19"/>
          <w:szCs w:val="19"/>
        </w:rPr>
        <w:t>GET /api/v1/lookup/{REF_TABLE}</w:t>
      </w:r>
      <w:r>
        <w:t>.</w:t>
      </w:r>
    </w:p>
    <w:p w14:paraId="097968B1" w14:textId="77777777" w:rsidR="00CA0AA5" w:rsidRDefault="002E1DA5">
      <w:pPr>
        <w:pStyle w:val="Titre2"/>
      </w:pPr>
      <w:bookmarkStart w:id="10" w:name="_Toc243054633"/>
      <w:r>
        <w:t>5.3 registration — Registre des opérateurs (8083)</w:t>
      </w:r>
      <w:bookmarkEnd w:id="10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 w:rsidR="00CA0AA5" w14:paraId="4A49EFB1" w14:textId="77777777">
        <w:trPr>
          <w:tblHeader/>
        </w:trPr>
        <w:tc>
          <w:tcPr>
            <w:tcW w:w="16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21077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8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679D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CA0AA5" w14:paraId="114961CB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244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Rôle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6975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Enrôlement des opérateurs (NIU), immatriculations, pièces, comptes rattachés (titulaire, mandataire CDA)</w:t>
            </w:r>
          </w:p>
        </w:tc>
      </w:tr>
      <w:tr w:rsidR="00CA0AA5" w14:paraId="6732FDDB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9532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Schéma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F80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registre.party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party_user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party_document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party_history</w:t>
            </w:r>
            <w:r>
              <w:rPr>
                <w:sz w:val="19"/>
                <w:szCs w:val="19"/>
              </w:rPr>
              <w:t xml:space="preserve"> (trigger)</w:t>
            </w:r>
          </w:p>
        </w:tc>
      </w:tr>
      <w:tr w:rsidR="00CA0AA5" w14:paraId="5C989218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A82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Service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BC9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RegistreService</w:t>
            </w:r>
            <w:r>
              <w:rPr>
                <w:sz w:val="19"/>
                <w:szCs w:val="19"/>
              </w:rPr>
              <w:t xml:space="preserve"> : attributs de pré-remplissage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/attributes</w:t>
            </w:r>
            <w:r>
              <w:rPr>
                <w:sz w:val="19"/>
                <w:szCs w:val="19"/>
              </w:rPr>
              <w:t xml:space="preserve">), opérateurs du jeton, enrôlement, modification, </w:t>
            </w:r>
            <w:r>
              <w:rPr>
                <w:b/>
                <w:bCs/>
                <w:sz w:val="19"/>
                <w:szCs w:val="19"/>
              </w:rPr>
              <w:t>complétion</w:t>
            </w:r>
            <w:r>
              <w:rPr>
                <w:sz w:val="19"/>
                <w:szCs w:val="19"/>
              </w:rPr>
              <w:t xml:space="preserve"> des seuls champs vides à la délivrance (RG2 UC-05), pièces, comptes</w:t>
            </w:r>
          </w:p>
        </w:tc>
      </w:tr>
    </w:tbl>
    <w:p w14:paraId="6429871F" w14:textId="77777777" w:rsidR="00CA0AA5" w:rsidRDefault="002E1DA5">
      <w:pPr>
        <w:pStyle w:val="Titre2"/>
      </w:pPr>
      <w:bookmarkStart w:id="11" w:name="_Toc243054634"/>
      <w:r>
        <w:t>5.4 procedures — Studio des procédures (8084)</w:t>
      </w:r>
      <w:bookmarkEnd w:id="1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8"/>
        <w:gridCol w:w="4311"/>
        <w:gridCol w:w="4059"/>
      </w:tblGrid>
      <w:tr w:rsidR="00CA0AA5" w14:paraId="7F472778" w14:textId="77777777">
        <w:trPr>
          <w:tblHeader/>
        </w:trPr>
        <w:tc>
          <w:tcPr>
            <w:tcW w:w="12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996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Paquet</w:t>
            </w:r>
          </w:p>
        </w:tc>
        <w:tc>
          <w:tcPr>
            <w:tcW w:w="43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3EBD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Classes principales</w:t>
            </w:r>
          </w:p>
        </w:tc>
        <w:tc>
          <w:tcPr>
            <w:tcW w:w="405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18EF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</w:t>
            </w:r>
            <w:r>
              <w:rPr>
                <w:b/>
                <w:bCs/>
                <w:color w:val="FFFFFF"/>
                <w:sz w:val="19"/>
                <w:szCs w:val="19"/>
              </w:rPr>
              <w:t>ilité</w:t>
            </w:r>
          </w:p>
        </w:tc>
      </w:tr>
      <w:tr w:rsidR="00CA0AA5" w14:paraId="6562BDBE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2233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studio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381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StudioRepository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VersionService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Gabarit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StudioController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GenerateurAngular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CA42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Procédures, versions, parties de version, cycle de vie, paquet, publication, génération du formulaire en code Angular</w:t>
            </w:r>
          </w:p>
        </w:tc>
      </w:tr>
      <w:tr w:rsidR="00CA0AA5" w14:paraId="40FAA3FC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FDB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agents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FBB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AgentService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RevueService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DocumentAgent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DataAgent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ProcessAgent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RulesAgent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ComplianceAgent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Conformite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ImportDonnees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ImportDiagrammes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lastRenderedPageBreak/>
              <w:t>BpmnImport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BpmnGenerateur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Maquette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ModeleDonnees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TexteSource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LectureImages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ModeleLangage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CDA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Exécutions d'agents, propositions, revue humaine, contrôles de conformité, lecture des sources (SFD, modèles de données, maquett</w:t>
            </w:r>
            <w:r>
              <w:rPr>
                <w:sz w:val="19"/>
                <w:szCs w:val="19"/>
              </w:rPr>
              <w:t>es, diagrammes, images)</w:t>
            </w:r>
          </w:p>
        </w:tc>
      </w:tr>
      <w:tr w:rsidR="00CA0AA5" w14:paraId="47CB3CD1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E16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rdm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D52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RdmService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RdmController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5E9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Modèle de référence SCRDM D23B, listes de codes, couche Buy-Ship-Pay, UNTDED, rôles des parties</w:t>
            </w:r>
          </w:p>
        </w:tc>
      </w:tr>
      <w:tr w:rsidR="00CA0AA5" w14:paraId="46F8AF26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8EAB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regles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1C26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MoteurRegles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Demande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Antecedent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Resultat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D0C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Compilation et banc d'essai DRL (mêmes classes que le</w:t>
            </w:r>
            <w:r>
              <w:rPr>
                <w:sz w:val="19"/>
                <w:szCs w:val="19"/>
              </w:rPr>
              <w:t xml:space="preserve"> Runtime)</w:t>
            </w:r>
          </w:p>
        </w:tc>
      </w:tr>
      <w:tr w:rsidR="00CA0AA5" w14:paraId="7B731444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0FA8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seed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98B7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AmorcageFimex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B34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Amorçage de FIMEX en brouillon</w:t>
            </w:r>
          </w:p>
        </w:tc>
      </w:tr>
    </w:tbl>
    <w:p w14:paraId="08DD749C" w14:textId="77777777" w:rsidR="00CA0AA5" w:rsidRDefault="002E1DA5">
      <w:pPr>
        <w:spacing w:after="120" w:line="276" w:lineRule="auto"/>
        <w:jc w:val="both"/>
      </w:pPr>
      <w:r>
        <w:t xml:space="preserve">Schémas </w:t>
      </w:r>
      <w:r>
        <w:rPr>
          <w:rFonts w:ascii="Consolas" w:eastAsia="Consolas" w:hAnsi="Consolas" w:cs="Consolas"/>
          <w:color w:val="7A2E0E"/>
          <w:sz w:val="19"/>
          <w:szCs w:val="19"/>
        </w:rPr>
        <w:t>studio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rdm</w:t>
      </w:r>
      <w:r>
        <w:t xml:space="preserve">. Le BPMN est lu et contrôlé avec </w:t>
      </w:r>
      <w:r>
        <w:rPr>
          <w:rFonts w:ascii="Consolas" w:eastAsia="Consolas" w:hAnsi="Consolas" w:cs="Consolas"/>
          <w:color w:val="7A2E0E"/>
          <w:sz w:val="19"/>
          <w:szCs w:val="19"/>
        </w:rPr>
        <w:t>operaton-bpmn-model</w:t>
      </w:r>
      <w:r>
        <w:t xml:space="preserve"> ; le studio n'embarque pas de moteur d'exécution.</w:t>
      </w:r>
    </w:p>
    <w:p w14:paraId="32CF3A8C" w14:textId="77777777" w:rsidR="00CA0AA5" w:rsidRDefault="002E1DA5">
      <w:pPr>
        <w:pStyle w:val="Titre2"/>
      </w:pPr>
      <w:bookmarkStart w:id="12" w:name="_Toc243054635"/>
      <w:r>
        <w:t>5.5 eservices — Runtime du guichet unique (8085)</w:t>
      </w:r>
      <w:bookmarkEnd w:id="1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350"/>
        <w:gridCol w:w="4280"/>
        <w:gridCol w:w="4008"/>
      </w:tblGrid>
      <w:tr w:rsidR="00CA0AA5" w14:paraId="76F35B87" w14:textId="77777777">
        <w:trPr>
          <w:tblHeader/>
        </w:trPr>
        <w:tc>
          <w:tcPr>
            <w:tcW w:w="12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5D756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Paquet</w:t>
            </w:r>
          </w:p>
        </w:tc>
        <w:tc>
          <w:tcPr>
            <w:tcW w:w="43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ED37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Classes principales</w:t>
            </w:r>
          </w:p>
        </w:tc>
        <w:tc>
          <w:tcPr>
            <w:tcW w:w="405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0AD5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Responsabilité</w:t>
            </w:r>
          </w:p>
        </w:tc>
      </w:tr>
      <w:tr w:rsidR="00CA0AA5" w14:paraId="411F9181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B353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deploiement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690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Paquet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DeploiementService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VuesMetier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ListesService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AdministrationController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FormulairesGeneres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DFE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Déploiement des paquets, vues métier, projection des listes, administration, préparation du code Angular généré</w:t>
            </w:r>
          </w:p>
        </w:tc>
      </w:tr>
      <w:tr w:rsidR="00CA0AA5" w14:paraId="6B1585B3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E8B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9A9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DossierRepository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Validation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CurService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DossierController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4628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e-Force : brouillon pré-rempli, pièces, estimation, dépôt (CUR), visibilité, validation (y compris « visible si »)</w:t>
            </w:r>
          </w:p>
        </w:tc>
      </w:tr>
      <w:tr w:rsidR="00CA0AA5" w14:paraId="05666403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12F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moteur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9AE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Delegues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statut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paiement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cotation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message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delivrance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TacheService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44B3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Délégués BPMN génériques, tâches humaines e-GOV</w:t>
            </w:r>
          </w:p>
        </w:tc>
      </w:tr>
      <w:tr w:rsidR="00CA0AA5" w14:paraId="37A3BF16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713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sage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8E8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Formats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MessageService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216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Messages JSON / XML / CSV / TXT / EDIFACT / PDF, format de l'échange par flux, idempotence, états</w:t>
            </w:r>
          </w:p>
        </w:tc>
      </w:tr>
      <w:tr w:rsidR="00CA0AA5" w14:paraId="09888AEB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8CF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paiement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3DE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PaiementService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6FD1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Avis de paiement, confirmation bancaire, encaissements, relevés</w:t>
            </w:r>
          </w:p>
        </w:tc>
      </w:tr>
      <w:tr w:rsidR="00CA0AA5" w14:paraId="43F148A6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FCE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cotation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36E0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CotationService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1BD8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Affectation a</w:t>
            </w:r>
            <w:r>
              <w:rPr>
                <w:sz w:val="19"/>
                <w:szCs w:val="19"/>
              </w:rPr>
              <w:t>gent / signataire par unité administrative</w:t>
            </w:r>
          </w:p>
        </w:tc>
      </w:tr>
      <w:tr w:rsidR="00CA0AA5" w14:paraId="451B5196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CE94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livrable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8AD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LivrableService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3B88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PDF, QR, cachet HMAC, vérification publique</w:t>
            </w:r>
          </w:p>
        </w:tc>
      </w:tr>
      <w:tr w:rsidR="00CA0AA5" w14:paraId="6A495122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5BDF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stockage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5516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StockageObjet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StockageController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7C8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Stockage MinIO des pièces et livrables, repli PostgreSQL, migration</w:t>
            </w:r>
          </w:p>
        </w:tc>
      </w:tr>
      <w:tr w:rsidR="00CA0AA5" w14:paraId="3C20DED7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7C7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registre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99E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Services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329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Clients REST vers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</w:t>
            </w:r>
          </w:p>
        </w:tc>
      </w:tr>
      <w:tr w:rsidR="00CA0AA5" w14:paraId="100B385D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1ADF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audit</w:t>
            </w:r>
          </w:p>
        </w:tc>
        <w:tc>
          <w:tcPr>
            <w:tcW w:w="43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41C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Journal</w:t>
            </w:r>
          </w:p>
        </w:tc>
        <w:tc>
          <w:tcPr>
            <w:tcW w:w="4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4A06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Journal d'audit chaîné</w:t>
            </w:r>
          </w:p>
        </w:tc>
      </w:tr>
    </w:tbl>
    <w:p w14:paraId="197DF532" w14:textId="77777777" w:rsidR="00CA0AA5" w:rsidRDefault="002E1DA5">
      <w:pPr>
        <w:pStyle w:val="Titre1"/>
        <w:pageBreakBefore/>
      </w:pPr>
      <w:bookmarkStart w:id="13" w:name="_Toc243054636"/>
      <w:r>
        <w:lastRenderedPageBreak/>
        <w:t>6. Sécurité</w:t>
      </w:r>
      <w:bookmarkEnd w:id="13"/>
    </w:p>
    <w:p w14:paraId="1034357E" w14:textId="77777777" w:rsidR="00CA0AA5" w:rsidRDefault="002E1DA5">
      <w:pPr>
        <w:pStyle w:val="Titre2"/>
      </w:pPr>
      <w:bookmarkStart w:id="14" w:name="_Toc243054637"/>
      <w:r>
        <w:t>6.1 Authentification unique</w:t>
      </w:r>
      <w:bookmarkEnd w:id="14"/>
    </w:p>
    <w:p w14:paraId="3DF4CA56" w14:textId="77777777" w:rsidR="00CA0AA5" w:rsidRDefault="002E1DA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Le navigateur est redirigé vers </w:t>
      </w:r>
      <w:r>
        <w:rPr>
          <w:rFonts w:ascii="Consolas" w:eastAsia="Consolas" w:hAnsi="Consolas" w:cs="Consolas"/>
          <w:color w:val="7A2E0E"/>
          <w:sz w:val="19"/>
          <w:szCs w:val="19"/>
        </w:rPr>
        <w:t>auth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GET /sso/authorize?redirect_uri=…&amp;state=…</w:t>
      </w:r>
      <w:r>
        <w:t>.</w:t>
      </w:r>
    </w:p>
    <w:p w14:paraId="73031B7B" w14:textId="77777777" w:rsidR="00CA0AA5" w:rsidRDefault="002E1DA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Sans session SSO, </w:t>
      </w:r>
      <w:r>
        <w:rPr>
          <w:rFonts w:ascii="Consolas" w:eastAsia="Consolas" w:hAnsi="Consolas" w:cs="Consolas"/>
          <w:color w:val="7A2E0E"/>
          <w:sz w:val="19"/>
          <w:szCs w:val="19"/>
        </w:rPr>
        <w:t>auth</w:t>
      </w:r>
      <w:r>
        <w:t xml:space="preserve"> présente la page de connexion (</w:t>
      </w:r>
      <w:r>
        <w:rPr>
          <w:rFonts w:ascii="Consolas" w:eastAsia="Consolas" w:hAnsi="Consolas" w:cs="Consolas"/>
          <w:color w:val="7A2E0E"/>
          <w:sz w:val="19"/>
          <w:szCs w:val="19"/>
        </w:rPr>
        <w:t>POST /api/v1/auth/login</w:t>
      </w:r>
      <w:r>
        <w:t xml:space="preserve">) et pose le cookie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NEXORA_SSO</w:t>
      </w:r>
      <w:r>
        <w:t>.</w:t>
      </w:r>
    </w:p>
    <w:p w14:paraId="59424082" w14:textId="77777777" w:rsidR="00CA0AA5" w:rsidRDefault="002E1DA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auth</w:t>
      </w:r>
      <w:r>
        <w:t xml:space="preserve"> renvoie vers l'application avec le jeton dans le fragment : </w:t>
      </w:r>
      <w:r>
        <w:rPr>
          <w:rFonts w:ascii="Consolas" w:eastAsia="Consolas" w:hAnsi="Consolas" w:cs="Consolas"/>
          <w:color w:val="7A2E0E"/>
          <w:sz w:val="19"/>
          <w:szCs w:val="19"/>
        </w:rPr>
        <w:t>#access_token=JWT&amp;state=…</w:t>
      </w:r>
      <w:r>
        <w:t xml:space="preserve"> ; l'interface conserve le jeton et efface le fragment.</w:t>
      </w:r>
    </w:p>
    <w:p w14:paraId="5DB19AC2" w14:textId="77777777" w:rsidR="00CA0AA5" w:rsidRDefault="002E1DA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Chaque appel d'API porte </w:t>
      </w:r>
      <w:r>
        <w:rPr>
          <w:rFonts w:ascii="Consolas" w:eastAsia="Consolas" w:hAnsi="Consolas" w:cs="Consolas"/>
          <w:color w:val="7A2E0E"/>
          <w:sz w:val="19"/>
          <w:szCs w:val="19"/>
        </w:rPr>
        <w:t>Authorization: Bearer JWT</w:t>
      </w:r>
      <w:r>
        <w:t xml:space="preserve"> ; le service vérifie la signature par le JWKS de </w:t>
      </w:r>
      <w:r>
        <w:rPr>
          <w:rFonts w:ascii="Consolas" w:eastAsia="Consolas" w:hAnsi="Consolas" w:cs="Consolas"/>
          <w:color w:val="7A2E0E"/>
          <w:sz w:val="19"/>
          <w:szCs w:val="19"/>
        </w:rPr>
        <w:t>auth</w:t>
      </w:r>
      <w:r>
        <w:t xml:space="preserve"> (mis en cache) et répond 200, ou 401 / 403 au format RFC 9457.</w:t>
      </w:r>
    </w:p>
    <w:p w14:paraId="018AF506" w14:textId="77777777" w:rsidR="00CA0AA5" w:rsidRDefault="002E1DA5">
      <w:pPr>
        <w:spacing w:after="120" w:line="276" w:lineRule="auto"/>
        <w:jc w:val="both"/>
      </w:pPr>
      <w:r>
        <w:t>Revendi</w:t>
      </w:r>
      <w:r>
        <w:t xml:space="preserve">cations du jeton : </w:t>
      </w:r>
      <w:r>
        <w:rPr>
          <w:rFonts w:ascii="Consolas" w:eastAsia="Consolas" w:hAnsi="Consolas" w:cs="Consolas"/>
          <w:color w:val="7A2E0E"/>
          <w:sz w:val="19"/>
          <w:szCs w:val="19"/>
        </w:rPr>
        <w:t>sub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uid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name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preferred_username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email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locale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roles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groups</w:t>
      </w:r>
      <w:r>
        <w:t xml:space="preserve">, </w:t>
      </w:r>
      <w:r>
        <w:rPr>
          <w:rFonts w:ascii="Consolas" w:eastAsia="Consolas" w:hAnsi="Consolas" w:cs="Consolas"/>
          <w:b/>
          <w:bCs/>
          <w:color w:val="7A2E0E"/>
          <w:sz w:val="19"/>
          <w:szCs w:val="19"/>
        </w:rPr>
        <w:t>permissions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iss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iat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exp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jti</w:t>
      </w:r>
      <w:r>
        <w:t xml:space="preserve"> ; en-tête </w:t>
      </w:r>
      <w:r>
        <w:rPr>
          <w:rFonts w:ascii="Consolas" w:eastAsia="Consolas" w:hAnsi="Consolas" w:cs="Consolas"/>
          <w:color w:val="7A2E0E"/>
          <w:sz w:val="19"/>
          <w:szCs w:val="19"/>
        </w:rPr>
        <w:t>kid</w:t>
      </w:r>
      <w:r>
        <w:t xml:space="preserve"> (RS256).</w:t>
      </w:r>
    </w:p>
    <w:p w14:paraId="4AE693E9" w14:textId="77777777" w:rsidR="00CA0AA5" w:rsidRDefault="002E1DA5">
      <w:pPr>
        <w:pStyle w:val="Titre2"/>
      </w:pPr>
      <w:bookmarkStart w:id="15" w:name="_Toc243054638"/>
      <w:r>
        <w:t>6.2 Autorisation</w:t>
      </w:r>
      <w:bookmarkEnd w:id="15"/>
    </w:p>
    <w:p w14:paraId="0AC53C59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Chaque service est un </w:t>
      </w:r>
      <w:r>
        <w:rPr>
          <w:b/>
          <w:bCs/>
        </w:rPr>
        <w:t>resource server</w:t>
      </w:r>
      <w:r>
        <w:t xml:space="preserve"> sans état : </w:t>
      </w:r>
      <w:r>
        <w:rPr>
          <w:rFonts w:ascii="Consolas" w:eastAsia="Consolas" w:hAnsi="Consolas" w:cs="Consolas"/>
          <w:color w:val="7A2E0E"/>
          <w:sz w:val="19"/>
          <w:szCs w:val="19"/>
        </w:rPr>
        <w:t>permissions</w:t>
      </w:r>
      <w:r>
        <w:t xml:space="preserve"> → autorités </w:t>
      </w:r>
      <w:r>
        <w:rPr>
          <w:rFonts w:ascii="Consolas" w:eastAsia="Consolas" w:hAnsi="Consolas" w:cs="Consolas"/>
          <w:color w:val="7A2E0E"/>
          <w:sz w:val="19"/>
          <w:szCs w:val="19"/>
        </w:rPr>
        <w:t>PERM_&lt;droit&gt;</w:t>
      </w:r>
      <w:r>
        <w:t>.</w:t>
      </w:r>
    </w:p>
    <w:p w14:paraId="4BA8D416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Contrôle gr</w:t>
      </w:r>
      <w:r>
        <w:t>ossier dans le filtre (famille d'API), contrôle fin dans les services :</w:t>
      </w:r>
    </w:p>
    <w:p w14:paraId="26DD1AD9" w14:textId="77777777" w:rsidR="00CA0AA5" w:rsidRDefault="002E1DA5">
      <w:pPr>
        <w:pStyle w:val="Paragraphedeliste"/>
        <w:numPr>
          <w:ilvl w:val="1"/>
          <w:numId w:val="3"/>
        </w:numPr>
        <w:spacing w:after="60" w:line="264" w:lineRule="auto"/>
      </w:pPr>
      <w:r>
        <w:t>e-Force : un opérateur ne voit que ses dossiers et ceux de ses NIU (titulaire ou mandataire) ;</w:t>
      </w:r>
    </w:p>
    <w:p w14:paraId="0B5BBBEB" w14:textId="77777777" w:rsidR="00CA0AA5" w:rsidRDefault="002E1DA5">
      <w:pPr>
        <w:pStyle w:val="Paragraphedeliste"/>
        <w:numPr>
          <w:ilvl w:val="1"/>
          <w:numId w:val="3"/>
        </w:numPr>
        <w:spacing w:after="60" w:line="264" w:lineRule="auto"/>
      </w:pPr>
      <w:r>
        <w:t>e-GOV : un agent ne voit et ne traite que les dossiers qui lui sont cotés (RG2 UC-04) ;</w:t>
      </w:r>
    </w:p>
    <w:p w14:paraId="5944EBFA" w14:textId="77777777" w:rsidR="00CA0AA5" w:rsidRDefault="002E1DA5">
      <w:pPr>
        <w:pStyle w:val="Paragraphedeliste"/>
        <w:numPr>
          <w:ilvl w:val="1"/>
          <w:numId w:val="3"/>
        </w:numPr>
        <w:spacing w:after="60" w:line="264" w:lineRule="auto"/>
      </w:pPr>
      <w:r>
        <w:t>studio : l'approbateur d'une version n'en est pas l'auteur (RG-GOV-04) ; le dernier auteur des règles DRL ne peut pas les approuver ;</w:t>
      </w:r>
    </w:p>
    <w:p w14:paraId="441DCC35" w14:textId="77777777" w:rsidR="00CA0AA5" w:rsidRDefault="002E1DA5">
      <w:pPr>
        <w:pStyle w:val="Paragraphedeliste"/>
        <w:numPr>
          <w:ilvl w:val="1"/>
          <w:numId w:val="3"/>
        </w:numPr>
        <w:spacing w:after="60" w:line="264" w:lineRule="auto"/>
      </w:pPr>
      <w:r>
        <w:t>studio : seul un administrateur de la plateforme (</w:t>
      </w:r>
      <w:r>
        <w:rPr>
          <w:rFonts w:ascii="Consolas" w:eastAsia="Consolas" w:hAnsi="Consolas" w:cs="Consolas"/>
          <w:color w:val="7A2E0E"/>
          <w:sz w:val="19"/>
          <w:szCs w:val="19"/>
        </w:rPr>
        <w:t>auth.administration</w:t>
      </w:r>
      <w:r>
        <w:t xml:space="preserve">) change le </w:t>
      </w:r>
      <w:r>
        <w:rPr>
          <w:b/>
          <w:bCs/>
        </w:rPr>
        <w:t>rendu du formulaire</w:t>
      </w:r>
      <w:r>
        <w:t xml:space="preserve"> (dynamique ou code gé</w:t>
      </w:r>
      <w:r>
        <w:t>néré), contrôlé côté serveur.</w:t>
      </w:r>
    </w:p>
    <w:p w14:paraId="462FE6CB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Accès publics : </w:t>
      </w:r>
      <w:r>
        <w:rPr>
          <w:rFonts w:ascii="Consolas" w:eastAsia="Consolas" w:hAnsi="Consolas" w:cs="Consolas"/>
          <w:color w:val="7A2E0E"/>
          <w:sz w:val="19"/>
          <w:szCs w:val="19"/>
        </w:rPr>
        <w:t>/api/v1/config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/api/v1/public/**</w:t>
      </w:r>
      <w:r>
        <w:t xml:space="preserve"> (vérification d'un livrable), </w:t>
      </w:r>
      <w:r>
        <w:rPr>
          <w:rFonts w:ascii="Consolas" w:eastAsia="Consolas" w:hAnsi="Consolas" w:cs="Consolas"/>
          <w:color w:val="7A2E0E"/>
          <w:sz w:val="19"/>
          <w:szCs w:val="19"/>
        </w:rPr>
        <w:t>/actuator/health|info</w:t>
      </w:r>
      <w:r>
        <w:t>.</w:t>
      </w:r>
    </w:p>
    <w:p w14:paraId="36B5D5E9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 jeton n'est accepté en paramètre </w:t>
      </w:r>
      <w:r>
        <w:rPr>
          <w:rFonts w:ascii="Consolas" w:eastAsia="Consolas" w:hAnsi="Consolas" w:cs="Consolas"/>
          <w:color w:val="7A2E0E"/>
          <w:sz w:val="19"/>
          <w:szCs w:val="19"/>
        </w:rPr>
        <w:t>access_token</w:t>
      </w:r>
      <w:r>
        <w:t xml:space="preserve"> que pour les téléchargements par lien (PDF, pièces).</w:t>
      </w:r>
    </w:p>
    <w:p w14:paraId="78DC0F27" w14:textId="77777777" w:rsidR="00CA0AA5" w:rsidRDefault="002E1DA5">
      <w:pPr>
        <w:pStyle w:val="Titre2"/>
      </w:pPr>
      <w:bookmarkStart w:id="16" w:name="_Toc243054639"/>
      <w:r>
        <w:t>6.3 Rôles et droits d</w:t>
      </w:r>
      <w:r>
        <w:t>u guichet unique</w:t>
      </w:r>
      <w:bookmarkEnd w:id="1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53"/>
        <w:gridCol w:w="6885"/>
      </w:tblGrid>
      <w:tr w:rsidR="00CA0AA5" w14:paraId="0E217A9A" w14:textId="77777777">
        <w:trPr>
          <w:tblHeader/>
        </w:trPr>
        <w:tc>
          <w:tcPr>
            <w:tcW w:w="275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E3E42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68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43D1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Droits</w:t>
            </w:r>
          </w:p>
        </w:tc>
      </w:tr>
      <w:tr w:rsidR="00CA0AA5" w14:paraId="5B0BC353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18F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CONCEPTEUR_PROCEDURES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D6A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procedures.modeliser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refdata.lire</w:t>
            </w:r>
          </w:p>
        </w:tc>
      </w:tr>
      <w:tr w:rsidR="00CA0AA5" w14:paraId="7F563C9F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1397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APPROBATEUR_PROCEDURES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77A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procedures.approuver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procedures.publier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refdata.lire</w:t>
            </w:r>
          </w:p>
        </w:tc>
      </w:tr>
      <w:tr w:rsidR="00CA0AA5" w14:paraId="0E41CEC4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A2B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OPERATEUR_ECONOMIQUE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F39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eservices.deposer</w:t>
            </w:r>
          </w:p>
        </w:tc>
      </w:tr>
      <w:tr w:rsidR="00CA0AA5" w14:paraId="75F31C35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EAE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COMMISSIONNAIRE_AGREE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690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eservices.deposer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eservices.mandataire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registration.lire</w:t>
            </w:r>
          </w:p>
        </w:tc>
      </w:tr>
      <w:tr w:rsidR="00CA0AA5" w14:paraId="2719BD07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1D1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AGENT_TRAITEMENT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83F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eservices.traiter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registration.lire</w:t>
            </w:r>
          </w:p>
        </w:tc>
      </w:tr>
      <w:tr w:rsidR="00CA0AA5" w14:paraId="5E578686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579A8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AGENT_SIGNATAIRE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8D9C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eservices.signer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registration.lire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registration.completer</w:t>
            </w:r>
          </w:p>
        </w:tc>
      </w:tr>
      <w:tr w:rsidR="00CA0AA5" w14:paraId="7F41DFDC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BDB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SUPERVISEUR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D2B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eservices.superviser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ation.lire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</w:p>
        </w:tc>
      </w:tr>
      <w:tr w:rsidR="00CA0AA5" w14:paraId="47CD2F8F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FC0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BANQUE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4AD2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eservices.encaisser</w:t>
            </w:r>
          </w:p>
        </w:tc>
      </w:tr>
      <w:tr w:rsidR="00CA0AA5" w14:paraId="47ECEBE0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4F8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ADMINISTRATEUR_ESERVICES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9C7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eservices.administrer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eservices.superviser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registration.lire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registration.gerer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refdata.lire</w:t>
            </w:r>
          </w:p>
        </w:tc>
      </w:tr>
      <w:tr w:rsidR="00CA0AA5" w14:paraId="64B18FEF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1D33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ADMINISTRATEUR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622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tous les droits, dont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auth.administration</w:t>
            </w:r>
          </w:p>
        </w:tc>
      </w:tr>
    </w:tbl>
    <w:p w14:paraId="0AEBBF03" w14:textId="77777777" w:rsidR="00CA0AA5" w:rsidRDefault="002E1DA5">
      <w:pPr>
        <w:pStyle w:val="Titre2"/>
      </w:pPr>
      <w:bookmarkStart w:id="17" w:name="_Toc243054640"/>
      <w:r>
        <w:lastRenderedPageBreak/>
        <w:t>6.4 Mesures complémentaires</w:t>
      </w:r>
      <w:bookmarkEnd w:id="17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1"/>
        <w:gridCol w:w="7087"/>
      </w:tblGrid>
      <w:tr w:rsidR="00CA0AA5" w14:paraId="46B98A27" w14:textId="77777777">
        <w:trPr>
          <w:tblHeader/>
        </w:trPr>
        <w:tc>
          <w:tcPr>
            <w:tcW w:w="25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7AE2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Menace</w:t>
            </w:r>
          </w:p>
        </w:tc>
        <w:tc>
          <w:tcPr>
            <w:tcW w:w="708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EAB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Mesure</w:t>
            </w:r>
          </w:p>
        </w:tc>
      </w:tr>
      <w:tr w:rsidR="00CA0AA5" w14:paraId="030B5ECC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CBB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Injection SQL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41C3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Requêtes paramétrées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JdbcClient</w:t>
            </w:r>
            <w:r>
              <w:rPr>
                <w:sz w:val="19"/>
                <w:szCs w:val="19"/>
              </w:rPr>
              <w:t>) ; identifiants dynamiques des vues contrôlés par expression régulière</w:t>
            </w:r>
          </w:p>
        </w:tc>
      </w:tr>
      <w:tr w:rsidR="00CA0AA5" w14:paraId="13C87EB4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726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XXE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1BF6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Analyseurs XML sans DTD ni entités externes (messages, BPMN, draw.io, classeurs)</w:t>
            </w:r>
          </w:p>
        </w:tc>
      </w:tr>
      <w:tr w:rsidR="00CA0AA5" w14:paraId="3CD3AD9C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804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Injection dans le code généré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3092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Les textes saisis dans le studio sont écrits dans des constantes TypeScript échappées, jamais dans le gabarit HTML ; codes de champs et de secti</w:t>
            </w:r>
            <w:r>
              <w:rPr>
                <w:sz w:val="19"/>
                <w:szCs w:val="19"/>
              </w:rPr>
              <w:t>ons limités aux identifiants</w:t>
            </w:r>
          </w:p>
        </w:tc>
      </w:tr>
      <w:tr w:rsidR="00CA0AA5" w14:paraId="6B631CC7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FE3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Écriture de fichiers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FEF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L'action « Préparer le code généré » n'accepte que des noms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[a-z0-9-]+-vN.ts|html</w:t>
            </w:r>
            <w:r>
              <w:rPr>
                <w:sz w:val="19"/>
                <w:szCs w:val="19"/>
              </w:rPr>
              <w:t xml:space="preserve"> dans un dossier configuré</w:t>
            </w:r>
          </w:p>
        </w:tc>
      </w:tr>
      <w:tr w:rsidR="00CA0AA5" w14:paraId="0BFB499E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3FBA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Rejeu de messages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9E4C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Clé d'idempotence unique par tenant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Idempotency-Key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1EC8BD81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3EE4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Paquet altéré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8859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Empreinte</w:t>
            </w:r>
            <w:r>
              <w:rPr>
                <w:sz w:val="19"/>
                <w:szCs w:val="19"/>
              </w:rPr>
              <w:t xml:space="preserve"> SHA-256 vérifiée au déploiement</w:t>
            </w:r>
          </w:p>
        </w:tc>
      </w:tr>
      <w:tr w:rsidR="00CA0AA5" w14:paraId="5E058AE6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ACFB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Faux livrable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53E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Cachet HMAC-SHA256 vérifiable par QR</w:t>
            </w:r>
          </w:p>
        </w:tc>
      </w:tr>
      <w:tr w:rsidR="00CA0AA5" w14:paraId="1837DFA9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8C6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Redirection ouverte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D02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Liste blanche des origines SSO</w:t>
            </w:r>
          </w:p>
        </w:tc>
      </w:tr>
      <w:tr w:rsidR="00CA0AA5" w14:paraId="15AC4043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084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246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.env.local</w:t>
            </w:r>
            <w:r>
              <w:rPr>
                <w:sz w:val="19"/>
                <w:szCs w:val="19"/>
              </w:rPr>
              <w:t xml:space="preserve"> par service, jamais versionné ; mots de passe de base distincts ; clés MinIO dédiées au compartiment</w:t>
            </w:r>
          </w:p>
        </w:tc>
      </w:tr>
      <w:tr w:rsidR="00CA0AA5" w14:paraId="646F5F6B" w14:textId="77777777">
        <w:tc>
          <w:tcPr>
            <w:tcW w:w="2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10B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Clickjacking</w:t>
            </w:r>
          </w:p>
        </w:tc>
        <w:tc>
          <w:tcPr>
            <w:tcW w:w="708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F6C02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</w:t>
            </w:r>
            <w:r>
              <w:rPr>
                <w:sz w:val="19"/>
                <w:szCs w:val="19"/>
              </w:rPr>
              <w:t xml:space="preserve"> refuse l'affichage en iframe</w:t>
            </w:r>
          </w:p>
        </w:tc>
      </w:tr>
    </w:tbl>
    <w:p w14:paraId="1FAC6BC8" w14:textId="77777777" w:rsidR="00CA0AA5" w:rsidRDefault="002E1DA5">
      <w:pPr>
        <w:pStyle w:val="Titre1"/>
        <w:pageBreakBefore/>
      </w:pPr>
      <w:bookmarkStart w:id="18" w:name="_Toc243054641"/>
      <w:r>
        <w:lastRenderedPageBreak/>
        <w:t>7. Modèle de procédure et paquet publié</w:t>
      </w:r>
      <w:bookmarkEnd w:id="18"/>
    </w:p>
    <w:p w14:paraId="34AF9E51" w14:textId="77777777" w:rsidR="00CA0AA5" w:rsidRDefault="002E1DA5">
      <w:pPr>
        <w:pStyle w:val="Titre2"/>
      </w:pPr>
      <w:bookmarkStart w:id="19" w:name="_Toc243054642"/>
      <w:r>
        <w:t>7.1 Contenu d'une version</w:t>
      </w:r>
      <w:bookmarkEnd w:id="19"/>
    </w:p>
    <w:p w14:paraId="505947EA" w14:textId="77777777" w:rsidR="00CA0AA5" w:rsidRDefault="002E1DA5">
      <w:pPr>
        <w:spacing w:after="120" w:line="276" w:lineRule="auto"/>
        <w:jc w:val="both"/>
      </w:pPr>
      <w:r>
        <w:t xml:space="preserve">Une version regroupe des </w:t>
      </w:r>
      <w:r>
        <w:rPr>
          <w:b/>
          <w:bCs/>
        </w:rPr>
        <w:t>parties</w:t>
      </w:r>
      <w:r>
        <w:t xml:space="preserve"> enregi</w:t>
      </w:r>
      <w:r>
        <w:t>strées indépendamment, chacune avec un motif (</w:t>
      </w:r>
      <w:r>
        <w:rPr>
          <w:rFonts w:ascii="Consolas" w:eastAsia="Consolas" w:hAnsi="Consolas" w:cs="Consolas"/>
          <w:color w:val="7A2E0E"/>
          <w:sz w:val="19"/>
          <w:szCs w:val="19"/>
        </w:rPr>
        <w:t>PUT /versions/{id}/parts/{partie}</w:t>
      </w:r>
      <w:r>
        <w:t xml:space="preserve">) : </w:t>
      </w:r>
      <w:r>
        <w:rPr>
          <w:rFonts w:ascii="Consolas" w:eastAsia="Consolas" w:hAnsi="Consolas" w:cs="Consolas"/>
          <w:color w:val="7A2E0E"/>
          <w:sz w:val="19"/>
          <w:szCs w:val="19"/>
        </w:rPr>
        <w:t>settings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requestTypes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actors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statuses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form</w:t>
      </w:r>
      <w:r>
        <w:t xml:space="preserve"> (sections et champs), </w:t>
      </w:r>
      <w:r>
        <w:rPr>
          <w:rFonts w:ascii="Consolas" w:eastAsia="Consolas" w:hAnsi="Consolas" w:cs="Consolas"/>
          <w:color w:val="7A2E0E"/>
          <w:sz w:val="19"/>
          <w:szCs w:val="19"/>
        </w:rPr>
        <w:t>documents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fees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flows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process</w:t>
      </w:r>
      <w:r>
        <w:t xml:space="preserve"> (BPMN), </w:t>
      </w:r>
      <w:r>
        <w:rPr>
          <w:rFonts w:ascii="Consolas" w:eastAsia="Consolas" w:hAnsi="Consolas" w:cs="Consolas"/>
          <w:color w:val="7A2E0E"/>
          <w:sz w:val="19"/>
          <w:szCs w:val="19"/>
        </w:rPr>
        <w:t>rules</w:t>
      </w:r>
      <w:r>
        <w:t xml:space="preserve"> (DRL et règles de gestion), </w:t>
      </w:r>
      <w:r>
        <w:rPr>
          <w:rFonts w:ascii="Consolas" w:eastAsia="Consolas" w:hAnsi="Consolas" w:cs="Consolas"/>
          <w:color w:val="7A2E0E"/>
          <w:sz w:val="19"/>
          <w:szCs w:val="19"/>
        </w:rPr>
        <w:t>deliverables</w:t>
      </w:r>
      <w:r>
        <w:t>.</w:t>
      </w:r>
    </w:p>
    <w:p w14:paraId="0C28C895" w14:textId="77777777" w:rsidR="00CA0AA5" w:rsidRDefault="002E1DA5">
      <w:pPr>
        <w:spacing w:after="120" w:line="276" w:lineRule="auto"/>
        <w:jc w:val="both"/>
      </w:pPr>
      <w:r>
        <w:t xml:space="preserve">Un </w:t>
      </w:r>
      <w:r>
        <w:rPr>
          <w:b/>
          <w:bCs/>
        </w:rPr>
        <w:t>champ</w:t>
      </w:r>
      <w:r>
        <w:t xml:space="preserve"> porte : type (texte, texte long, nombre, décimal, date, année, liste de codes, e-mail, téléphone, oui / non, localisation), longueur, format (expression régulière), obligation (oui, non, conditionnel), co</w:t>
      </w:r>
      <w:r>
        <w:t xml:space="preserve">ndition </w:t>
      </w:r>
      <w:r>
        <w:rPr>
          <w:rFonts w:ascii="Consolas" w:eastAsia="Consolas" w:hAnsi="Consolas" w:cs="Consolas"/>
          <w:color w:val="7A2E0E"/>
          <w:sz w:val="19"/>
          <w:szCs w:val="19"/>
        </w:rPr>
        <w:t>typeDemande in (…)</w:t>
      </w:r>
      <w:r>
        <w:t>, liste (</w:t>
      </w:r>
      <w:r>
        <w:rPr>
          <w:rFonts w:ascii="Consolas" w:eastAsia="Consolas" w:hAnsi="Consolas" w:cs="Consolas"/>
          <w:color w:val="7A2E0E"/>
          <w:sz w:val="19"/>
          <w:szCs w:val="19"/>
        </w:rPr>
        <w:t>REF_xxx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@LIEUX_TRAITEMENT</w:t>
      </w:r>
      <w:r>
        <w:t xml:space="preserve"> ou valeurs locales), références UNTDED / OMD / UN/CCL, </w:t>
      </w:r>
      <w:r>
        <w:rPr>
          <w:b/>
          <w:bCs/>
        </w:rPr>
        <w:t>chemin BIE SCRDM</w:t>
      </w:r>
      <w:r>
        <w:t>, indicateurs « critère de recherche », « pré-rempli depuis le registre », « modifiable en amendement », aides FR / EN.</w:t>
      </w:r>
    </w:p>
    <w:p w14:paraId="13A3B72D" w14:textId="77777777" w:rsidR="00CA0AA5" w:rsidRDefault="002E1DA5">
      <w:pPr>
        <w:pStyle w:val="Titre2"/>
      </w:pPr>
      <w:bookmarkStart w:id="20" w:name="_Toc243054643"/>
      <w:r>
        <w:t>7.2</w:t>
      </w:r>
      <w:r>
        <w:t xml:space="preserve"> Cycle de vie</w:t>
      </w:r>
      <w:bookmarkEnd w:id="20"/>
    </w:p>
    <w:p w14:paraId="0AB6F1EC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784AF37C" wp14:editId="6E6BC95D">
            <wp:extent cx="6096000" cy="1381125"/>
            <wp:effectExtent l="0" t="0" r="0" b="0"/>
            <wp:docPr id="4" name="cycle" descr="Figure 4 — Cycle de vie d'une version de procédure" title="Figure 4 — Cycle de vie d'une version de procéd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A388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Cycle de vie d'une version de procédure</w:t>
      </w:r>
    </w:p>
    <w:p w14:paraId="676D661B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Trigger </w:t>
      </w:r>
      <w:r>
        <w:rPr>
          <w:rFonts w:ascii="Consolas" w:eastAsia="Consolas" w:hAnsi="Consolas" w:cs="Consolas"/>
          <w:color w:val="7A2E0E"/>
          <w:sz w:val="19"/>
          <w:szCs w:val="19"/>
        </w:rPr>
        <w:t>studio.version_immuable</w:t>
      </w:r>
      <w:r>
        <w:t xml:space="preserve"> : une version publiée n'est plus modifiable (RG-GOV-01).</w:t>
      </w:r>
    </w:p>
    <w:p w14:paraId="6AF30182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Les états </w:t>
      </w:r>
      <w:r>
        <w:rPr>
          <w:rFonts w:ascii="Consolas" w:eastAsia="Consolas" w:hAnsi="Consolas" w:cs="Consolas"/>
          <w:color w:val="7A2E0E"/>
          <w:sz w:val="19"/>
          <w:szCs w:val="19"/>
        </w:rPr>
        <w:t>published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superseded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retired</w:t>
      </w:r>
      <w:r>
        <w:t xml:space="preserve"> ont un paquet ; les autres n'en ont pas.</w:t>
      </w:r>
    </w:p>
    <w:p w14:paraId="078DC10E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Une seule version de travail (brouillon, en revue ou approuvée) par procédure ; une nouvelle version copie intégralement la dernière.</w:t>
      </w:r>
    </w:p>
    <w:p w14:paraId="6433EE0E" w14:textId="77777777" w:rsidR="00CA0AA5" w:rsidRDefault="002E1DA5">
      <w:pPr>
        <w:pStyle w:val="Titre2"/>
      </w:pPr>
      <w:bookmarkStart w:id="21" w:name="_Toc243054644"/>
      <w:r>
        <w:t>7.3 Paquet nexora.procedure/1</w:t>
      </w:r>
      <w:bookmarkEnd w:id="21"/>
    </w:p>
    <w:p w14:paraId="3740833A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format, procedure{code, labelFr, labelEn, circuitC</w:t>
      </w:r>
      <w:r>
        <w:rPr>
          <w:rFonts w:ascii="Consolas" w:eastAsia="Consolas" w:hAnsi="Consolas" w:cs="Consolas"/>
          <w:sz w:val="17"/>
          <w:szCs w:val="17"/>
        </w:rPr>
        <w:t>ode, authority, description},</w:t>
      </w:r>
    </w:p>
    <w:p w14:paraId="40F71060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terminology, version, settings{…, ihm{…, champs{…}}, rendu}, natures[], requestTypes[{code, curCode, natures[]}],</w:t>
      </w:r>
    </w:p>
    <w:p w14:paraId="613C1794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actors[], statuses[], sections[{code, parentCode, repeating, minRows}], fields[], documents[], fees[],</w:t>
      </w:r>
    </w:p>
    <w:p w14:paraId="59616766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messages[</w:t>
      </w:r>
      <w:r>
        <w:rPr>
          <w:rFonts w:ascii="Consolas" w:eastAsia="Consolas" w:hAnsi="Consolas" w:cs="Consolas"/>
          <w:sz w:val="17"/>
          <w:szCs w:val="17"/>
        </w:rPr>
        <w:t>{code, messageType, contentFormat, rootElement, fields[{path, indexed}]}],</w:t>
      </w:r>
    </w:p>
    <w:p w14:paraId="08C89DB5" w14:textId="77777777" w:rsidR="00CA0AA5" w:rsidRDefault="002E1DA5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flows[{messages[{seq, messageCode, senderActor, receiverActor, contentFormat}]}],</w:t>
      </w:r>
    </w:p>
    <w:p w14:paraId="1356E094" w14:textId="77777777" w:rsidR="00CA0AA5" w:rsidRDefault="002E1DA5">
      <w:pPr>
        <w:shd w:val="clear" w:color="auto" w:fill="F4F4F4"/>
        <w:spacing w:after="160"/>
        <w:ind w:left="120"/>
      </w:pPr>
      <w:r>
        <w:rPr>
          <w:rFonts w:ascii="Consolas" w:eastAsia="Consolas" w:hAnsi="Consolas" w:cs="Consolas"/>
          <w:sz w:val="17"/>
          <w:szCs w:val="17"/>
        </w:rPr>
        <w:t>process{processKey, bpmnXml}, rules{drl, businessRules[]}, deliverables[]</w:t>
      </w:r>
    </w:p>
    <w:p w14:paraId="06F24D9C" w14:textId="77777777" w:rsidR="00CA0AA5" w:rsidRDefault="002E1DA5">
      <w:pPr>
        <w:spacing w:after="120" w:line="276" w:lineRule="auto"/>
        <w:jc w:val="both"/>
      </w:pPr>
      <w:r>
        <w:t xml:space="preserve">L'empreinte est calculée </w:t>
      </w:r>
      <w:r>
        <w:t>par PostgreSQL à la publication (</w:t>
      </w:r>
      <w:r>
        <w:rPr>
          <w:rFonts w:ascii="Consolas" w:eastAsia="Consolas" w:hAnsi="Consolas" w:cs="Consolas"/>
          <w:color w:val="7A2E0E"/>
          <w:sz w:val="19"/>
          <w:szCs w:val="19"/>
        </w:rPr>
        <w:t>sha256(package::text)</w:t>
      </w:r>
      <w:r>
        <w:t xml:space="preserve">) et exposée par </w:t>
      </w:r>
      <w:r>
        <w:rPr>
          <w:rFonts w:ascii="Consolas" w:eastAsia="Consolas" w:hAnsi="Consolas" w:cs="Consolas"/>
          <w:color w:val="7A2E0E"/>
          <w:sz w:val="19"/>
          <w:szCs w:val="19"/>
        </w:rPr>
        <w:t>GET /api/v1/published/{code}</w:t>
      </w:r>
      <w:r>
        <w:t xml:space="preserve"> ; le Runtime la recalcule et refuse un paquet dont l'empreinte diffère.</w:t>
      </w:r>
    </w:p>
    <w:p w14:paraId="189803DC" w14:textId="77777777" w:rsidR="00CA0AA5" w:rsidRDefault="002E1DA5">
      <w:pPr>
        <w:pStyle w:val="Titre2"/>
      </w:pPr>
      <w:bookmarkStart w:id="22" w:name="_Toc243054645"/>
      <w:r>
        <w:t>7.4 Points de départ d'une nouvelle procédure</w:t>
      </w:r>
      <w:bookmarkEnd w:id="2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36"/>
        <w:gridCol w:w="7302"/>
      </w:tblGrid>
      <w:tr w:rsidR="00CA0AA5" w14:paraId="20C65434" w14:textId="77777777">
        <w:trPr>
          <w:tblHeader/>
        </w:trPr>
        <w:tc>
          <w:tcPr>
            <w:tcW w:w="23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CC84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Modèle</w:t>
            </w:r>
          </w:p>
        </w:tc>
        <w:tc>
          <w:tcPr>
            <w:tcW w:w="73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AA345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Effet</w:t>
            </w:r>
          </w:p>
        </w:tc>
      </w:tr>
      <w:tr w:rsidR="00CA0AA5" w14:paraId="1C0C1DF5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02F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GABARIT</w:t>
            </w:r>
            <w:r>
              <w:rPr>
                <w:sz w:val="19"/>
                <w:szCs w:val="19"/>
              </w:rPr>
              <w:t xml:space="preserve"> (défaut)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3A0C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Gabarit.java</w:t>
            </w:r>
            <w:r>
              <w:rPr>
                <w:sz w:val="19"/>
                <w:szCs w:val="19"/>
              </w:rPr>
              <w:t xml:space="preserve"> : acteurs, statuts, identification du demandeur, lieu de traitement, 7 messages, 5 flux, livrable, DRL de base, BPMN généré</w:t>
            </w:r>
          </w:p>
        </w:tc>
      </w:tr>
      <w:tr w:rsidR="00CA0AA5" w14:paraId="036EE5B0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5F8C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Code d'une procédure existante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69E2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Copie intégrale de sa dernière version ; clé de processus BPMN renommée</w:t>
            </w:r>
          </w:p>
        </w:tc>
      </w:tr>
      <w:tr w:rsidR="00CA0AA5" w14:paraId="2903403C" w14:textId="77777777">
        <w:tc>
          <w:tcPr>
            <w:tcW w:w="23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536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VIDE</w:t>
            </w:r>
          </w:p>
        </w:tc>
        <w:tc>
          <w:tcPr>
            <w:tcW w:w="73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24E5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Aucune partie</w:t>
            </w:r>
          </w:p>
        </w:tc>
      </w:tr>
    </w:tbl>
    <w:p w14:paraId="7CC40A38" w14:textId="77777777" w:rsidR="00CA0AA5" w:rsidRDefault="002E1DA5">
      <w:pPr>
        <w:pStyle w:val="Titre2"/>
      </w:pPr>
      <w:bookmarkStart w:id="23" w:name="_Toc243054646"/>
      <w:r>
        <w:lastRenderedPageBreak/>
        <w:t>7.5 Formulaire : sections, gabarit d'IHM et réglages par champ</w:t>
      </w:r>
      <w:bookmarkEnd w:id="23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5"/>
        <w:gridCol w:w="7573"/>
      </w:tblGrid>
      <w:tr w:rsidR="00CA0AA5" w14:paraId="4978D55C" w14:textId="77777777">
        <w:trPr>
          <w:tblHeader/>
        </w:trPr>
        <w:tc>
          <w:tcPr>
            <w:tcW w:w="20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110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5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F6880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Mise en œuvre</w:t>
            </w:r>
          </w:p>
        </w:tc>
      </w:tr>
      <w:tr w:rsidR="00CA0AA5" w14:paraId="50FB42E2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E029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Sous-sections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712D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form_section.parent_code</w:t>
            </w:r>
            <w:r>
              <w:rPr>
                <w:sz w:val="19"/>
                <w:szCs w:val="19"/>
              </w:rPr>
              <w:t xml:space="preserve"> : un seul niveau ; affichées dans la section parente, en blocs ou en accordéons</w:t>
            </w:r>
          </w:p>
        </w:tc>
      </w:tr>
      <w:tr w:rsidR="00CA0AA5" w14:paraId="49875B17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1C47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Gabarit d'IHM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A3C4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Réglage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ihm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disposition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CONTINU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ONGLETS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ETAPES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colonnes</w:t>
            </w:r>
            <w:r>
              <w:rPr>
                <w:sz w:val="19"/>
                <w:szCs w:val="19"/>
              </w:rPr>
              <w:t xml:space="preserve"> (1 à 4),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densite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libelles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DESSUS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COTE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navigation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repliables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sousSections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BLOCS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ACCORDEONS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accordeons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AUCUN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PREMIER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TOUS</w:t>
            </w:r>
            <w:r>
              <w:rPr>
                <w:sz w:val="19"/>
                <w:szCs w:val="19"/>
              </w:rPr>
              <w:t>) ; modèles prédéfinis, import / export JSON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nexora.ihm/1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40533B02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5F6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Réglages par champ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579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ihm.champs.&lt;code&gt;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largeur</w:t>
            </w:r>
            <w:r>
              <w:rPr>
                <w:sz w:val="19"/>
                <w:szCs w:val="19"/>
              </w:rPr>
              <w:t xml:space="preserve"> (1 à 4 colonnes),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placeholderFr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placeholderEn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visibleSi</w:t>
            </w:r>
            <w:r>
              <w:rPr>
                <w:sz w:val="19"/>
                <w:szCs w:val="19"/>
              </w:rPr>
              <w:t xml:space="preserve"> {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champ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valeurs</w:t>
            </w:r>
            <w:r>
              <w:rPr>
                <w:sz w:val="19"/>
                <w:szCs w:val="19"/>
              </w:rPr>
              <w:t xml:space="preserve">} ; enregistrés avec la partie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form</w:t>
            </w:r>
            <w:r>
              <w:rPr>
                <w:sz w:val="19"/>
                <w:szCs w:val="19"/>
              </w:rPr>
              <w:t xml:space="preserve"> dans la même transaction (aucune migration)</w:t>
            </w:r>
          </w:p>
        </w:tc>
      </w:tr>
      <w:tr w:rsidR="00CA0AA5" w14:paraId="24E9BD0E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9EE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Constructeur visuel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CFD2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Vue à la manière de form.io, à côté des grilles : palette de composants, onglets (sections de premier niveau), accordéons, glisser-déposer (Angular CDK), p</w:t>
            </w:r>
            <w:r>
              <w:rPr>
                <w:sz w:val="19"/>
                <w:szCs w:val="19"/>
              </w:rPr>
              <w:t>ropriétés Affichage / Données / Validation / Logique, aperçu fidèle au rendu e-Services</w:t>
            </w:r>
          </w:p>
        </w:tc>
      </w:tr>
      <w:tr w:rsidR="00CA0AA5" w14:paraId="0168938D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98C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Rendu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EA3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Réglage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rendu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DYNAMIQUE</w:t>
            </w:r>
            <w:r>
              <w:rPr>
                <w:sz w:val="19"/>
                <w:szCs w:val="19"/>
              </w:rPr>
              <w:t xml:space="preserve"> (défaut) ou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GENERE</w:t>
            </w:r>
            <w:r>
              <w:rPr>
                <w:sz w:val="19"/>
                <w:szCs w:val="19"/>
              </w:rPr>
              <w:t xml:space="preserve"> (code Angular généré, § 9.10), choisi par un administrateur</w:t>
            </w:r>
          </w:p>
        </w:tc>
      </w:tr>
    </w:tbl>
    <w:p w14:paraId="23F146B7" w14:textId="77777777" w:rsidR="00CA0AA5" w:rsidRDefault="002E1DA5">
      <w:pPr>
        <w:spacing w:after="120" w:line="276" w:lineRule="auto"/>
        <w:jc w:val="both"/>
      </w:pPr>
      <w:r>
        <w:t>Dans le studio, l'onglet du formulaire propose la bascu</w:t>
      </w:r>
      <w:r>
        <w:t xml:space="preserve">le « Constructeur visuel / Grilles » : les deux vues éditent les mêmes données. Le panneau Validation liste les règles DRL qui citent le champ et propose un modèle de règle inter-champs ; le panneau Logique écrit la condition </w:t>
      </w:r>
      <w:r>
        <w:rPr>
          <w:rFonts w:ascii="Consolas" w:eastAsia="Consolas" w:hAnsi="Consolas" w:cs="Consolas"/>
          <w:color w:val="7A2E0E"/>
          <w:sz w:val="19"/>
          <w:szCs w:val="19"/>
        </w:rPr>
        <w:t>typeDemande in (…)</w:t>
      </w:r>
      <w:r>
        <w:t xml:space="preserve"> et l'affich</w:t>
      </w:r>
      <w:r>
        <w:t>age conditionnel.</w:t>
      </w:r>
    </w:p>
    <w:p w14:paraId="7A32A0B0" w14:textId="77777777" w:rsidR="00CA0AA5" w:rsidRDefault="002E1DA5">
      <w:pPr>
        <w:pStyle w:val="Titre2"/>
      </w:pPr>
      <w:bookmarkStart w:id="24" w:name="_Toc243054647"/>
      <w:r>
        <w:t>7.6 Règles et approbation</w:t>
      </w:r>
      <w:bookmarkEnd w:id="24"/>
    </w:p>
    <w:p w14:paraId="034B6CDA" w14:textId="77777777" w:rsidR="00CA0AA5" w:rsidRDefault="002E1DA5">
      <w:pPr>
        <w:spacing w:after="120" w:line="276" w:lineRule="auto"/>
        <w:jc w:val="both"/>
      </w:pPr>
      <w:r>
        <w:t xml:space="preserve">L'onglet « Règles DRL » permet l'édition, la </w:t>
      </w:r>
      <w:r>
        <w:rPr>
          <w:b/>
          <w:bCs/>
        </w:rPr>
        <w:t>compilation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POST /versions/{id}/rules/compile</w:t>
      </w:r>
      <w:r>
        <w:t>), le banc d'essai (</w:t>
      </w:r>
      <w:r>
        <w:rPr>
          <w:rFonts w:ascii="Consolas" w:eastAsia="Consolas" w:hAnsi="Consolas" w:cs="Consolas"/>
          <w:color w:val="7A2E0E"/>
          <w:sz w:val="19"/>
          <w:szCs w:val="19"/>
        </w:rPr>
        <w:t>/rules/test</w:t>
      </w:r>
      <w:r>
        <w:t>) et l'</w:t>
      </w:r>
      <w:r>
        <w:rPr>
          <w:b/>
          <w:bCs/>
        </w:rPr>
        <w:t>approbation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/rules/approve</w:t>
      </w:r>
      <w:r>
        <w:t xml:space="preserve">, droit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procedures.approuver</w:t>
      </w:r>
      <w:r>
        <w:t xml:space="preserve">). L'approbation enregistre </w:t>
      </w:r>
      <w:r>
        <w:t>l'empreinte SHA-256 du DRL : toute modification la rend caduque. Le contrôle RG-GOV-05 signale des règles non approuvées.</w:t>
      </w:r>
    </w:p>
    <w:p w14:paraId="7F9B8816" w14:textId="77777777" w:rsidR="00CA0AA5" w:rsidRDefault="002E1DA5">
      <w:pPr>
        <w:pStyle w:val="Titre2"/>
      </w:pPr>
      <w:bookmarkStart w:id="25" w:name="_Toc243054648"/>
      <w:r>
        <w:t>7.7 Onglets du studio</w:t>
      </w:r>
      <w:bookmarkEnd w:id="25"/>
    </w:p>
    <w:p w14:paraId="0CC0AA3C" w14:textId="77777777" w:rsidR="00CA0AA5" w:rsidRDefault="002E1DA5">
      <w:pPr>
        <w:spacing w:after="120" w:line="276" w:lineRule="auto"/>
        <w:jc w:val="both"/>
      </w:pPr>
      <w:r>
        <w:t xml:space="preserve">Ordre des onglets d'une version : Général · Formulaire et données · Messages et flux · Workflow BPMN · Règles DRL · Frais · </w:t>
      </w:r>
      <w:r>
        <w:rPr>
          <w:b/>
          <w:bCs/>
        </w:rPr>
        <w:t>Pièces jointes</w:t>
      </w:r>
      <w:r>
        <w:t xml:space="preserve"> · </w:t>
      </w:r>
      <w:r>
        <w:rPr>
          <w:b/>
          <w:bCs/>
        </w:rPr>
        <w:t>Livrables</w:t>
      </w:r>
      <w:r>
        <w:t xml:space="preserve"> · Agents IA · Contrôles et publication.</w:t>
      </w:r>
    </w:p>
    <w:p w14:paraId="564F7C1D" w14:textId="77777777" w:rsidR="00CA0AA5" w:rsidRDefault="002E1DA5">
      <w:pPr>
        <w:pStyle w:val="Titre1"/>
        <w:pageBreakBefore/>
      </w:pPr>
      <w:bookmarkStart w:id="26" w:name="_Toc243054649"/>
      <w:r>
        <w:lastRenderedPageBreak/>
        <w:t>8. Agents IA du studio</w:t>
      </w:r>
      <w:bookmarkEnd w:id="26"/>
    </w:p>
    <w:p w14:paraId="425946D7" w14:textId="77777777" w:rsidR="00CA0AA5" w:rsidRDefault="002E1DA5">
      <w:pPr>
        <w:pStyle w:val="Titre2"/>
      </w:pPr>
      <w:bookmarkStart w:id="27" w:name="_Toc243054650"/>
      <w:r>
        <w:t>8.1 Orchestration</w:t>
      </w:r>
      <w:bookmarkEnd w:id="27"/>
    </w:p>
    <w:p w14:paraId="75FF8BEE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3818F596" wp14:editId="30925EA0">
            <wp:extent cx="6096000" cy="1828800"/>
            <wp:effectExtent l="0" t="0" r="0" b="0"/>
            <wp:docPr id="5" name="agents" descr="Figure 5 — Orchestration des agents et revue humaine" title="Figure 5 — Orchestration des agents et revue huma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23E4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 — Orchestrati</w:t>
      </w:r>
      <w:r>
        <w:rPr>
          <w:i/>
          <w:iCs/>
          <w:color w:val="595959"/>
          <w:sz w:val="18"/>
          <w:szCs w:val="18"/>
        </w:rPr>
        <w:t>on des agents et revue humaine</w:t>
      </w:r>
    </w:p>
    <w:p w14:paraId="3875DA8A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Chaque exécution est tracée dans </w:t>
      </w:r>
      <w:r>
        <w:rPr>
          <w:rFonts w:ascii="Consolas" w:eastAsia="Consolas" w:hAnsi="Consolas" w:cs="Consolas"/>
          <w:color w:val="7A2E0E"/>
          <w:sz w:val="19"/>
          <w:szCs w:val="19"/>
        </w:rPr>
        <w:t>studio.ai_run</w:t>
      </w:r>
      <w:r>
        <w:t xml:space="preserve"> ; chaque proposition dans </w:t>
      </w:r>
      <w:r>
        <w:rPr>
          <w:rFonts w:ascii="Consolas" w:eastAsia="Consolas" w:hAnsi="Consolas" w:cs="Consolas"/>
          <w:color w:val="7A2E0E"/>
          <w:sz w:val="19"/>
          <w:szCs w:val="19"/>
        </w:rPr>
        <w:t>studio.ai_proposal</w:t>
      </w:r>
      <w:r>
        <w:t xml:space="preserve"> (type, charge utile, confiance, statut, revue).</w:t>
      </w:r>
    </w:p>
    <w:p w14:paraId="1C4DAB83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Types appliqués à la revue : </w:t>
      </w:r>
      <w:r>
        <w:rPr>
          <w:rFonts w:ascii="Consolas" w:eastAsia="Consolas" w:hAnsi="Consolas" w:cs="Consolas"/>
          <w:color w:val="7A2E0E"/>
          <w:sz w:val="19"/>
          <w:szCs w:val="19"/>
        </w:rPr>
        <w:t>SECTION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FIELD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REQUEST_TYPE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FIELD_MAPPING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REFDATA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DO</w:t>
      </w:r>
      <w:r>
        <w:rPr>
          <w:rFonts w:ascii="Consolas" w:eastAsia="Consolas" w:hAnsi="Consolas" w:cs="Consolas"/>
          <w:color w:val="7A2E0E"/>
          <w:sz w:val="19"/>
          <w:szCs w:val="19"/>
        </w:rPr>
        <w:t>CUMENT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FEE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ACTOR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DELIVERABLE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BUSINESS_RULE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SETTING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BPMN</w:t>
      </w:r>
      <w:r>
        <w:t xml:space="preserve"> ; informatifs : </w:t>
      </w:r>
      <w:r>
        <w:rPr>
          <w:rFonts w:ascii="Consolas" w:eastAsia="Consolas" w:hAnsi="Consolas" w:cs="Consolas"/>
          <w:color w:val="7A2E0E"/>
          <w:sz w:val="19"/>
          <w:szCs w:val="19"/>
        </w:rPr>
        <w:t>FINDING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REPORT</w:t>
      </w:r>
      <w:r>
        <w:t>.</w:t>
      </w:r>
    </w:p>
    <w:p w14:paraId="6AB99016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Revue : </w:t>
      </w:r>
      <w:r>
        <w:rPr>
          <w:b/>
          <w:bCs/>
        </w:rPr>
        <w:t>accepter</w:t>
      </w:r>
      <w:r>
        <w:t xml:space="preserve">, </w:t>
      </w:r>
      <w:r>
        <w:rPr>
          <w:b/>
          <w:bCs/>
        </w:rPr>
        <w:t>corriger</w:t>
      </w:r>
      <w:r>
        <w:t xml:space="preserve"> (charge utile modifiée puis appliquée) ou </w:t>
      </w:r>
      <w:r>
        <w:rPr>
          <w:b/>
          <w:bCs/>
        </w:rPr>
        <w:t>rejeter</w:t>
      </w:r>
      <w:r>
        <w:t xml:space="preserve"> avec motif ; revue en masse par type et seuil de confiance.</w:t>
      </w:r>
    </w:p>
    <w:p w14:paraId="6BD9917A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Coupe-circuit : un agent peut être désactivé à chaud (</w:t>
      </w:r>
      <w:r>
        <w:rPr>
          <w:rFonts w:ascii="Consolas" w:eastAsia="Consolas" w:hAnsi="Consolas" w:cs="Consolas"/>
          <w:color w:val="7A2E0E"/>
          <w:sz w:val="19"/>
          <w:szCs w:val="19"/>
        </w:rPr>
        <w:t>PUT /agents/{code}/enabled</w:t>
      </w:r>
      <w:r>
        <w:t>).</w:t>
      </w:r>
    </w:p>
    <w:p w14:paraId="14AEEE55" w14:textId="77777777" w:rsidR="00CA0AA5" w:rsidRDefault="002E1DA5">
      <w:pPr>
        <w:pStyle w:val="Titre2"/>
      </w:pPr>
      <w:bookmarkStart w:id="28" w:name="_Toc243054651"/>
      <w:r>
        <w:t>8.2 Politique d'autonomie</w:t>
      </w:r>
      <w:bookmarkEnd w:id="2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53"/>
        <w:gridCol w:w="6885"/>
      </w:tblGrid>
      <w:tr w:rsidR="00CA0AA5" w14:paraId="44830DA4" w14:textId="77777777">
        <w:trPr>
          <w:tblHeader/>
        </w:trPr>
        <w:tc>
          <w:tcPr>
            <w:tcW w:w="275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F3D8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88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6B74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Niveau maximal</w:t>
            </w:r>
          </w:p>
        </w:tc>
      </w:tr>
      <w:tr w:rsidR="00CA0AA5" w14:paraId="4FA2167C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37D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Proposer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6A6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L2_supervised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L3_controlled</w:t>
            </w:r>
            <w:r>
              <w:rPr>
                <w:sz w:val="19"/>
                <w:szCs w:val="19"/>
              </w:rPr>
              <w:t xml:space="preserve"> pour la conformité)</w:t>
            </w:r>
          </w:p>
        </w:tc>
      </w:tr>
      <w:tr w:rsidR="00CA0AA5" w14:paraId="59D24F77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72C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Appliquer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27E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L2_mandatory_review</w:t>
            </w:r>
            <w:r>
              <w:rPr>
                <w:sz w:val="19"/>
                <w:szCs w:val="19"/>
              </w:rPr>
              <w:t xml:space="preserve"> : revue humaine obligatoire</w:t>
            </w:r>
          </w:p>
        </w:tc>
      </w:tr>
      <w:tr w:rsidR="00CA0AA5" w14:paraId="4E711CEA" w14:textId="77777777">
        <w:tc>
          <w:tcPr>
            <w:tcW w:w="27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F740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Soumettre, approuver, publier</w:t>
            </w:r>
          </w:p>
        </w:tc>
        <w:tc>
          <w:tcPr>
            <w:tcW w:w="68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FF2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human_only</w:t>
            </w:r>
            <w:r>
              <w:rPr>
                <w:sz w:val="19"/>
                <w:szCs w:val="19"/>
              </w:rPr>
              <w:t xml:space="preserve"> : refusé aux agents et journalisé</w:t>
            </w:r>
          </w:p>
        </w:tc>
      </w:tr>
    </w:tbl>
    <w:p w14:paraId="646F265B" w14:textId="77777777" w:rsidR="00CA0AA5" w:rsidRDefault="002E1DA5">
      <w:pPr>
        <w:pStyle w:val="Titre2"/>
      </w:pPr>
      <w:bookmarkStart w:id="29" w:name="_Toc243054652"/>
      <w:r>
        <w:t>8.3 Sources lues par les agents</w:t>
      </w:r>
      <w:bookmarkEnd w:id="29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83"/>
        <w:gridCol w:w="2344"/>
        <w:gridCol w:w="5211"/>
      </w:tblGrid>
      <w:tr w:rsidR="00CA0AA5" w14:paraId="4CE56A3D" w14:textId="77777777">
        <w:trPr>
          <w:tblHeader/>
        </w:trPr>
        <w:tc>
          <w:tcPr>
            <w:tcW w:w="20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59BC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34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519F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52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0FD0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Apport</w:t>
            </w:r>
          </w:p>
        </w:tc>
      </w:tr>
      <w:tr w:rsidR="00CA0AA5" w14:paraId="3EBE0B0C" w14:textId="77777777"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9918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SFD Word / PDF / texte</w:t>
            </w:r>
          </w:p>
        </w:tc>
        <w:tc>
          <w:tcPr>
            <w:tcW w:w="23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F36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TexteSource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DonneesSfd</w:t>
            </w:r>
          </w:p>
        </w:tc>
        <w:tc>
          <w:tcPr>
            <w:tcW w:w="52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6D74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Acteurs, pièces, frais, délais, règles de gestion, champs des cas d'utilisation ; figures intégrées envoyées au modèle de vision</w:t>
            </w:r>
          </w:p>
        </w:tc>
      </w:tr>
      <w:tr w:rsidR="00CA0AA5" w14:paraId="402BBD6A" w14:textId="77777777"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AAB0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Modèles de données Excel (DM)</w:t>
            </w:r>
          </w:p>
        </w:tc>
        <w:tc>
          <w:tcPr>
            <w:tcW w:w="23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09D1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ModeleDonnees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ImportDonnees</w:t>
            </w:r>
          </w:p>
        </w:tc>
        <w:tc>
          <w:tcPr>
            <w:tcW w:w="52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2C6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Entités, attributs, </w:t>
            </w:r>
            <w:r>
              <w:rPr>
                <w:sz w:val="19"/>
                <w:szCs w:val="19"/>
              </w:rPr>
              <w:t>formats, listes, références UNTDED / OMD / CCL, relations ; rapprochement libellé ↔ attribut</w:t>
            </w:r>
          </w:p>
        </w:tc>
      </w:tr>
      <w:tr w:rsidR="00CA0AA5" w14:paraId="5C812797" w14:textId="77777777"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511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Maquettes HTML / Figma</w:t>
            </w:r>
          </w:p>
        </w:tc>
        <w:tc>
          <w:tcPr>
            <w:tcW w:w="23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ABBE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Maquette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FigmaSource</w:t>
            </w:r>
          </w:p>
        </w:tc>
        <w:tc>
          <w:tcPr>
            <w:tcW w:w="52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264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Écrans, blocs (→ sections), champs, tableaux (→ groupes répétitifs), variantes (→ types de demande)</w:t>
            </w:r>
          </w:p>
        </w:tc>
      </w:tr>
      <w:tr w:rsidR="00CA0AA5" w14:paraId="32F533E0" w14:textId="77777777"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8B5E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Diagrammes BPMN / draw.io</w:t>
            </w:r>
          </w:p>
        </w:tc>
        <w:tc>
          <w:tcPr>
            <w:tcW w:w="23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6536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ImportDiagrammes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BpmnImport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DrawioSource</w:t>
            </w:r>
          </w:p>
        </w:tc>
        <w:tc>
          <w:tcPr>
            <w:tcW w:w="52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A680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Workflow avec couloirs, statuts, livrables ; BPMN standard si aucun diagramme</w:t>
            </w:r>
          </w:p>
        </w:tc>
      </w:tr>
      <w:tr w:rsidR="00CA0AA5" w14:paraId="6C119A78" w14:textId="77777777">
        <w:tc>
          <w:tcPr>
            <w:tcW w:w="20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3EAB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Images PNG / JPEG</w:t>
            </w:r>
          </w:p>
        </w:tc>
        <w:tc>
          <w:tcPr>
            <w:tcW w:w="23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08695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LectureImages</w:t>
            </w:r>
          </w:p>
        </w:tc>
        <w:tc>
          <w:tcPr>
            <w:tcW w:w="52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7F7F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Lecture par le modèle de vision (écran → maquette, diagramme → draw.io)</w:t>
            </w:r>
          </w:p>
        </w:tc>
      </w:tr>
    </w:tbl>
    <w:p w14:paraId="7A5FED91" w14:textId="77777777" w:rsidR="00CA0AA5" w:rsidRDefault="002E1DA5">
      <w:pPr>
        <w:pStyle w:val="Titre2"/>
      </w:pPr>
      <w:bookmarkStart w:id="30" w:name="_Toc243054653"/>
      <w:r>
        <w:lastRenderedPageBreak/>
        <w:t>8.4 Référentiels UN/CEFACT</w:t>
      </w:r>
      <w:bookmarkEnd w:id="30"/>
    </w:p>
    <w:p w14:paraId="4D29DD2B" w14:textId="77777777" w:rsidR="00CA0AA5" w:rsidRDefault="002E1DA5">
      <w:pPr>
        <w:spacing w:after="120" w:line="276" w:lineRule="auto"/>
        <w:jc w:val="both"/>
      </w:pPr>
      <w:r>
        <w:t xml:space="preserve">Le schéma </w:t>
      </w:r>
      <w:r>
        <w:rPr>
          <w:rFonts w:ascii="Consolas" w:eastAsia="Consolas" w:hAnsi="Consolas" w:cs="Consolas"/>
          <w:color w:val="7A2E0E"/>
          <w:sz w:val="19"/>
          <w:szCs w:val="19"/>
        </w:rPr>
        <w:t>rdm</w:t>
      </w:r>
      <w:r>
        <w:t xml:space="preserve"> porte le </w:t>
      </w:r>
      <w:r>
        <w:rPr>
          <w:b/>
          <w:bCs/>
        </w:rPr>
        <w:t>SCRDM D23B</w:t>
      </w:r>
      <w:r>
        <w:t xml:space="preserve"> complet (141 ABIE, 1 249 BBIE, 627 ASBIE, restrictions contextuelles, 86 types de données, 129 listes de codes, 13 687 cod</w:t>
      </w:r>
      <w:r>
        <w:t xml:space="preserve">es), la couche </w:t>
      </w:r>
      <w:r>
        <w:rPr>
          <w:b/>
          <w:bCs/>
        </w:rPr>
        <w:t>Buy-Ship-Pay</w:t>
      </w:r>
      <w:r>
        <w:t>, l'</w:t>
      </w:r>
      <w:r>
        <w:rPr>
          <w:b/>
          <w:bCs/>
        </w:rPr>
        <w:t>UNTDED 2005</w:t>
      </w:r>
      <w:r>
        <w:t xml:space="preserve"> (1 309 éléments), 33 rôles de parties, 70 structures de messages BSP-RDM, 18 messages UN/EDIFACT et 45 instruments normatifs. Le Data Agent s'en sert pour proposer les chemins BIE et les références UNTDED ; le Com</w:t>
      </w:r>
      <w:r>
        <w:t>pliance Agent contrôle chemins (RG-REF-02), références (RG-REF-03) et listes fermées (RG-REF-04).</w:t>
      </w:r>
    </w:p>
    <w:p w14:paraId="5A16A073" w14:textId="77777777" w:rsidR="00CA0AA5" w:rsidRDefault="002E1DA5">
      <w:pPr>
        <w:pStyle w:val="Titre2"/>
      </w:pPr>
      <w:bookmarkStart w:id="31" w:name="_Toc243054654"/>
      <w:r>
        <w:t>8.5 Modèle de langage</w:t>
      </w:r>
      <w:bookmarkEnd w:id="31"/>
    </w:p>
    <w:p w14:paraId="31162FD9" w14:textId="77777777" w:rsidR="00CA0AA5" w:rsidRDefault="002E1DA5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2E0E"/>
          <w:sz w:val="19"/>
          <w:szCs w:val="19"/>
        </w:rPr>
        <w:t>ModeleLangage</w:t>
      </w:r>
      <w:r>
        <w:t xml:space="preserve"> est un client de l'API compatible OpenAI (</w:t>
      </w:r>
      <w:r>
        <w:rPr>
          <w:rFonts w:ascii="Consolas" w:eastAsia="Consolas" w:hAnsi="Consolas" w:cs="Consolas"/>
          <w:color w:val="7A2E0E"/>
          <w:sz w:val="19"/>
          <w:szCs w:val="19"/>
        </w:rPr>
        <w:t>/v1/chat/completions</w:t>
      </w:r>
      <w:r>
        <w:t>) : Ollama, vLLM, LM Studio, llama.cpp, TGI ; température 0,</w:t>
      </w:r>
      <w:r>
        <w:t xml:space="preserve"> réponse JSON. Réglages :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NEXORA_AI_URL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NEXORA_AI_MODEL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NEXORA_AI_API_KEY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NEXORA_AI_TIMEOUT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NEXORA_AI_MAX_CHARS</w:t>
      </w:r>
      <w:r>
        <w:t>. Les propositions du modèle portent une confiance plafonnée et suivent la même revue humaine ; chaque exécution enregistre le nombre d'appel</w:t>
      </w:r>
      <w:r>
        <w:t>s, d'échecs, la durée et l'empreinte des réponses. Sans modèle, les agents fonctionnent en heuristique.</w:t>
      </w:r>
    </w:p>
    <w:p w14:paraId="3B366A07" w14:textId="77777777" w:rsidR="00CA0AA5" w:rsidRDefault="002E1DA5">
      <w:pPr>
        <w:pStyle w:val="Titre2"/>
      </w:pPr>
      <w:bookmarkStart w:id="32" w:name="_Toc243054655"/>
      <w:r>
        <w:t>8.6 Cas d'application : Visa Technique Provisoire (VTP)</w:t>
      </w:r>
      <w:bookmarkEnd w:id="32"/>
    </w:p>
    <w:p w14:paraId="318E7259" w14:textId="77777777" w:rsidR="00CA0AA5" w:rsidRDefault="002E1DA5">
      <w:pPr>
        <w:spacing w:after="120" w:line="276" w:lineRule="auto"/>
        <w:jc w:val="both"/>
      </w:pPr>
      <w:r>
        <w:t>La procédure VTP (MINSANTE / DPML, IMP-TRA-004, circuit Transaction) a été modélisée par l'orche</w:t>
      </w:r>
      <w:r>
        <w:t>strateur à partir de la SFD VTP v1.2, de la SFD du circuit v1.3, de trois modèles de données Excel, d'une maquette HTML (écrans EF01 à EF08) et d'un BPMN Camunda Modeler, en mode heuristique 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04"/>
        <w:gridCol w:w="3614"/>
        <w:gridCol w:w="4820"/>
      </w:tblGrid>
      <w:tr w:rsidR="00CA0AA5" w14:paraId="4066D8DB" w14:textId="77777777">
        <w:trPr>
          <w:tblHeader/>
        </w:trPr>
        <w:tc>
          <w:tcPr>
            <w:tcW w:w="120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5981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Agent</w:t>
            </w:r>
          </w:p>
        </w:tc>
        <w:tc>
          <w:tcPr>
            <w:tcW w:w="361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DF46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  <w:tc>
          <w:tcPr>
            <w:tcW w:w="48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807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Revue</w:t>
            </w:r>
          </w:p>
        </w:tc>
      </w:tr>
      <w:tr w:rsidR="00CA0AA5" w14:paraId="17A3548A" w14:textId="77777777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A322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183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99 propositions (14 sections, 53 champs, 12 pièces, 8 acteurs, 21 règles)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226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Champs de la maquette acceptés ; produits corrigés sur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TRANSACTION_COMMODITY</w:t>
            </w:r>
            <w:r>
              <w:rPr>
                <w:sz w:val="19"/>
                <w:szCs w:val="19"/>
              </w:rPr>
              <w:t xml:space="preserve"> ; pièces du circuit rejetées ou corrigées selon la SFD VTP</w:t>
            </w:r>
          </w:p>
        </w:tc>
      </w:tr>
      <w:tr w:rsidR="00CA0AA5" w14:paraId="5794807E" w14:textId="77777777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FAA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1F0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24 rapprochements SCRDM, 2 références UNTDED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3BB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12 acceptés, 1 corrigé, 13 rejetés ; 29 champs sans équivalent SCRDM</w:t>
            </w:r>
          </w:p>
        </w:tc>
      </w:tr>
      <w:tr w:rsidR="00CA0AA5" w14:paraId="3E9D99A6" w14:textId="77777777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257C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Rules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971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DRL régénéré (pièce P4 conditionnelle)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6CB2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Accepté ; règles VTP-01 à VTP-04 ajoutées et vérifiées au banc d'essai</w:t>
            </w:r>
          </w:p>
        </w:tc>
      </w:tr>
      <w:tr w:rsidR="00CA0AA5" w14:paraId="02270530" w14:textId="77777777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4B6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Process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569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BPMN importé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536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Cor</w:t>
            </w:r>
            <w:r>
              <w:rPr>
                <w:sz w:val="19"/>
                <w:szCs w:val="19"/>
              </w:rPr>
              <w:t>rigé pour le moteur : tâches externes → délégués, tâches humaines avec formulaire et décisions, complément par étape, modification directe au signataire</w:t>
            </w:r>
          </w:p>
        </w:tc>
      </w:tr>
      <w:tr w:rsidR="00CA0AA5" w14:paraId="1D91C896" w14:textId="77777777">
        <w:tc>
          <w:tcPr>
            <w:tcW w:w="120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BE7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54F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Version conforme, 3 alertes</w:t>
            </w:r>
          </w:p>
        </w:tc>
        <w:tc>
          <w:tcPr>
            <w:tcW w:w="48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0622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Accepté</w:t>
            </w:r>
          </w:p>
        </w:tc>
      </w:tr>
    </w:tbl>
    <w:p w14:paraId="7CC8DD3C" w14:textId="77777777" w:rsidR="00CA0AA5" w:rsidRDefault="002E1DA5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>Enseignement : un BPMN conçu pour Camunda 8 (tâches external à topics, groupes candidats) n'est pas exécutable tel quel par Operaton ; le Process Agent l'importe, la revue humaine l'adapte aux délégués et aux formulaires du Runtime.</w:t>
      </w:r>
    </w:p>
    <w:p w14:paraId="40DC3039" w14:textId="77777777" w:rsidR="00CA0AA5" w:rsidRDefault="002E1DA5">
      <w:pPr>
        <w:pStyle w:val="Titre1"/>
        <w:pageBreakBefore/>
      </w:pPr>
      <w:bookmarkStart w:id="33" w:name="_Toc243054656"/>
      <w:r>
        <w:lastRenderedPageBreak/>
        <w:t>9. Exécution des procédures (Runtime)</w:t>
      </w:r>
      <w:bookmarkEnd w:id="33"/>
    </w:p>
    <w:p w14:paraId="5A32C410" w14:textId="77777777" w:rsidR="00CA0AA5" w:rsidRDefault="002E1DA5">
      <w:pPr>
        <w:pStyle w:val="Titre2"/>
      </w:pPr>
      <w:bookmarkStart w:id="34" w:name="_Toc243054657"/>
      <w:r>
        <w:t>9.1 Déploiement</w:t>
      </w:r>
      <w:bookmarkEnd w:id="34"/>
    </w:p>
    <w:p w14:paraId="68986CFB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7A44DF83" wp14:editId="3F3F980E">
            <wp:extent cx="6096000" cy="2219325"/>
            <wp:effectExtent l="0" t="0" r="0" b="0"/>
            <wp:docPr id="6" name="deploiement" descr="Figure 6 — Déploiement d'une procédure publiée" title="Figure 6 — Déploiement d'une procédure publi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CADA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 — Déploiement d'une procédure publiée</w:t>
      </w:r>
    </w:p>
    <w:p w14:paraId="3907D5BA" w14:textId="77777777" w:rsidR="00CA0AA5" w:rsidRDefault="002E1DA5">
      <w:pPr>
        <w:spacing w:after="120" w:line="276" w:lineRule="auto"/>
        <w:jc w:val="both"/>
      </w:pPr>
      <w:r>
        <w:t>La publication dans le studio ne déploie pas : l'administrateur e-Services déploie la version publiée (</w:t>
      </w:r>
      <w:r>
        <w:rPr>
          <w:rFonts w:ascii="Consolas" w:eastAsia="Consolas" w:hAnsi="Consolas" w:cs="Consolas"/>
          <w:color w:val="7A2E0E"/>
          <w:sz w:val="19"/>
          <w:szCs w:val="19"/>
        </w:rPr>
        <w:t>POST /admin/deployments</w:t>
      </w:r>
      <w:r>
        <w:t>). Les nouveaux dossiers su</w:t>
      </w:r>
      <w:r>
        <w:t>ivent la version active ; un dossier en cours garde la version et la définition de processus de son dépôt (RG-TRX-01). Le paquet d'un déploiement est mis en cache.</w:t>
      </w:r>
    </w:p>
    <w:p w14:paraId="7C9F13D0" w14:textId="77777777" w:rsidR="00CA0AA5" w:rsidRDefault="002E1DA5">
      <w:pPr>
        <w:pStyle w:val="Titre2"/>
      </w:pPr>
      <w:bookmarkStart w:id="35" w:name="_Toc243054658"/>
      <w:r>
        <w:t>9.2 Workflow générique</w:t>
      </w:r>
      <w:bookmarkEnd w:id="35"/>
    </w:p>
    <w:p w14:paraId="7DC80B32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05B9277B" wp14:editId="2B2C5DB8">
            <wp:extent cx="6096000" cy="1990725"/>
            <wp:effectExtent l="0" t="0" r="0" b="0"/>
            <wp:docPr id="7" name="workflow" descr="Figure 7 — Workflow générique du gabarit" title="Figure 7 — Workflow générique du gabar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6815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7 — Workflow générique du gabarit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5"/>
        <w:gridCol w:w="7573"/>
      </w:tblGrid>
      <w:tr w:rsidR="00CA0AA5" w14:paraId="42256E9D" w14:textId="77777777">
        <w:trPr>
          <w:tblHeader/>
        </w:trPr>
        <w:tc>
          <w:tcPr>
            <w:tcW w:w="20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F5A0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5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C8AD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Contrat</w:t>
            </w:r>
          </w:p>
        </w:tc>
      </w:tr>
      <w:tr w:rsidR="00CA0AA5" w14:paraId="572594D5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147B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Délégués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FB2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${regles}</w:t>
            </w:r>
            <w:r>
              <w:rPr>
                <w:sz w:val="19"/>
                <w:szCs w:val="19"/>
              </w:rPr>
              <w:t xml:space="preserve"> (point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frais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validation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${paiement}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${cotation}</w:t>
            </w:r>
            <w:r>
              <w:rPr>
                <w:sz w:val="19"/>
                <w:szCs w:val="19"/>
              </w:rPr>
              <w:t xml:space="preserve"> (asynchrone),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${message}</w:t>
            </w:r>
            <w:r>
              <w:rPr>
                <w:sz w:val="19"/>
                <w:szCs w:val="19"/>
              </w:rPr>
              <w:t xml:space="preserve"> (code du message),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${statut}</w:t>
            </w:r>
            <w:r>
              <w:rPr>
                <w:sz w:val="19"/>
                <w:szCs w:val="19"/>
              </w:rPr>
              <w:t xml:space="preserve"> (code du statut),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${delivrance}</w:t>
            </w:r>
            <w:r>
              <w:rPr>
                <w:sz w:val="19"/>
                <w:szCs w:val="19"/>
              </w:rPr>
              <w:t xml:space="preserve"> (livrable, messages, statut)</w:t>
            </w:r>
          </w:p>
        </w:tc>
      </w:tr>
      <w:tr w:rsidR="00CA0AA5" w14:paraId="400B812B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BA51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Tâches humaines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4AE8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camunda:assignee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${agentTraitement}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${signataire}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${demandeur}</w:t>
            </w:r>
            <w:r>
              <w:rPr>
                <w:sz w:val="19"/>
                <w:szCs w:val="19"/>
              </w:rPr>
              <w:t xml:space="preserve"> ;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camunda:formKey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nexora:traitement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nexora:signature</w:t>
            </w:r>
            <w:r>
              <w:rPr>
                <w:sz w:val="19"/>
                <w:szCs w:val="19"/>
              </w:rPr>
              <w:t xml:space="preserve"> |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nexora:complement</w:t>
            </w:r>
            <w:r>
              <w:rPr>
                <w:sz w:val="19"/>
                <w:szCs w:val="19"/>
              </w:rPr>
              <w:t xml:space="preserve"> ; propriétés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decisions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fields</w:t>
            </w:r>
            <w:r>
              <w:rPr>
                <w:sz w:val="19"/>
                <w:szCs w:val="19"/>
              </w:rPr>
              <w:t xml:space="preserve"> (données d'instruction)</w:t>
            </w:r>
          </w:p>
        </w:tc>
      </w:tr>
      <w:tr w:rsidR="00CA0AA5" w14:paraId="4E38570B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7352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Décisions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D2A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Variable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decision</w:t>
            </w:r>
            <w:r>
              <w:rPr>
                <w:sz w:val="19"/>
                <w:szCs w:val="19"/>
              </w:rPr>
              <w:t xml:space="preserve"> (traitement, complément) ou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decisionSignataire</w:t>
            </w:r>
            <w:r>
              <w:rPr>
                <w:sz w:val="19"/>
                <w:szCs w:val="19"/>
              </w:rPr>
              <w:t xml:space="preserve"> (signature) ; observation exigée pour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COMPLEMENT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REJETER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RETOUR</w:t>
            </w:r>
          </w:p>
        </w:tc>
      </w:tr>
      <w:tr w:rsidR="00CA0AA5" w14:paraId="44493D6F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282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Variables de processus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1FE6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dossierNo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typeDemande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nature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demandeur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delaiPaiement</w:t>
            </w:r>
          </w:p>
        </w:tc>
      </w:tr>
      <w:tr w:rsidR="00CA0AA5" w14:paraId="3D687A78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6B5D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Statuts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C111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Posés par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${statut}</w:t>
            </w:r>
            <w:r>
              <w:rPr>
                <w:sz w:val="19"/>
                <w:szCs w:val="19"/>
              </w:rPr>
              <w:t xml:space="preserve"> (tâche de service ou écouteur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start</w:t>
            </w:r>
            <w:r>
              <w:rPr>
                <w:sz w:val="19"/>
                <w:szCs w:val="19"/>
              </w:rPr>
              <w:t>) ; historisés en ajou</w:t>
            </w:r>
            <w:r>
              <w:rPr>
                <w:sz w:val="19"/>
                <w:szCs w:val="19"/>
              </w:rPr>
              <w:t>t seul</w:t>
            </w:r>
          </w:p>
        </w:tc>
      </w:tr>
      <w:tr w:rsidR="00CA0AA5" w14:paraId="1C2DFD2D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F22A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Robustesse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A74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Job executor Operaton (3 tentatives) ; incidents relancés depuis l'administration</w:t>
            </w:r>
          </w:p>
        </w:tc>
      </w:tr>
    </w:tbl>
    <w:p w14:paraId="2B566B89" w14:textId="77777777" w:rsidR="00CA0AA5" w:rsidRDefault="002E1DA5">
      <w:pPr>
        <w:pStyle w:val="Titre2"/>
      </w:pPr>
      <w:bookmarkStart w:id="36" w:name="_Toc243054659"/>
      <w:r>
        <w:lastRenderedPageBreak/>
        <w:t>9.3 Règles Drools</w:t>
      </w:r>
      <w:bookmarkEnd w:id="36"/>
    </w:p>
    <w:p w14:paraId="2D68257C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MoteurRegles</w:t>
      </w:r>
      <w:r>
        <w:t xml:space="preserve"> compile le DRL une fois par empreinte ; un agenda-group par point d'évaluation (</w:t>
      </w:r>
      <w:r>
        <w:rPr>
          <w:rFonts w:ascii="Consolas" w:eastAsia="Consolas" w:hAnsi="Consolas" w:cs="Consolas"/>
          <w:color w:val="7A2E0E"/>
          <w:sz w:val="19"/>
          <w:szCs w:val="19"/>
        </w:rPr>
        <w:t>validation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frais</w:t>
      </w:r>
      <w:r>
        <w:t>).</w:t>
      </w:r>
    </w:p>
    <w:p w14:paraId="0F72E12A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Faits : </w:t>
      </w:r>
      <w:r>
        <w:rPr>
          <w:rFonts w:ascii="Consolas" w:eastAsia="Consolas" w:hAnsi="Consolas" w:cs="Consolas"/>
          <w:color w:val="7A2E0E"/>
          <w:sz w:val="19"/>
          <w:szCs w:val="19"/>
        </w:rPr>
        <w:t>Demande</w:t>
      </w:r>
      <w:r>
        <w:t xml:space="preserve"> (champs, lignes des groupes répétitifs </w:t>
      </w:r>
      <w:r>
        <w:rPr>
          <w:rFonts w:ascii="Consolas" w:eastAsia="Consolas" w:hAnsi="Consolas" w:cs="Consolas"/>
          <w:color w:val="7A2E0E"/>
          <w:sz w:val="19"/>
          <w:szCs w:val="19"/>
        </w:rPr>
        <w:t>groupe(code)</w:t>
      </w:r>
      <w:r>
        <w:t xml:space="preserve">, pièces, mandataire / titulaire, année courante, nature, type), </w:t>
      </w:r>
      <w:r>
        <w:rPr>
          <w:rFonts w:ascii="Consolas" w:eastAsia="Consolas" w:hAnsi="Consolas" w:cs="Consolas"/>
          <w:color w:val="7A2E0E"/>
          <w:sz w:val="19"/>
          <w:szCs w:val="19"/>
        </w:rPr>
        <w:t>Antecedent</w:t>
      </w:r>
      <w:r>
        <w:t xml:space="preserve"> (dossiers an</w:t>
      </w:r>
      <w:r>
        <w:t xml:space="preserve">térieurs) ; global </w:t>
      </w:r>
      <w:r>
        <w:rPr>
          <w:rFonts w:ascii="Consolas" w:eastAsia="Consolas" w:hAnsi="Consolas" w:cs="Consolas"/>
          <w:color w:val="7A2E0E"/>
          <w:sz w:val="19"/>
          <w:szCs w:val="19"/>
        </w:rPr>
        <w:t>Resultat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erreur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frais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variable</w:t>
      </w:r>
      <w:r>
        <w:t>).</w:t>
      </w:r>
    </w:p>
    <w:p w14:paraId="4534B6F0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Mêmes classes dans le studio (banc d'essai) et le Runtime.</w:t>
      </w:r>
    </w:p>
    <w:p w14:paraId="125AF540" w14:textId="77777777" w:rsidR="00CA0AA5" w:rsidRDefault="002E1DA5">
      <w:pPr>
        <w:pStyle w:val="Titre2"/>
      </w:pPr>
      <w:bookmarkStart w:id="37" w:name="_Toc243054660"/>
      <w:r>
        <w:t>9.4 Dossier et validation au dépôt</w:t>
      </w:r>
      <w:bookmarkEnd w:id="37"/>
    </w:p>
    <w:p w14:paraId="467F467B" w14:textId="77777777" w:rsidR="00CA0AA5" w:rsidRDefault="002E1DA5">
      <w:pPr>
        <w:spacing w:after="120" w:line="276" w:lineRule="auto"/>
        <w:jc w:val="both"/>
      </w:pPr>
      <w:r>
        <w:t xml:space="preserve">Un dossier passe de </w:t>
      </w:r>
      <w:r>
        <w:rPr>
          <w:rFonts w:ascii="Consolas" w:eastAsia="Consolas" w:hAnsi="Consolas" w:cs="Consolas"/>
          <w:color w:val="7A2E0E"/>
          <w:sz w:val="19"/>
          <w:szCs w:val="19"/>
        </w:rPr>
        <w:t>DRAFT</w:t>
      </w:r>
      <w:r>
        <w:t xml:space="preserve"> (brouillon pré-rempli depuis le registre) à </w:t>
      </w:r>
      <w:r>
        <w:rPr>
          <w:rFonts w:ascii="Consolas" w:eastAsia="Consolas" w:hAnsi="Consolas" w:cs="Consolas"/>
          <w:color w:val="7A2E0E"/>
          <w:sz w:val="19"/>
          <w:szCs w:val="19"/>
        </w:rPr>
        <w:t>ACTIVE</w:t>
      </w:r>
      <w:r>
        <w:t xml:space="preserve"> au dépôt (CUR attribué, workfl</w:t>
      </w:r>
      <w:r>
        <w:t xml:space="preserve">ow démarré), puis </w:t>
      </w:r>
      <w:r>
        <w:rPr>
          <w:rFonts w:ascii="Consolas" w:eastAsia="Consolas" w:hAnsi="Consolas" w:cs="Consolas"/>
          <w:color w:val="7A2E0E"/>
          <w:sz w:val="19"/>
          <w:szCs w:val="19"/>
        </w:rPr>
        <w:t>CLOSED</w:t>
      </w:r>
      <w:r>
        <w:t xml:space="preserve"> ou </w:t>
      </w:r>
      <w:r>
        <w:rPr>
          <w:rFonts w:ascii="Consolas" w:eastAsia="Consolas" w:hAnsi="Consolas" w:cs="Consolas"/>
          <w:color w:val="7A2E0E"/>
          <w:sz w:val="19"/>
          <w:szCs w:val="19"/>
        </w:rPr>
        <w:t>CANCELLED</w:t>
      </w:r>
      <w:r>
        <w:t xml:space="preserve">. Le formulaire est stocké en JSONB ; les champs recherchables alimentent </w:t>
      </w:r>
      <w:r>
        <w:rPr>
          <w:rFonts w:ascii="Consolas" w:eastAsia="Consolas" w:hAnsi="Consolas" w:cs="Consolas"/>
          <w:color w:val="7A2E0E"/>
          <w:sz w:val="19"/>
          <w:szCs w:val="19"/>
        </w:rPr>
        <w:t>dossier.search_criteria</w:t>
      </w:r>
      <w:r>
        <w:t xml:space="preserve"> (GIN).</w:t>
      </w:r>
    </w:p>
    <w:p w14:paraId="1BBFB94C" w14:textId="77777777" w:rsidR="00CA0AA5" w:rsidRDefault="002E1DA5">
      <w:pPr>
        <w:spacing w:after="120" w:line="276" w:lineRule="auto"/>
        <w:jc w:val="both"/>
      </w:pPr>
      <w:r>
        <w:t xml:space="preserve">La </w:t>
      </w:r>
      <w:r>
        <w:rPr>
          <w:b/>
          <w:bCs/>
        </w:rPr>
        <w:t>validation au dépôt</w:t>
      </w:r>
      <w:r>
        <w:t xml:space="preserve"> contrôle, pour les champs applicables au type de demande et </w:t>
      </w:r>
      <w:r>
        <w:rPr>
          <w:b/>
          <w:bCs/>
        </w:rPr>
        <w:t>visibles</w:t>
      </w:r>
      <w:r>
        <w:t xml:space="preserve"> (réglage « visible si </w:t>
      </w:r>
      <w:r>
        <w:t>» évalué sur la même ligne d'un groupe ou sur le formulaire) : obligation, longueur, format, listes (</w:t>
      </w:r>
      <w:r>
        <w:rPr>
          <w:rFonts w:ascii="Consolas" w:eastAsia="Consolas" w:hAnsi="Consolas" w:cs="Consolas"/>
          <w:color w:val="7A2E0E"/>
          <w:sz w:val="19"/>
          <w:szCs w:val="19"/>
        </w:rPr>
        <w:t>REF_*</w:t>
      </w:r>
      <w:r>
        <w:t xml:space="preserve">, lieux, valeurs locales), groupes répétitifs (lignes minimales), pièces obligatoires ; puis les règles DRL du groupe </w:t>
      </w:r>
      <w:r>
        <w:rPr>
          <w:rFonts w:ascii="Consolas" w:eastAsia="Consolas" w:hAnsi="Consolas" w:cs="Consolas"/>
          <w:color w:val="7A2E0E"/>
          <w:sz w:val="19"/>
          <w:szCs w:val="19"/>
        </w:rPr>
        <w:t>validation</w:t>
      </w:r>
      <w:r>
        <w:t>. Un champ masqué n'es</w:t>
      </w:r>
      <w:r>
        <w:t>t pas contrôlé.</w:t>
      </w:r>
    </w:p>
    <w:p w14:paraId="25345F92" w14:textId="77777777" w:rsidR="00CA0AA5" w:rsidRDefault="002E1DA5">
      <w:pPr>
        <w:pStyle w:val="Titre2"/>
      </w:pPr>
      <w:bookmarkStart w:id="38" w:name="_Toc243054661"/>
      <w:r>
        <w:t>9.5 CUR, cotation, paiement</w:t>
      </w:r>
      <w:bookmarkEnd w:id="3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06"/>
        <w:gridCol w:w="8032"/>
      </w:tblGrid>
      <w:tr w:rsidR="00CA0AA5" w14:paraId="03475CC1" w14:textId="77777777">
        <w:trPr>
          <w:tblHeader/>
        </w:trPr>
        <w:tc>
          <w:tcPr>
            <w:tcW w:w="16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3180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Fonction</w:t>
            </w:r>
          </w:p>
        </w:tc>
        <w:tc>
          <w:tcPr>
            <w:tcW w:w="803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13B8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Mise en œuvre</w:t>
            </w:r>
          </w:p>
        </w:tc>
      </w:tr>
      <w:tr w:rsidR="00CA0AA5" w14:paraId="5C41958E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029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CUR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6810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PAYS(2) ANNÉE(4) CODE(3) SÉQUENCE(6)</w:t>
            </w:r>
            <w:r>
              <w:rPr>
                <w:sz w:val="19"/>
                <w:szCs w:val="19"/>
              </w:rPr>
              <w:t xml:space="preserve">, ex.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CM2026IFI000001</w:t>
            </w:r>
            <w:r>
              <w:rPr>
                <w:sz w:val="19"/>
                <w:szCs w:val="19"/>
              </w:rPr>
              <w:t xml:space="preserve"> ; incrément atomique par (pays, année, code) ; livrables numérotés à partir du CUR</w:t>
            </w:r>
          </w:p>
        </w:tc>
      </w:tr>
      <w:tr w:rsidR="00CA0AA5" w14:paraId="01066547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4D8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Cotation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8E2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Lieu de traitement → unité administrative ; agent actif le moins chargé (tirage entre ex aequo) et signataire de la même unité ; historisée</w:t>
            </w:r>
          </w:p>
        </w:tc>
      </w:tr>
      <w:tr w:rsidR="00CA0AA5" w14:paraId="012D39B0" w14:textId="77777777">
        <w:tc>
          <w:tcPr>
            <w:tcW w:w="16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0DB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Paiement</w:t>
            </w:r>
          </w:p>
        </w:tc>
        <w:tc>
          <w:tcPr>
            <w:tcW w:w="80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3E74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${paiement}</w:t>
            </w:r>
            <w:r>
              <w:rPr>
                <w:sz w:val="19"/>
                <w:szCs w:val="19"/>
              </w:rPr>
              <w:t xml:space="preserve"> émet l'avis (lignes par bénéficiaire) et un message ; la banque confirme par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POST /messages/in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bound</w:t>
            </w:r>
            <w:r>
              <w:rPr>
                <w:sz w:val="19"/>
                <w:szCs w:val="19"/>
              </w:rPr>
              <w:t xml:space="preserve"> (XML,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Idempotency-Key</w:t>
            </w:r>
            <w:r>
              <w:rPr>
                <w:sz w:val="19"/>
                <w:szCs w:val="19"/>
              </w:rPr>
              <w:t xml:space="preserve">) ; corrélation du message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PAIEMENT_CONFIRME</w:t>
            </w:r>
            <w:r>
              <w:rPr>
                <w:sz w:val="19"/>
                <w:szCs w:val="19"/>
              </w:rPr>
              <w:t xml:space="preserve"> ; annulation au délai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${delaiPaiement}</w:t>
            </w:r>
          </w:p>
        </w:tc>
      </w:tr>
    </w:tbl>
    <w:p w14:paraId="3F0AB7B4" w14:textId="77777777" w:rsidR="00CA0AA5" w:rsidRDefault="002E1DA5">
      <w:pPr>
        <w:pStyle w:val="Titre2"/>
      </w:pPr>
      <w:bookmarkStart w:id="39" w:name="_Toc243054662"/>
      <w:r>
        <w:t>9.6 Messages et format par flux</w:t>
      </w:r>
      <w:bookmarkEnd w:id="39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5"/>
        <w:gridCol w:w="7573"/>
      </w:tblGrid>
      <w:tr w:rsidR="00CA0AA5" w14:paraId="4791E4AB" w14:textId="77777777">
        <w:trPr>
          <w:tblHeader/>
        </w:trPr>
        <w:tc>
          <w:tcPr>
            <w:tcW w:w="20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5906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5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F7F2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Mise en œuvre</w:t>
            </w:r>
          </w:p>
        </w:tc>
      </w:tr>
      <w:tr w:rsidR="00CA0AA5" w14:paraId="6CD60F9B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E413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Formats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8FE0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JSON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$.a.b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$.l[*].x</w:t>
            </w:r>
            <w:r>
              <w:rPr>
                <w:sz w:val="19"/>
                <w:szCs w:val="19"/>
              </w:rPr>
              <w:t>), XML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Racine/a/b</w:t>
            </w:r>
            <w:r>
              <w:rPr>
                <w:sz w:val="19"/>
                <w:szCs w:val="19"/>
              </w:rPr>
              <w:t xml:space="preserve">), CSV (colonnes,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;</w:t>
            </w:r>
            <w:r>
              <w:rPr>
                <w:sz w:val="19"/>
                <w:szCs w:val="19"/>
              </w:rPr>
              <w:t>), TXT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clé: valeur</w:t>
            </w:r>
            <w:r>
              <w:rPr>
                <w:sz w:val="19"/>
                <w:szCs w:val="19"/>
              </w:rPr>
              <w:t>), EDIFACT, PDF</w:t>
            </w:r>
          </w:p>
        </w:tc>
      </w:tr>
      <w:tr w:rsidR="00CA0AA5" w14:paraId="035C1B79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AEE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Format de l'échange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E9F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Chaque message d'un flux peut fixer son </w:t>
            </w:r>
            <w:r>
              <w:rPr>
                <w:b/>
                <w:bCs/>
                <w:sz w:val="19"/>
                <w:szCs w:val="19"/>
              </w:rPr>
              <w:t>format propre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flow_message.content_format</w:t>
            </w:r>
            <w:r>
              <w:rPr>
                <w:sz w:val="19"/>
                <w:szCs w:val="19"/>
              </w:rPr>
              <w:t>, migration V8 du studio) ; vide, il suit le format du contrat du message. Le Runtime émet et lit au format effectif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Paquet.U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sage.contrat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6924C185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9EA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Enveloppe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1B1F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Message du catalogue, flux et rang, émetteur et destinataire, corrélation, sensibilité, expiration</w:t>
            </w:r>
          </w:p>
        </w:tc>
      </w:tr>
      <w:tr w:rsidR="00CA0AA5" w14:paraId="4B8FE42C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EA0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Contenu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D8C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wfe.message_content</w:t>
            </w:r>
            <w:r>
              <w:rPr>
                <w:sz w:val="19"/>
                <w:szCs w:val="19"/>
              </w:rPr>
              <w:t>, partitionné par mois ; longueur et SHA-256 sur l'en-tête ; jamais recopié dans les journaux</w:t>
            </w:r>
          </w:p>
        </w:tc>
      </w:tr>
      <w:tr w:rsidR="00CA0AA5" w14:paraId="094077F5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528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Indexation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2B5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Champs déclarés indexables extraits dans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wfe.payload_value</w:t>
            </w:r>
          </w:p>
        </w:tc>
      </w:tr>
      <w:tr w:rsidR="00CA0AA5" w14:paraId="7A4C3796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B33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Idempotence, états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5453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UNIQUE (tenant_id, idempotency_key)</w:t>
            </w:r>
            <w:r>
              <w:rPr>
                <w:sz w:val="19"/>
                <w:szCs w:val="19"/>
              </w:rPr>
              <w:t xml:space="preserve"> ; machine d'états contrôlée par tri</w:t>
            </w:r>
            <w:r>
              <w:rPr>
                <w:sz w:val="19"/>
                <w:szCs w:val="19"/>
              </w:rPr>
              <w:t>gger (IN_RECEIVED → IN_VALID → IN_PROCESSED ; OUT_CREATED → OUT_SENT → OUT_ACKED)</w:t>
            </w:r>
          </w:p>
        </w:tc>
      </w:tr>
    </w:tbl>
    <w:p w14:paraId="58FD625D" w14:textId="77777777" w:rsidR="00CA0AA5" w:rsidRDefault="002E1DA5">
      <w:pPr>
        <w:pStyle w:val="Titre2"/>
      </w:pPr>
      <w:bookmarkStart w:id="40" w:name="_Toc243054663"/>
      <w:r>
        <w:t>9.7 Livrables</w:t>
      </w:r>
      <w:bookmarkEnd w:id="40"/>
    </w:p>
    <w:p w14:paraId="0BB360C8" w14:textId="77777777" w:rsidR="00CA0AA5" w:rsidRDefault="002E1DA5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2E0E"/>
          <w:sz w:val="19"/>
          <w:szCs w:val="19"/>
        </w:rPr>
        <w:t>LivrableService</w:t>
      </w:r>
      <w:r>
        <w:t xml:space="preserve"> produit un PDF (OpenPDF) : en-têtes FR / EN et mention réglables, champs imprimés, signataire, dates de signature et de validité (</w:t>
      </w:r>
      <w:r>
        <w:rPr>
          <w:rFonts w:ascii="Consolas" w:eastAsia="Consolas" w:hAnsi="Consolas" w:cs="Consolas"/>
          <w:color w:val="7A2E0E"/>
          <w:sz w:val="19"/>
          <w:szCs w:val="19"/>
        </w:rPr>
        <w:t>FIN_ANNEE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UN_AN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AUCUNE</w:t>
      </w:r>
      <w:r>
        <w:t xml:space="preserve">), </w:t>
      </w:r>
      <w:r>
        <w:rPr>
          <w:b/>
          <w:bCs/>
        </w:rPr>
        <w:t>QR code</w:t>
      </w:r>
      <w:r>
        <w:t xml:space="preserve"> vers la vérification publique, </w:t>
      </w:r>
      <w:r>
        <w:rPr>
          <w:b/>
          <w:bCs/>
        </w:rPr>
        <w:t>cachet électronique visible</w:t>
      </w:r>
      <w:r>
        <w:t xml:space="preserve"> HMAC-SHA256. Aperçu en filigrane avant signature ; vérification publique (</w:t>
      </w:r>
      <w:r>
        <w:rPr>
          <w:rFonts w:ascii="Consolas" w:eastAsia="Consolas" w:hAnsi="Consolas" w:cs="Consolas"/>
          <w:color w:val="7A2E0E"/>
          <w:sz w:val="19"/>
          <w:szCs w:val="19"/>
        </w:rPr>
        <w:t>/api/v1/public/verify/{numero}</w:t>
      </w:r>
      <w:r>
        <w:t>).</w:t>
      </w:r>
    </w:p>
    <w:p w14:paraId="7B9487B5" w14:textId="77777777" w:rsidR="00CA0AA5" w:rsidRDefault="002E1DA5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lastRenderedPageBreak/>
        <w:t>Le cachet prouve l'intégrité et l'origine (clé du service) ; ce n'</w:t>
      </w:r>
      <w:r>
        <w:rPr>
          <w:i/>
          <w:iCs/>
          <w:color w:val="595959"/>
        </w:rPr>
        <w:t>est pas une signature électronique qualifiée.</w:t>
      </w:r>
    </w:p>
    <w:p w14:paraId="0C272DA8" w14:textId="77777777" w:rsidR="00CA0AA5" w:rsidRDefault="002E1DA5">
      <w:pPr>
        <w:pStyle w:val="Titre2"/>
      </w:pPr>
      <w:bookmarkStart w:id="41" w:name="_Toc243054664"/>
      <w:r>
        <w:t>9.8 Interface du dossier</w:t>
      </w:r>
      <w:bookmarkEnd w:id="41"/>
    </w:p>
    <w:p w14:paraId="560F4618" w14:textId="77777777" w:rsidR="00CA0AA5" w:rsidRDefault="002E1DA5">
      <w:pPr>
        <w:spacing w:after="120" w:line="276" w:lineRule="auto"/>
        <w:jc w:val="both"/>
      </w:pPr>
      <w:r>
        <w:t xml:space="preserve">Le formulaire du dossier suit le gabarit d'IHM de la procédure. Les onglets </w:t>
      </w:r>
      <w:r>
        <w:rPr>
          <w:b/>
          <w:bCs/>
        </w:rPr>
        <w:t>Pièces jointes</w:t>
      </w:r>
      <w:r>
        <w:t xml:space="preserve"> (pastille du nombre de pièces obligatoires manquantes) et </w:t>
      </w:r>
      <w:r>
        <w:rPr>
          <w:b/>
          <w:bCs/>
        </w:rPr>
        <w:t>Livrables</w:t>
      </w:r>
      <w:r>
        <w:t xml:space="preserve"> viennent toujours en dernier, après les onglets, étapes ou sections du formulaire : le composant de formulaire accepte des « onglets propres à la page » (</w:t>
      </w:r>
      <w:r>
        <w:rPr>
          <w:rFonts w:ascii="Consolas" w:eastAsia="Consolas" w:hAnsi="Consolas" w:cs="Consolas"/>
          <w:color w:val="7A2E0E"/>
          <w:sz w:val="19"/>
          <w:szCs w:val="19"/>
        </w:rPr>
        <w:t>ongletsSup</w:t>
      </w:r>
      <w:r>
        <w:t>), affichés comme ongle</w:t>
      </w:r>
      <w:r>
        <w:t>ts, étapes finales ou sections finales selon la disposition.</w:t>
      </w:r>
    </w:p>
    <w:p w14:paraId="2300EC2C" w14:textId="77777777" w:rsidR="00CA0AA5" w:rsidRDefault="002E1DA5">
      <w:pPr>
        <w:pStyle w:val="Titre2"/>
      </w:pPr>
      <w:bookmarkStart w:id="42" w:name="_Toc243054665"/>
      <w:r>
        <w:t>9.9 Stockage des fichiers</w:t>
      </w:r>
      <w:bookmarkEnd w:id="42"/>
    </w:p>
    <w:p w14:paraId="75712B93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601432FC" wp14:editId="01F4D0E8">
            <wp:extent cx="6096000" cy="1381125"/>
            <wp:effectExtent l="0" t="0" r="0" b="0"/>
            <wp:docPr id="8" name="stockage" descr="Figure 8 — Stockage des pièces et livrables : MinIO ou PostgreSQL" title="Figure 8 — Stockage des pièces et livrables : MinIO ou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8D35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 — Stockage des pièces et livrables : MinIO ou PostgreSQL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89"/>
        <w:gridCol w:w="7849"/>
      </w:tblGrid>
      <w:tr w:rsidR="00CA0AA5" w14:paraId="3031600A" w14:textId="77777777">
        <w:trPr>
          <w:tblHeader/>
        </w:trPr>
        <w:tc>
          <w:tcPr>
            <w:tcW w:w="178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5D2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784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92A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Détail</w:t>
            </w:r>
          </w:p>
        </w:tc>
      </w:tr>
      <w:tr w:rsidR="00CA0AA5" w14:paraId="589F6980" w14:textId="77777777"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3DE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Activation</w:t>
            </w:r>
          </w:p>
        </w:tc>
        <w:tc>
          <w:tcPr>
            <w:tcW w:w="78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40F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MINIO_ACCESS_KEY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MINIO_SECRET_KEY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MINIO_BUCKET</w:t>
            </w:r>
            <w:r>
              <w:rPr>
                <w:sz w:val="19"/>
                <w:szCs w:val="19"/>
              </w:rPr>
              <w:t xml:space="preserve"> (défaut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-eservices</w:t>
            </w:r>
            <w:r>
              <w:rPr>
                <w:sz w:val="19"/>
                <w:szCs w:val="19"/>
              </w:rPr>
              <w:t>) ; sans adresse, les fichiers restent en base</w:t>
            </w:r>
          </w:p>
        </w:tc>
      </w:tr>
      <w:tr w:rsidR="00CA0AA5" w14:paraId="508E2B99" w14:textId="77777777"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3ED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Schéma</w:t>
            </w:r>
          </w:p>
        </w:tc>
        <w:tc>
          <w:tcPr>
            <w:tcW w:w="78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D60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Migration V4 d'e-Services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content</w:t>
            </w:r>
            <w:r>
              <w:rPr>
                <w:sz w:val="19"/>
                <w:szCs w:val="19"/>
              </w:rPr>
              <w:t xml:space="preserve"> facultatif,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storage_key</w:t>
            </w:r>
            <w:r>
              <w:rPr>
                <w:sz w:val="19"/>
                <w:szCs w:val="19"/>
              </w:rPr>
              <w:t>, contrainte « contenu en base ou clé MinIO »</w:t>
            </w:r>
          </w:p>
        </w:tc>
      </w:tr>
      <w:tr w:rsidR="00CA0AA5" w14:paraId="299FFABB" w14:textId="77777777"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B65B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Clés</w:t>
            </w:r>
          </w:p>
        </w:tc>
        <w:tc>
          <w:tcPr>
            <w:tcW w:w="78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301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pieces/{dossier}/{code}-{sha256}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livrables/{numéro}.pdf</w:t>
            </w:r>
            <w:r>
              <w:rPr>
                <w:sz w:val="19"/>
                <w:szCs w:val="19"/>
              </w:rPr>
              <w:t xml:space="preserve"> ; compartiment créé au premier dépôt</w:t>
            </w:r>
          </w:p>
        </w:tc>
      </w:tr>
      <w:tr w:rsidR="00CA0AA5" w14:paraId="6ADD0D1B" w14:textId="77777777">
        <w:tc>
          <w:tcPr>
            <w:tcW w:w="17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A9C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Administration</w:t>
            </w:r>
          </w:p>
        </w:tc>
        <w:tc>
          <w:tcPr>
            <w:tcW w:w="78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387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/admin/storage</w:t>
            </w:r>
            <w:r>
              <w:rPr>
                <w:sz w:val="19"/>
                <w:szCs w:val="19"/>
              </w:rPr>
              <w:t xml:space="preserve"> (mode, répartition),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POST /admin/storage/migrate?lot=200</w:t>
            </w:r>
            <w:r>
              <w:rPr>
                <w:sz w:val="19"/>
                <w:szCs w:val="19"/>
              </w:rPr>
              <w:t xml:space="preserve"> (migration par lots, tracée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STOCKAGE_MIGRE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3D4CBEA4" w14:textId="77777777" w:rsidR="00CA0AA5" w:rsidRDefault="002E1DA5">
      <w:pPr>
        <w:pStyle w:val="Titre2"/>
      </w:pPr>
      <w:bookmarkStart w:id="43" w:name="_Toc243054666"/>
      <w:r>
        <w:t>9.10 Rendu du formulaire : dynamique ou code Angular généré</w:t>
      </w:r>
      <w:bookmarkEnd w:id="43"/>
    </w:p>
    <w:p w14:paraId="443A80E8" w14:textId="77777777" w:rsidR="00CA0AA5" w:rsidRDefault="002E1DA5">
      <w:pPr>
        <w:spacing w:before="120" w:after="60"/>
        <w:jc w:val="center"/>
      </w:pPr>
      <w:r>
        <w:rPr>
          <w:noProof/>
        </w:rPr>
        <w:drawing>
          <wp:inline distT="0" distB="0" distL="0" distR="0" wp14:anchorId="27FF0237" wp14:editId="7D04B8B8">
            <wp:extent cx="6096000" cy="1828800"/>
            <wp:effectExtent l="0" t="0" r="0" b="0"/>
            <wp:docPr id="9" name="rendu" descr="Figure 9 — Rendu dynamique ou composant Angular généré" title="Figure 9 — Rendu dynamique ou composant Angular génér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44" w14:textId="77777777" w:rsidR="00CA0AA5" w:rsidRDefault="002E1DA5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 — Rendu dynamique ou composant Angular généré</w:t>
      </w:r>
    </w:p>
    <w:p w14:paraId="4C469F34" w14:textId="77777777" w:rsidR="00CA0AA5" w:rsidRDefault="002E1DA5">
      <w:pPr>
        <w:spacing w:after="120" w:line="276" w:lineRule="auto"/>
        <w:jc w:val="both"/>
      </w:pPr>
      <w:r>
        <w:t xml:space="preserve">Par défaut, le composant </w:t>
      </w:r>
      <w:r>
        <w:rPr>
          <w:rFonts w:ascii="Consolas" w:eastAsia="Consolas" w:hAnsi="Consolas" w:cs="Consolas"/>
          <w:color w:val="7A2E0E"/>
          <w:sz w:val="19"/>
          <w:szCs w:val="19"/>
        </w:rPr>
        <w:t>nx-formulaire</w:t>
      </w:r>
      <w:r>
        <w:t xml:space="preserve"> construit le formulaire à l'exécution à partir du paquet : aucune recompilation, chaque version s'affiche telle que publiée. Pour une procédure, un administrateur</w:t>
      </w:r>
      <w:r>
        <w:t xml:space="preserve"> peut choisir le rendu </w:t>
      </w:r>
      <w:r>
        <w:rPr>
          <w:b/>
          <w:bCs/>
        </w:rPr>
        <w:t>code généré</w:t>
      </w:r>
      <w:r>
        <w:t xml:space="preserve"> :</w:t>
      </w:r>
    </w:p>
    <w:p w14:paraId="4C567930" w14:textId="77777777" w:rsidR="00CA0AA5" w:rsidRDefault="002E1DA5">
      <w:pPr>
        <w:pStyle w:val="Paragraphedeliste"/>
        <w:numPr>
          <w:ilvl w:val="0"/>
          <w:numId w:val="4"/>
        </w:numPr>
        <w:spacing w:after="60" w:line="264" w:lineRule="auto"/>
      </w:pPr>
      <w:r>
        <w:t>Le studio (</w:t>
      </w:r>
      <w:r>
        <w:rPr>
          <w:rFonts w:ascii="Consolas" w:eastAsia="Consolas" w:hAnsi="Consolas" w:cs="Consolas"/>
          <w:color w:val="7A2E0E"/>
          <w:sz w:val="19"/>
          <w:szCs w:val="19"/>
        </w:rPr>
        <w:t>GenerateurAngular</w:t>
      </w:r>
      <w:r>
        <w:t xml:space="preserve">) produit, pour chaque version, un composant autonome </w:t>
      </w:r>
      <w:r>
        <w:rPr>
          <w:rFonts w:ascii="Consolas" w:eastAsia="Consolas" w:hAnsi="Consolas" w:cs="Consolas"/>
          <w:color w:val="7A2E0E"/>
          <w:sz w:val="19"/>
          <w:szCs w:val="19"/>
        </w:rPr>
        <w:t>.ts</w:t>
      </w:r>
      <w:r>
        <w:t xml:space="preserve"> + </w:t>
      </w:r>
      <w:r>
        <w:rPr>
          <w:rFonts w:ascii="Consolas" w:eastAsia="Consolas" w:hAnsi="Consolas" w:cs="Consolas"/>
          <w:color w:val="7A2E0E"/>
          <w:sz w:val="19"/>
          <w:szCs w:val="19"/>
        </w:rPr>
        <w:t>.html</w:t>
      </w:r>
      <w:r>
        <w:t xml:space="preserve"> : structure selon le gabarit, contrôle écrit pour chaque champ, conditions en code, libellés en constantes ; il étend </w:t>
      </w:r>
      <w:r>
        <w:rPr>
          <w:rFonts w:ascii="Consolas" w:eastAsia="Consolas" w:hAnsi="Consolas" w:cs="Consolas"/>
          <w:color w:val="7A2E0E"/>
          <w:sz w:val="19"/>
          <w:szCs w:val="19"/>
        </w:rPr>
        <w:t>FormulaireGenereBase</w:t>
      </w:r>
      <w:r>
        <w:t xml:space="preserve"> (saisie, groupes, erreurs, amendement, navigation, accordéons).</w:t>
      </w:r>
    </w:p>
    <w:p w14:paraId="2C740479" w14:textId="77777777" w:rsidR="00CA0AA5" w:rsidRDefault="002E1DA5">
      <w:pPr>
        <w:pStyle w:val="Paragraphedeliste"/>
        <w:numPr>
          <w:ilvl w:val="0"/>
          <w:numId w:val="4"/>
        </w:numPr>
        <w:spacing w:after="60" w:line="264" w:lineRule="auto"/>
      </w:pPr>
      <w:r>
        <w:lastRenderedPageBreak/>
        <w:t>Dans e-Services, l'administration « Formulaires géné</w:t>
      </w:r>
      <w:r>
        <w:t xml:space="preserve">rés » récupère le code des versions déployées en rendu </w:t>
      </w:r>
      <w:r>
        <w:rPr>
          <w:rFonts w:ascii="Consolas" w:eastAsia="Consolas" w:hAnsi="Consolas" w:cs="Consolas"/>
          <w:color w:val="7A2E0E"/>
          <w:sz w:val="19"/>
          <w:szCs w:val="19"/>
        </w:rPr>
        <w:t>GENERE</w:t>
      </w:r>
      <w:r>
        <w:t xml:space="preserve"> (jeton de l'administrateur), l'écrit dans </w:t>
      </w:r>
      <w:r>
        <w:rPr>
          <w:rFonts w:ascii="Consolas" w:eastAsia="Consolas" w:hAnsi="Consolas" w:cs="Consolas"/>
          <w:color w:val="7A2E0E"/>
          <w:sz w:val="19"/>
          <w:szCs w:val="19"/>
        </w:rPr>
        <w:t>src/app/formulaires-generes</w:t>
      </w:r>
      <w:r>
        <w:t xml:space="preserve"> et réécrit le registre </w:t>
      </w:r>
      <w:r>
        <w:rPr>
          <w:rFonts w:ascii="Consolas" w:eastAsia="Consolas" w:hAnsi="Consolas" w:cs="Consolas"/>
          <w:color w:val="7A2E0E"/>
          <w:sz w:val="19"/>
          <w:szCs w:val="19"/>
        </w:rPr>
        <w:t>index.ts</w:t>
      </w:r>
      <w:r>
        <w:t xml:space="preserve"> (chargement différé, un bundle par version).</w:t>
      </w:r>
    </w:p>
    <w:p w14:paraId="79DC6E38" w14:textId="77777777" w:rsidR="00CA0AA5" w:rsidRDefault="002E1DA5">
      <w:pPr>
        <w:pStyle w:val="Paragraphedeliste"/>
        <w:numPr>
          <w:ilvl w:val="0"/>
          <w:numId w:val="4"/>
        </w:numPr>
        <w:spacing w:after="60" w:line="264" w:lineRule="auto"/>
      </w:pPr>
      <w:r>
        <w:t>Après reconstruction et redéploiement d'e-Servi</w:t>
      </w:r>
      <w:r>
        <w:t xml:space="preserve">ces, </w:t>
      </w:r>
      <w:r>
        <w:rPr>
          <w:rFonts w:ascii="Consolas" w:eastAsia="Consolas" w:hAnsi="Consolas" w:cs="Consolas"/>
          <w:color w:val="7A2E0E"/>
          <w:sz w:val="19"/>
          <w:szCs w:val="19"/>
        </w:rPr>
        <w:t>nx-formulaire-procedure</w:t>
      </w:r>
      <w:r>
        <w:t xml:space="preserve"> sert la version par son composant compilé ; sans composant, il revient au rendu dynamique.</w:t>
      </w:r>
    </w:p>
    <w:p w14:paraId="187D5980" w14:textId="77777777" w:rsidR="00CA0AA5" w:rsidRDefault="002E1DA5">
      <w:pPr>
        <w:spacing w:after="120" w:line="276" w:lineRule="auto"/>
        <w:jc w:val="both"/>
      </w:pPr>
      <w:r>
        <w:t>Le code généré a été compilé en mode strict (formulaire FIMEX : bundle séparé de 64 Ko).</w:t>
      </w:r>
    </w:p>
    <w:p w14:paraId="1BDF406B" w14:textId="77777777" w:rsidR="00CA0AA5" w:rsidRDefault="002E1DA5">
      <w:pPr>
        <w:pStyle w:val="Titre1"/>
        <w:pageBreakBefore/>
      </w:pPr>
      <w:bookmarkStart w:id="44" w:name="_Toc243054667"/>
      <w:r>
        <w:lastRenderedPageBreak/>
        <w:t>10. Données</w:t>
      </w:r>
      <w:bookmarkEnd w:id="44"/>
    </w:p>
    <w:p w14:paraId="5EB71632" w14:textId="77777777" w:rsidR="00CA0AA5" w:rsidRDefault="002E1DA5">
      <w:pPr>
        <w:pStyle w:val="Titre2"/>
      </w:pPr>
      <w:bookmarkStart w:id="45" w:name="_Toc243054668"/>
      <w:r>
        <w:t>10.1 Bases et schémas</w:t>
      </w:r>
      <w:bookmarkEnd w:id="4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85"/>
        <w:gridCol w:w="2932"/>
        <w:gridCol w:w="4521"/>
      </w:tblGrid>
      <w:tr w:rsidR="00CA0AA5" w14:paraId="11A260BD" w14:textId="77777777">
        <w:trPr>
          <w:tblHeader/>
        </w:trPr>
        <w:tc>
          <w:tcPr>
            <w:tcW w:w="214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B676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294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1807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Schémas</w:t>
            </w:r>
          </w:p>
        </w:tc>
        <w:tc>
          <w:tcPr>
            <w:tcW w:w="455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8C74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CA0AA5" w14:paraId="41CE182B" w14:textId="77777777"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F9F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nexora_auth</w:t>
            </w:r>
          </w:p>
        </w:tc>
        <w:tc>
          <w:tcPr>
            <w:tcW w:w="2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5C1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public</w:t>
            </w:r>
          </w:p>
        </w:tc>
        <w:tc>
          <w:tcPr>
            <w:tcW w:w="45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EB26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Comptes, rôles, droits, sessions, clés, événements</w:t>
            </w:r>
          </w:p>
        </w:tc>
      </w:tr>
      <w:tr w:rsidR="00CA0AA5" w14:paraId="224C8AA4" w14:textId="77777777"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F6C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nexora_refdata</w:t>
            </w:r>
          </w:p>
        </w:tc>
        <w:tc>
          <w:tcPr>
            <w:tcW w:w="2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CD6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public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referentiel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referentiel_src</w:t>
            </w:r>
          </w:p>
        </w:tc>
        <w:tc>
          <w:tcPr>
            <w:tcW w:w="45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7B0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Moteur de référentiel, tables physiques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ref_*</w:t>
            </w:r>
          </w:p>
        </w:tc>
      </w:tr>
      <w:tr w:rsidR="00CA0AA5" w14:paraId="395597F4" w14:textId="77777777"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6EA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nexora_registration</w:t>
            </w:r>
          </w:p>
        </w:tc>
        <w:tc>
          <w:tcPr>
            <w:tcW w:w="2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5A60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registre</w:t>
            </w:r>
          </w:p>
        </w:tc>
        <w:tc>
          <w:tcPr>
            <w:tcW w:w="45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064B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Opérateurs, comptes rattachés, pièces, historique</w:t>
            </w:r>
          </w:p>
        </w:tc>
      </w:tr>
      <w:tr w:rsidR="00CA0AA5" w14:paraId="407D09B2" w14:textId="77777777"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37B2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nexora_procedures</w:t>
            </w:r>
          </w:p>
        </w:tc>
        <w:tc>
          <w:tcPr>
            <w:tcW w:w="2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692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studio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rdm</w:t>
            </w:r>
          </w:p>
        </w:tc>
        <w:tc>
          <w:tcPr>
            <w:tcW w:w="45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CD9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Modélisation, agents, audit ; SCRDM D23B, BSP, UNTDED</w:t>
            </w:r>
          </w:p>
        </w:tc>
      </w:tr>
      <w:tr w:rsidR="00CA0AA5" w14:paraId="17518BB9" w14:textId="77777777">
        <w:tc>
          <w:tcPr>
            <w:tcW w:w="21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B93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nexora_eservices</w:t>
            </w:r>
          </w:p>
        </w:tc>
        <w:tc>
          <w:tcPr>
            <w:tcW w:w="294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851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wfe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public</w:t>
            </w:r>
            <w:r>
              <w:rPr>
                <w:sz w:val="19"/>
                <w:szCs w:val="19"/>
              </w:rPr>
              <w:t xml:space="preserve"> (ACT_* Operaton),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proc_&lt;code&gt;</w:t>
            </w:r>
          </w:p>
        </w:tc>
        <w:tc>
          <w:tcPr>
            <w:tcW w:w="45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A4D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Exécution, messages, paiements, livrables, audit ; vues métier</w:t>
            </w:r>
          </w:p>
        </w:tc>
      </w:tr>
    </w:tbl>
    <w:p w14:paraId="2E69F3ED" w14:textId="77777777" w:rsidR="00CA0AA5" w:rsidRDefault="002E1DA5">
      <w:pPr>
        <w:pStyle w:val="Titre2"/>
      </w:pPr>
      <w:bookmarkStart w:id="46" w:name="_Toc243054669"/>
      <w:r>
        <w:t>10.2 Schéma studio</w:t>
      </w:r>
      <w:bookmarkEnd w:id="46"/>
    </w:p>
    <w:p w14:paraId="31BF9C05" w14:textId="77777777" w:rsidR="00CA0AA5" w:rsidRDefault="002E1DA5">
      <w:pPr>
        <w:spacing w:after="120" w:line="276" w:lineRule="auto"/>
        <w:jc w:val="both"/>
      </w:pPr>
      <w:r>
        <w:t>Terminologie (</w:t>
      </w:r>
      <w:r>
        <w:rPr>
          <w:rFonts w:ascii="Consolas" w:eastAsia="Consolas" w:hAnsi="Consolas" w:cs="Consolas"/>
          <w:color w:val="7A2E0E"/>
          <w:sz w:val="19"/>
          <w:szCs w:val="19"/>
        </w:rPr>
        <w:t>trade_process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process_phase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circuit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request_nature</w:t>
      </w:r>
      <w:r>
        <w:t xml:space="preserve">) ;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procedure_version</w:t>
      </w:r>
      <w:r>
        <w:t xml:space="preserve"> (paquet JSONB, empreinte, réglages dont </w:t>
      </w:r>
      <w:r>
        <w:rPr>
          <w:rFonts w:ascii="Consolas" w:eastAsia="Consolas" w:hAnsi="Consolas" w:cs="Consolas"/>
          <w:color w:val="7A2E0E"/>
          <w:sz w:val="19"/>
          <w:szCs w:val="19"/>
        </w:rPr>
        <w:t>ihm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rendu</w:t>
      </w:r>
      <w:r>
        <w:t xml:space="preserve">) ; parties : </w:t>
      </w:r>
      <w:r>
        <w:rPr>
          <w:rFonts w:ascii="Consolas" w:eastAsia="Consolas" w:hAnsi="Consolas" w:cs="Consolas"/>
          <w:color w:val="7A2E0E"/>
          <w:sz w:val="19"/>
          <w:szCs w:val="19"/>
        </w:rPr>
        <w:t>request_type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procedure_actor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case_status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form_section</w:t>
      </w:r>
      <w:r>
        <w:t xml:space="preserve"> (avec </w:t>
      </w:r>
      <w:r>
        <w:rPr>
          <w:rFonts w:ascii="Consolas" w:eastAsia="Consolas" w:hAnsi="Consolas" w:cs="Consolas"/>
          <w:color w:val="7A2E0E"/>
          <w:sz w:val="19"/>
          <w:szCs w:val="19"/>
        </w:rPr>
        <w:t>parent_code</w:t>
      </w:r>
      <w:r>
        <w:t xml:space="preserve">), </w:t>
      </w:r>
      <w:r>
        <w:rPr>
          <w:rFonts w:ascii="Consolas" w:eastAsia="Consolas" w:hAnsi="Consolas" w:cs="Consolas"/>
          <w:color w:val="7A2E0E"/>
          <w:sz w:val="19"/>
          <w:szCs w:val="19"/>
        </w:rPr>
        <w:t>form_field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required_document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fee_item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message_definition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message_field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procedure_flow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flow_message</w:t>
      </w:r>
      <w:r>
        <w:t xml:space="preserve"> (avec </w:t>
      </w:r>
      <w:r>
        <w:rPr>
          <w:rFonts w:ascii="Consolas" w:eastAsia="Consolas" w:hAnsi="Consolas" w:cs="Consolas"/>
          <w:color w:val="7A2E0E"/>
          <w:sz w:val="19"/>
          <w:szCs w:val="19"/>
        </w:rPr>
        <w:t>c</w:t>
      </w:r>
      <w:r>
        <w:rPr>
          <w:rFonts w:ascii="Consolas" w:eastAsia="Consolas" w:hAnsi="Consolas" w:cs="Consolas"/>
          <w:color w:val="7A2E0E"/>
          <w:sz w:val="19"/>
          <w:szCs w:val="19"/>
        </w:rPr>
        <w:t>ontent_format</w:t>
      </w:r>
      <w:r>
        <w:t xml:space="preserve">), </w:t>
      </w:r>
      <w:r>
        <w:rPr>
          <w:rFonts w:ascii="Consolas" w:eastAsia="Consolas" w:hAnsi="Consolas" w:cs="Consolas"/>
          <w:color w:val="7A2E0E"/>
          <w:sz w:val="19"/>
          <w:szCs w:val="19"/>
        </w:rPr>
        <w:t>process_model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rule_set</w:t>
      </w:r>
      <w:r>
        <w:t xml:space="preserve"> (avec approbation), </w:t>
      </w:r>
      <w:r>
        <w:rPr>
          <w:rFonts w:ascii="Consolas" w:eastAsia="Consolas" w:hAnsi="Consolas" w:cs="Consolas"/>
          <w:color w:val="7A2E0E"/>
          <w:sz w:val="19"/>
          <w:szCs w:val="19"/>
        </w:rPr>
        <w:t>deliverable</w:t>
      </w:r>
      <w:r>
        <w:t xml:space="preserve"> ; agents : </w:t>
      </w:r>
      <w:r>
        <w:rPr>
          <w:rFonts w:ascii="Consolas" w:eastAsia="Consolas" w:hAnsi="Consolas" w:cs="Consolas"/>
          <w:color w:val="7A2E0E"/>
          <w:sz w:val="19"/>
          <w:szCs w:val="19"/>
        </w:rPr>
        <w:t>agent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agent_policy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ai_run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ai_proposal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audit_event</w:t>
      </w:r>
      <w:r>
        <w:t xml:space="preserve"> (chaîné).</w:t>
      </w:r>
    </w:p>
    <w:p w14:paraId="1ED14C40" w14:textId="77777777" w:rsidR="00CA0AA5" w:rsidRDefault="002E1DA5">
      <w:pPr>
        <w:pStyle w:val="Titre2"/>
      </w:pPr>
      <w:bookmarkStart w:id="47" w:name="_Toc243054670"/>
      <w:r>
        <w:t>10.3 Schéma wfe</w:t>
      </w:r>
      <w:bookmarkEnd w:id="47"/>
    </w:p>
    <w:p w14:paraId="5E670452" w14:textId="77777777" w:rsidR="00CA0AA5" w:rsidRDefault="002E1DA5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2E0E"/>
          <w:sz w:val="19"/>
          <w:szCs w:val="19"/>
        </w:rPr>
        <w:t>procedure_deployment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dossier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dossier_criterion_value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dossier_status_history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cotation_hi</w:t>
      </w:r>
      <w:r>
        <w:rPr>
          <w:rFonts w:ascii="Consolas" w:eastAsia="Consolas" w:hAnsi="Consolas" w:cs="Consolas"/>
          <w:color w:val="7A2E0E"/>
          <w:sz w:val="19"/>
          <w:szCs w:val="19"/>
        </w:rPr>
        <w:t>story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attachment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issued_document</w:t>
      </w:r>
      <w:r>
        <w:t xml:space="preserve"> (contenu en base ou </w:t>
      </w:r>
      <w:r>
        <w:rPr>
          <w:rFonts w:ascii="Consolas" w:eastAsia="Consolas" w:hAnsi="Consolas" w:cs="Consolas"/>
          <w:color w:val="7A2E0E"/>
          <w:sz w:val="19"/>
          <w:szCs w:val="19"/>
        </w:rPr>
        <w:t>storage_key</w:t>
      </w:r>
      <w:r>
        <w:t xml:space="preserve">) ; </w:t>
      </w:r>
      <w:r>
        <w:rPr>
          <w:rFonts w:ascii="Consolas" w:eastAsia="Consolas" w:hAnsi="Consolas" w:cs="Consolas"/>
          <w:color w:val="7A2E0E"/>
          <w:sz w:val="19"/>
          <w:szCs w:val="19"/>
        </w:rPr>
        <w:t>flux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message_content</w:t>
      </w:r>
      <w:r>
        <w:t xml:space="preserve"> (partitionné), </w:t>
      </w:r>
      <w:r>
        <w:rPr>
          <w:rFonts w:ascii="Consolas" w:eastAsia="Consolas" w:hAnsi="Consolas" w:cs="Consolas"/>
          <w:color w:val="7A2E0E"/>
          <w:sz w:val="19"/>
          <w:szCs w:val="19"/>
        </w:rPr>
        <w:t>payload_value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message_state_history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message_attachment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payment_notice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payment_line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admin_unit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processing_location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unit_member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partner_type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partner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code_list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code_list_value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cur_sequence</w:t>
      </w:r>
      <w:r>
        <w:t xml:space="preserve"> ; </w:t>
      </w:r>
      <w:r>
        <w:rPr>
          <w:rFonts w:ascii="Consolas" w:eastAsia="Consolas" w:hAnsi="Consolas" w:cs="Consolas"/>
          <w:color w:val="7A2E0E"/>
          <w:sz w:val="19"/>
          <w:szCs w:val="19"/>
        </w:rPr>
        <w:t>audit_event</w:t>
      </w:r>
      <w:r>
        <w:t xml:space="preserve">. Colonnes </w:t>
      </w:r>
      <w:r>
        <w:rPr>
          <w:rFonts w:ascii="Consolas" w:eastAsia="Consolas" w:hAnsi="Consolas" w:cs="Consolas"/>
          <w:color w:val="7A2E0E"/>
          <w:sz w:val="19"/>
          <w:szCs w:val="19"/>
        </w:rPr>
        <w:t>tenant_id</w:t>
      </w:r>
      <w:r>
        <w:t xml:space="preserve"> présentes en vue d'un cloisonnement multi-pays.</w:t>
      </w:r>
    </w:p>
    <w:p w14:paraId="311DAC29" w14:textId="77777777" w:rsidR="00CA0AA5" w:rsidRDefault="002E1DA5">
      <w:pPr>
        <w:pStyle w:val="Titre2"/>
      </w:pPr>
      <w:bookmarkStart w:id="48" w:name="_Toc243054671"/>
      <w:r>
        <w:t>10.4 Vues métier proc_&lt;code&gt;</w:t>
      </w:r>
      <w:bookmarkEnd w:id="48"/>
    </w:p>
    <w:p w14:paraId="5A6269B9" w14:textId="77777777" w:rsidR="00CA0AA5" w:rsidRDefault="002E1DA5">
      <w:pPr>
        <w:spacing w:after="120" w:line="276" w:lineRule="auto"/>
        <w:jc w:val="both"/>
      </w:pPr>
      <w:r>
        <w:t xml:space="preserve">Générées au déploiement par </w:t>
      </w:r>
      <w:r>
        <w:rPr>
          <w:rFonts w:ascii="Consolas" w:eastAsia="Consolas" w:hAnsi="Consolas" w:cs="Consolas"/>
          <w:color w:val="7A2E0E"/>
          <w:sz w:val="19"/>
          <w:szCs w:val="19"/>
        </w:rPr>
        <w:t>VuesMetier</w:t>
      </w:r>
      <w:r>
        <w:t xml:space="preserve"> pour </w:t>
      </w:r>
      <w:r>
        <w:t xml:space="preserve">exposer les données d'une procédure sous la forme de son modèle de données métier, sans table spécifique : </w:t>
      </w:r>
      <w:r>
        <w:rPr>
          <w:rFonts w:ascii="Consolas" w:eastAsia="Consolas" w:hAnsi="Consolas" w:cs="Consolas"/>
          <w:color w:val="7A2E0E"/>
          <w:sz w:val="19"/>
          <w:szCs w:val="19"/>
        </w:rPr>
        <w:t>&lt;code&gt;_request</w:t>
      </w:r>
      <w:r>
        <w:t xml:space="preserve"> (un champ par colonne, typé), une vue par groupe répétitif, </w:t>
      </w:r>
      <w:r>
        <w:rPr>
          <w:rFonts w:ascii="Consolas" w:eastAsia="Consolas" w:hAnsi="Consolas" w:cs="Consolas"/>
          <w:color w:val="7A2E0E"/>
          <w:sz w:val="19"/>
          <w:szCs w:val="19"/>
        </w:rPr>
        <w:t>&lt;code&gt;_payment_notice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&lt;code&gt;_certificate</w:t>
      </w:r>
      <w:r>
        <w:t xml:space="preserve"> ; noms réglables par </w:t>
      </w:r>
      <w:r>
        <w:rPr>
          <w:rFonts w:ascii="Consolas" w:eastAsia="Consolas" w:hAnsi="Consolas" w:cs="Consolas"/>
          <w:color w:val="7A2E0E"/>
          <w:sz w:val="19"/>
          <w:szCs w:val="19"/>
        </w:rPr>
        <w:t>viewNames</w:t>
      </w:r>
      <w:r>
        <w:t>.</w:t>
      </w:r>
    </w:p>
    <w:p w14:paraId="0C7ECD54" w14:textId="77777777" w:rsidR="00CA0AA5" w:rsidRDefault="002E1DA5">
      <w:pPr>
        <w:pStyle w:val="Titre2"/>
      </w:pPr>
      <w:bookmarkStart w:id="49" w:name="_Toc243054672"/>
      <w:r>
        <w:t>10.5 Listes de codes</w:t>
      </w:r>
      <w:bookmarkEnd w:id="49"/>
    </w:p>
    <w:p w14:paraId="7797D14D" w14:textId="77777777" w:rsidR="00CA0AA5" w:rsidRDefault="002E1DA5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2E0E"/>
          <w:sz w:val="19"/>
          <w:szCs w:val="19"/>
        </w:rPr>
        <w:t>ListesService</w:t>
      </w:r>
      <w:r>
        <w:t xml:space="preserve"> copie, pour chaque procédure déployée, les tables </w:t>
      </w:r>
      <w:r>
        <w:rPr>
          <w:rFonts w:ascii="Consolas" w:eastAsia="Consolas" w:hAnsi="Consolas" w:cs="Consolas"/>
          <w:color w:val="7A2E0E"/>
          <w:sz w:val="19"/>
          <w:szCs w:val="19"/>
        </w:rPr>
        <w:t>REF_*</w:t>
      </w:r>
      <w:r>
        <w:t xml:space="preserve"> utilisées dans </w:t>
      </w:r>
      <w:r>
        <w:rPr>
          <w:rFonts w:ascii="Consolas" w:eastAsia="Consolas" w:hAnsi="Consolas" w:cs="Consolas"/>
          <w:color w:val="7A2E0E"/>
          <w:sz w:val="19"/>
          <w:szCs w:val="19"/>
        </w:rPr>
        <w:t>wfe.code_list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</w:rPr>
        <w:t>code_list_value</w:t>
      </w:r>
      <w:r>
        <w:t xml:space="preserve"> (FR et EN, entrées valides) ; rafraîchissement depuis l'administration.</w:t>
      </w:r>
    </w:p>
    <w:p w14:paraId="1645633F" w14:textId="77777777" w:rsidR="00CA0AA5" w:rsidRDefault="002E1DA5">
      <w:pPr>
        <w:pStyle w:val="Titre1"/>
        <w:pageBreakBefore/>
      </w:pPr>
      <w:bookmarkStart w:id="50" w:name="_Toc243054673"/>
      <w:r>
        <w:lastRenderedPageBreak/>
        <w:t>11. Intégrations entre services</w:t>
      </w:r>
      <w:bookmarkEnd w:id="50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9"/>
        <w:gridCol w:w="3614"/>
        <w:gridCol w:w="3615"/>
      </w:tblGrid>
      <w:tr w:rsidR="00CA0AA5" w14:paraId="164A3D7D" w14:textId="77777777">
        <w:trPr>
          <w:tblHeader/>
        </w:trPr>
        <w:tc>
          <w:tcPr>
            <w:tcW w:w="240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2D7E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Appelant → app</w:t>
            </w:r>
            <w:r>
              <w:rPr>
                <w:b/>
                <w:bCs/>
                <w:color w:val="FFFFFF"/>
                <w:sz w:val="19"/>
                <w:szCs w:val="19"/>
              </w:rPr>
              <w:t>elé</w:t>
            </w:r>
          </w:p>
        </w:tc>
        <w:tc>
          <w:tcPr>
            <w:tcW w:w="361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3129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Appel</w:t>
            </w:r>
          </w:p>
        </w:tc>
        <w:tc>
          <w:tcPr>
            <w:tcW w:w="361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CB6F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CA0AA5" w14:paraId="68769680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A7E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tous → auth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D575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/.well-known/jwks.json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E9B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Vérification des jetons</w:t>
            </w:r>
          </w:p>
        </w:tc>
      </w:tr>
      <w:tr w:rsidR="00CA0AA5" w14:paraId="362014F1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88CD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 → refdata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9E0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/api/v1/tables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/lookup/{table}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B3EA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Listes proposées et contrôlées</w:t>
            </w:r>
          </w:p>
        </w:tc>
      </w:tr>
      <w:tr w:rsidR="00CA0AA5" w14:paraId="7D68200D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2DE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 → procedures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DD44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/published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/published/{code}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8E1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Catalogue et paquets à déployer</w:t>
            </w:r>
          </w:p>
        </w:tc>
      </w:tr>
      <w:tr w:rsidR="00CA0AA5" w14:paraId="1D99BC58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98E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 → procedures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1557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/angular/{code}/{version}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D91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Code Angular généré (rendu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GENERE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641827D9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3AE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 → registration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C64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/me/parties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/parties/{niu}</w:t>
            </w:r>
            <w:r>
              <w:rPr>
                <w:sz w:val="19"/>
                <w:szCs w:val="19"/>
              </w:rPr>
              <w:t>, documents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740A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Opérateurs, pré-remplissage, pièces d'enrôlement</w:t>
            </w:r>
          </w:p>
        </w:tc>
      </w:tr>
      <w:tr w:rsidR="00CA0AA5" w14:paraId="17ED98FF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DA03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 → registration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963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POST /parties/{niu}/complete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220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Complétion à la délivrance (RG2 UC-05)</w:t>
            </w:r>
          </w:p>
        </w:tc>
      </w:tr>
      <w:tr w:rsidR="00CA0AA5" w14:paraId="1B66DE5F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3223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 → refdata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3641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 /lookup/{REF}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288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Projection des listes</w:t>
            </w:r>
          </w:p>
        </w:tc>
      </w:tr>
      <w:tr w:rsidR="00CA0AA5" w14:paraId="269899B6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AAB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 → MinIO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18C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API S3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putObject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getObject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AD3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Pièces et livrables</w:t>
            </w:r>
          </w:p>
        </w:tc>
      </w:tr>
      <w:tr w:rsidR="00CA0AA5" w14:paraId="53ACA9DC" w14:textId="77777777">
        <w:tc>
          <w:tcPr>
            <w:tcW w:w="240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967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banque → eservices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2015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POST /message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s/inbound</w:t>
            </w:r>
          </w:p>
        </w:tc>
        <w:tc>
          <w:tcPr>
            <w:tcW w:w="361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928B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Confirmation de paiement</w:t>
            </w:r>
          </w:p>
        </w:tc>
      </w:tr>
    </w:tbl>
    <w:p w14:paraId="21FD368A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Appels REST synchrones (</w:t>
      </w:r>
      <w:r>
        <w:rPr>
          <w:rFonts w:ascii="Consolas" w:eastAsia="Consolas" w:hAnsi="Consolas" w:cs="Consolas"/>
          <w:color w:val="7A2E0E"/>
          <w:sz w:val="19"/>
          <w:szCs w:val="19"/>
        </w:rPr>
        <w:t>RestClient</w:t>
      </w:r>
      <w:r>
        <w:t xml:space="preserve">) </w:t>
      </w:r>
      <w:r>
        <w:rPr>
          <w:b/>
          <w:bCs/>
        </w:rPr>
        <w:t>avec le jeton de l'utilisateur courant</w:t>
      </w:r>
      <w:r>
        <w:t xml:space="preserve"> : propagation d'identité, droits vérifiés par l'appelé (aucun compte technique partagé).</w:t>
      </w:r>
    </w:p>
    <w:p w14:paraId="0A2208E7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Dégradation : registre indisponible → pré-remplissage ignoré, dépôt possible.</w:t>
      </w:r>
    </w:p>
    <w:p w14:paraId="56BC454E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URL configurables : </w:t>
      </w:r>
      <w:r>
        <w:rPr>
          <w:rFonts w:ascii="Consolas" w:eastAsia="Consolas" w:hAnsi="Consolas" w:cs="Consolas"/>
          <w:color w:val="7A2E0E"/>
          <w:sz w:val="19"/>
          <w:szCs w:val="19"/>
        </w:rPr>
        <w:t>AUTH_URL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PROCEDURES_URL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REGISTRATION_URL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REFDATA_URL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MINIO_URL</w:t>
      </w:r>
      <w:r>
        <w:t>.</w:t>
      </w:r>
    </w:p>
    <w:p w14:paraId="0FBBB4CE" w14:textId="77777777" w:rsidR="00CA0AA5" w:rsidRDefault="002E1DA5">
      <w:pPr>
        <w:pStyle w:val="Titre1"/>
        <w:pageBreakBefore/>
      </w:pPr>
      <w:bookmarkStart w:id="51" w:name="_Toc243054674"/>
      <w:r>
        <w:lastRenderedPageBreak/>
        <w:t>12. Traçabilité et audit</w:t>
      </w:r>
      <w:bookmarkEnd w:id="5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5"/>
        <w:gridCol w:w="7573"/>
      </w:tblGrid>
      <w:tr w:rsidR="00CA0AA5" w14:paraId="201C90D4" w14:textId="77777777">
        <w:trPr>
          <w:tblHeader/>
        </w:trPr>
        <w:tc>
          <w:tcPr>
            <w:tcW w:w="206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F2C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Niveau</w:t>
            </w:r>
          </w:p>
        </w:tc>
        <w:tc>
          <w:tcPr>
            <w:tcW w:w="75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612D0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Mécanisme</w:t>
            </w:r>
          </w:p>
        </w:tc>
      </w:tr>
      <w:tr w:rsidR="00CA0AA5" w14:paraId="0B537478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D1A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En-têtes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0BA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X-Nexora-Channel</w:t>
            </w:r>
            <w:r>
              <w:rPr>
                <w:sz w:val="19"/>
                <w:szCs w:val="19"/>
              </w:rPr>
              <w:t xml:space="preserve"> (UI, API, IMPORT, SYN</w:t>
            </w:r>
            <w:r>
              <w:rPr>
                <w:sz w:val="19"/>
                <w:szCs w:val="19"/>
              </w:rPr>
              <w:t xml:space="preserve">C),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X-Nexora-Reason</w:t>
            </w:r>
            <w:r>
              <w:rPr>
                <w:sz w:val="19"/>
                <w:szCs w:val="19"/>
              </w:rPr>
              <w:t xml:space="preserve"> (motif, encodé URL)</w:t>
            </w:r>
          </w:p>
        </w:tc>
      </w:tr>
      <w:tr w:rsidR="00CA0AA5" w14:paraId="789EF8AB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E5C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Historique d'entité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CAE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Triggers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party_history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ref_history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dossier_status_history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message_state_history</w:t>
            </w:r>
          </w:p>
        </w:tc>
      </w:tr>
      <w:tr w:rsidR="00CA0AA5" w14:paraId="72DAAB04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BDA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Journal d'audit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30C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studio.audit_event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wfe.audit_event</w:t>
            </w:r>
            <w:r>
              <w:rPr>
                <w:sz w:val="19"/>
                <w:szCs w:val="19"/>
              </w:rPr>
              <w:t xml:space="preserve"> : ajout seul (trigger refusant UPDATE / DELETE), chaînage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prev_hash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row_hash</w:t>
            </w:r>
            <w:r>
              <w:rPr>
                <w:sz w:val="19"/>
                <w:szCs w:val="19"/>
              </w:rPr>
              <w:t xml:space="preserve"> SHA-256, sérialisé par verrou consultatif</w:t>
            </w:r>
          </w:p>
        </w:tc>
      </w:tr>
      <w:tr w:rsidR="00CA0AA5" w14:paraId="53ECAACF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BF6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Agents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8B2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ai_run</w:t>
            </w:r>
            <w:r>
              <w:rPr>
                <w:sz w:val="19"/>
                <w:szCs w:val="19"/>
              </w:rPr>
              <w:t xml:space="preserve"> (y compris refus de politique),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ai_proposal</w:t>
            </w:r>
            <w:r>
              <w:rPr>
                <w:sz w:val="19"/>
                <w:szCs w:val="19"/>
              </w:rPr>
              <w:t xml:space="preserve"> (revue, commentaire, relecteur)</w:t>
            </w:r>
          </w:p>
        </w:tc>
      </w:tr>
      <w:tr w:rsidR="00CA0AA5" w14:paraId="31D9A57C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1B30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Workflow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DAF4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Historique complet Operaton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hist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ory-level=full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7BF286B2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618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Sécurité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0964B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auth_event</w:t>
            </w:r>
            <w:r>
              <w:rPr>
                <w:sz w:val="19"/>
                <w:szCs w:val="19"/>
              </w:rPr>
              <w:t xml:space="preserve"> : connexions, échecs, verrouillages, administration</w:t>
            </w:r>
          </w:p>
        </w:tc>
      </w:tr>
      <w:tr w:rsidR="00CA0AA5" w14:paraId="364EEDD7" w14:textId="77777777">
        <w:tc>
          <w:tcPr>
            <w:tcW w:w="20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6577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Opérations sensibles</w:t>
            </w:r>
          </w:p>
        </w:tc>
        <w:tc>
          <w:tcPr>
            <w:tcW w:w="75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76E4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Événements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VERSION_*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PROCEDURE_CREEE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STOCKAGE_MIGRE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FORMULAIRES_GENERES_PREPARES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TACHE_TERMINEE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MESSAGE_EMIS</w:t>
            </w:r>
            <w:r>
              <w:rPr>
                <w:sz w:val="19"/>
                <w:szCs w:val="19"/>
              </w:rPr>
              <w:t>…</w:t>
            </w:r>
          </w:p>
        </w:tc>
      </w:tr>
    </w:tbl>
    <w:p w14:paraId="0D072C99" w14:textId="77777777" w:rsidR="00CA0AA5" w:rsidRDefault="002E1DA5">
      <w:pPr>
        <w:pStyle w:val="Titre1"/>
        <w:pageBreakBefore/>
      </w:pPr>
      <w:bookmarkStart w:id="52" w:name="_Toc243054675"/>
      <w:r>
        <w:lastRenderedPageBreak/>
        <w:t>13. Interfaces utilisateur</w:t>
      </w:r>
      <w:bookmarkEnd w:id="52"/>
    </w:p>
    <w:p w14:paraId="674694BD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Angular 22, composants autonomes et </w:t>
      </w:r>
      <w:r>
        <w:rPr>
          <w:b/>
          <w:bCs/>
        </w:rPr>
        <w:t>signals</w:t>
      </w:r>
      <w:r>
        <w:t>, détection de changements sans zone ; une application par service, servie par son jar.</w:t>
      </w:r>
    </w:p>
    <w:p w14:paraId="19C5087B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core/</w:t>
      </w:r>
      <w:r>
        <w:t xml:space="preserve"> : client HTTP typé, SSO (</w:t>
      </w:r>
      <w:r>
        <w:rPr>
          <w:rFonts w:ascii="Consolas" w:eastAsia="Consolas" w:hAnsi="Consolas" w:cs="Consolas"/>
          <w:color w:val="7A2E0E"/>
          <w:sz w:val="19"/>
          <w:szCs w:val="19"/>
        </w:rPr>
        <w:t>auth.service.ts</w:t>
      </w:r>
      <w:r>
        <w:t xml:space="preserve">, jeton du fragment </w:t>
      </w:r>
      <w:r>
        <w:rPr>
          <w:rFonts w:ascii="Consolas" w:eastAsia="Consolas" w:hAnsi="Consolas" w:cs="Consolas"/>
          <w:color w:val="7A2E0E"/>
          <w:sz w:val="19"/>
          <w:szCs w:val="19"/>
        </w:rPr>
        <w:t>#access_token</w:t>
      </w:r>
      <w:r>
        <w:t>), internationalisa</w:t>
      </w:r>
      <w:r>
        <w:t>tion (</w:t>
      </w:r>
      <w:r>
        <w:rPr>
          <w:rFonts w:ascii="Consolas" w:eastAsia="Consolas" w:hAnsi="Consolas" w:cs="Consolas"/>
          <w:color w:val="7A2E0E"/>
          <w:sz w:val="19"/>
          <w:szCs w:val="19"/>
        </w:rPr>
        <w:t>i18n.ts</w:t>
      </w:r>
      <w:r>
        <w:t xml:space="preserve">, dictionnaire </w:t>
      </w:r>
      <w:r>
        <w:rPr>
          <w:rFonts w:ascii="Consolas" w:eastAsia="Consolas" w:hAnsi="Consolas" w:cs="Consolas"/>
          <w:color w:val="7A2E0E"/>
          <w:sz w:val="19"/>
          <w:szCs w:val="19"/>
        </w:rPr>
        <w:t>i18n-en.ts</w:t>
      </w:r>
      <w:r>
        <w:t xml:space="preserve"> dont la clé est le texte français), titres.</w:t>
      </w:r>
    </w:p>
    <w:p w14:paraId="36E306CA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Responsive (ordinateur, tablette, mobile), charte commune, thème clair / sombre.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16"/>
        <w:gridCol w:w="7922"/>
      </w:tblGrid>
      <w:tr w:rsidR="00CA0AA5" w14:paraId="7FED5D46" w14:textId="77777777">
        <w:trPr>
          <w:tblHeader/>
        </w:trPr>
        <w:tc>
          <w:tcPr>
            <w:tcW w:w="17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3E63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792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2EFD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Écrans</w:t>
            </w:r>
          </w:p>
        </w:tc>
      </w:tr>
      <w:tr w:rsidR="00CA0AA5" w14:paraId="50ED4F0A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3D9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Studio (4204)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6B65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Tableau de bord ; procédures (création : gabarit, copie, v</w:t>
            </w:r>
            <w:r>
              <w:rPr>
                <w:sz w:val="19"/>
                <w:szCs w:val="19"/>
              </w:rPr>
              <w:t xml:space="preserve">ide) ; version : général, formulaire et données (gabarit d'IHM, rendu, </w:t>
            </w:r>
            <w:r>
              <w:rPr>
                <w:b/>
                <w:bCs/>
                <w:sz w:val="19"/>
                <w:szCs w:val="19"/>
              </w:rPr>
              <w:t>constructeur visuel</w:t>
            </w:r>
            <w:r>
              <w:rPr>
                <w:sz w:val="19"/>
                <w:szCs w:val="19"/>
              </w:rPr>
              <w:t xml:space="preserve"> ou grilles, assistant SCRDM), messages et flux (format par échange), workflow bpmn-js, règles DRL et banc d'essai, frais, pièces jointes, livrables, agents IA, contrôles et publication ; terminologie ; dictionnaire SCRDM ; agents ; journal</w:t>
            </w:r>
          </w:p>
        </w:tc>
      </w:tr>
      <w:tr w:rsidR="00CA0AA5" w14:paraId="14B133D3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182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e-Services (4205)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1BB7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Accueil ; nouvelle demande ; dossiers ; dossier (formulaire en onglets ou étapes, pièces jointes, livrables, dépôt, paiement, décision, suivi, messages) ; tâches ; supervision ; encaissements ; messages ; administration (procédures, </w:t>
            </w:r>
            <w:r>
              <w:rPr>
                <w:b/>
                <w:bCs/>
                <w:sz w:val="19"/>
                <w:szCs w:val="19"/>
              </w:rPr>
              <w:t>formu</w:t>
            </w:r>
            <w:r>
              <w:rPr>
                <w:b/>
                <w:bCs/>
                <w:sz w:val="19"/>
                <w:szCs w:val="19"/>
              </w:rPr>
              <w:t>laires générés</w:t>
            </w:r>
            <w:r>
              <w:rPr>
                <w:sz w:val="19"/>
                <w:szCs w:val="19"/>
              </w:rPr>
              <w:t>, cotation, listes, incidents, vues, réception de messages) ; vérification publique</w:t>
            </w:r>
          </w:p>
        </w:tc>
      </w:tr>
      <w:tr w:rsidR="00CA0AA5" w14:paraId="5D452281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DE19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Registre (4203)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46A0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Tableau de bord ; opérateurs ; fiche (données, pièces, comptes, historique)</w:t>
            </w:r>
          </w:p>
        </w:tc>
      </w:tr>
    </w:tbl>
    <w:p w14:paraId="40498807" w14:textId="77777777" w:rsidR="00CA0AA5" w:rsidRDefault="002E1DA5">
      <w:pPr>
        <w:spacing w:after="120" w:line="276" w:lineRule="auto"/>
        <w:jc w:val="both"/>
      </w:pPr>
      <w:r>
        <w:t xml:space="preserve">Composants génériques : </w:t>
      </w:r>
      <w:r>
        <w:rPr>
          <w:rFonts w:ascii="Consolas" w:eastAsia="Consolas" w:hAnsi="Consolas" w:cs="Consolas"/>
          <w:color w:val="7A2E0E"/>
          <w:sz w:val="19"/>
          <w:szCs w:val="19"/>
        </w:rPr>
        <w:t>shared/formulaire.ts</w:t>
      </w:r>
      <w:r>
        <w:t xml:space="preserve"> (rendu dynamique), </w:t>
      </w:r>
      <w:r>
        <w:rPr>
          <w:rFonts w:ascii="Consolas" w:eastAsia="Consolas" w:hAnsi="Consolas" w:cs="Consolas"/>
          <w:color w:val="7A2E0E"/>
          <w:sz w:val="19"/>
          <w:szCs w:val="19"/>
        </w:rPr>
        <w:t>shared/formulaire-procedure.ts</w:t>
      </w:r>
      <w:r>
        <w:t xml:space="preserve"> (aiguillage dynamique / généré), </w:t>
      </w:r>
      <w:r>
        <w:rPr>
          <w:rFonts w:ascii="Consolas" w:eastAsia="Consolas" w:hAnsi="Consolas" w:cs="Consolas"/>
          <w:color w:val="7A2E0E"/>
          <w:sz w:val="19"/>
          <w:szCs w:val="19"/>
        </w:rPr>
        <w:t>formulaires-generes/base.ts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shared/widgets.ts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CodePicker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Localisation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Statut</w:t>
      </w:r>
      <w:r>
        <w:t xml:space="preserve">), </w:t>
      </w:r>
      <w:r>
        <w:rPr>
          <w:rFonts w:ascii="Consolas" w:eastAsia="Consolas" w:hAnsi="Consolas" w:cs="Consolas"/>
          <w:color w:val="7A2E0E"/>
          <w:sz w:val="19"/>
          <w:szCs w:val="19"/>
        </w:rPr>
        <w:t>shared/grille.ts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shared/apercu-formulaire.ts</w:t>
      </w:r>
      <w:r>
        <w:t xml:space="preserve"> (studio).</w:t>
      </w:r>
    </w:p>
    <w:p w14:paraId="5FF4543A" w14:textId="77777777" w:rsidR="00CA0AA5" w:rsidRDefault="002E1DA5">
      <w:pPr>
        <w:pStyle w:val="Titre1"/>
        <w:pageBreakBefore/>
      </w:pPr>
      <w:bookmarkStart w:id="53" w:name="_Toc243054676"/>
      <w:r>
        <w:lastRenderedPageBreak/>
        <w:t>14. Déploiement et exploitation</w:t>
      </w:r>
      <w:bookmarkEnd w:id="53"/>
    </w:p>
    <w:p w14:paraId="3B500D30" w14:textId="77777777" w:rsidR="00CA0AA5" w:rsidRDefault="002E1DA5">
      <w:pPr>
        <w:pStyle w:val="Titre2"/>
      </w:pPr>
      <w:bookmarkStart w:id="54" w:name="_Toc243054677"/>
      <w:r>
        <w:t>14.1 Ports</w:t>
      </w:r>
      <w:bookmarkEnd w:id="54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36"/>
        <w:gridCol w:w="1521"/>
        <w:gridCol w:w="1775"/>
        <w:gridCol w:w="3806"/>
      </w:tblGrid>
      <w:tr w:rsidR="00CA0AA5" w14:paraId="5B9ADBDD" w14:textId="77777777">
        <w:trPr>
          <w:tblHeader/>
        </w:trPr>
        <w:tc>
          <w:tcPr>
            <w:tcW w:w="25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B54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2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C354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API</w:t>
            </w:r>
          </w:p>
        </w:tc>
        <w:tc>
          <w:tcPr>
            <w:tcW w:w="1775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597C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UI de dév.</w:t>
            </w:r>
          </w:p>
        </w:tc>
        <w:tc>
          <w:tcPr>
            <w:tcW w:w="380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E06F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</w:tr>
      <w:tr w:rsidR="00CA0AA5" w14:paraId="125B9457" w14:textId="77777777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897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15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C44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8090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179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4202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958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nexora_auth</w:t>
            </w:r>
          </w:p>
        </w:tc>
      </w:tr>
      <w:tr w:rsidR="00CA0AA5" w14:paraId="58AC5505" w14:textId="77777777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879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refdata</w:t>
            </w:r>
          </w:p>
        </w:tc>
        <w:tc>
          <w:tcPr>
            <w:tcW w:w="15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CE90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8082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63D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4201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6AA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nexora_refdata</w:t>
            </w:r>
          </w:p>
        </w:tc>
      </w:tr>
      <w:tr w:rsidR="00CA0AA5" w14:paraId="1BBF9433" w14:textId="77777777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67E2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registration</w:t>
            </w:r>
          </w:p>
        </w:tc>
        <w:tc>
          <w:tcPr>
            <w:tcW w:w="15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6AA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8083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53A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4203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9A6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nexora_registration</w:t>
            </w:r>
          </w:p>
        </w:tc>
      </w:tr>
      <w:tr w:rsidR="00CA0AA5" w14:paraId="453031CA" w14:textId="77777777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52B4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15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89A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8084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A85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4204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78FC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nexora_procedures</w:t>
            </w:r>
          </w:p>
        </w:tc>
      </w:tr>
      <w:tr w:rsidR="00CA0AA5" w14:paraId="2B4F8A26" w14:textId="77777777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EED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</w:t>
            </w:r>
          </w:p>
        </w:tc>
        <w:tc>
          <w:tcPr>
            <w:tcW w:w="15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B3D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8085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D94C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4205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57C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nexora_eservices</w:t>
            </w:r>
          </w:p>
        </w:tc>
      </w:tr>
      <w:tr w:rsidR="00CA0AA5" w14:paraId="1E3D7926" w14:textId="77777777">
        <w:tc>
          <w:tcPr>
            <w:tcW w:w="25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3A78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MinIO (facultatif)</w:t>
            </w:r>
          </w:p>
        </w:tc>
        <w:tc>
          <w:tcPr>
            <w:tcW w:w="152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AF3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9000 (S3)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C96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9001 (console)</w:t>
            </w:r>
          </w:p>
        </w:tc>
        <w:tc>
          <w:tcPr>
            <w:tcW w:w="380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5D73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compartiment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nexora-eservices</w:t>
            </w:r>
          </w:p>
        </w:tc>
      </w:tr>
    </w:tbl>
    <w:p w14:paraId="375D746E" w14:textId="77777777" w:rsidR="00CA0AA5" w:rsidRDefault="002E1DA5">
      <w:pPr>
        <w:pStyle w:val="Titre2"/>
      </w:pPr>
      <w:bookmarkStart w:id="55" w:name="_Toc243054678"/>
      <w:r>
        <w:t>14.2 Construction et lancement</w:t>
      </w:r>
      <w:bookmarkEnd w:id="55"/>
    </w:p>
    <w:p w14:paraId="174880B2" w14:textId="77777777" w:rsidR="00CA0AA5" w:rsidRDefault="002E1DA5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Bases : </w:t>
      </w:r>
      <w:r>
        <w:rPr>
          <w:rFonts w:ascii="Consolas" w:eastAsia="Consolas" w:hAnsi="Consolas" w:cs="Consolas"/>
          <w:color w:val="7A2E0E"/>
          <w:sz w:val="19"/>
          <w:szCs w:val="19"/>
        </w:rPr>
        <w:t>database\creer-bases-guichet-unique.cmd</w:t>
      </w:r>
      <w:r>
        <w:t>.</w:t>
      </w:r>
    </w:p>
    <w:p w14:paraId="537DF33F" w14:textId="77777777" w:rsidR="00CA0AA5" w:rsidRDefault="002E1DA5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Par service : </w:t>
      </w:r>
      <w:r>
        <w:rPr>
          <w:rFonts w:ascii="Consolas" w:eastAsia="Consolas" w:hAnsi="Consolas" w:cs="Consolas"/>
          <w:color w:val="7A2E0E"/>
          <w:sz w:val="19"/>
          <w:szCs w:val="19"/>
        </w:rPr>
        <w:t>construire.cmd</w:t>
      </w:r>
      <w:r>
        <w:t xml:space="preserve"> (Maven et build Angular copié dans </w:t>
      </w:r>
      <w:r>
        <w:rPr>
          <w:rFonts w:ascii="Consolas" w:eastAsia="Consolas" w:hAnsi="Consolas" w:cs="Consolas"/>
          <w:color w:val="7A2E0E"/>
          <w:sz w:val="19"/>
          <w:szCs w:val="19"/>
        </w:rPr>
        <w:t>static/</w:t>
      </w:r>
      <w:r>
        <w:t xml:space="preserve">), puis </w:t>
      </w:r>
      <w:r>
        <w:rPr>
          <w:rFonts w:ascii="Consolas" w:eastAsia="Consolas" w:hAnsi="Consolas" w:cs="Consolas"/>
          <w:color w:val="7A2E0E"/>
          <w:sz w:val="19"/>
          <w:szCs w:val="19"/>
        </w:rPr>
        <w:t>lancer.cmd</w:t>
      </w:r>
      <w:r>
        <w:t>.</w:t>
      </w:r>
    </w:p>
    <w:p w14:paraId="21E995C6" w14:textId="77777777" w:rsidR="00CA0AA5" w:rsidRDefault="002E1DA5">
      <w:pPr>
        <w:pStyle w:val="Paragraphedeliste"/>
        <w:numPr>
          <w:ilvl w:val="0"/>
          <w:numId w:val="5"/>
        </w:numPr>
        <w:spacing w:after="60" w:line="264" w:lineRule="auto"/>
      </w:pPr>
      <w:r>
        <w:t xml:space="preserve">Ordre de démarrage : </w:t>
      </w:r>
      <w:r>
        <w:rPr>
          <w:rFonts w:ascii="Consolas" w:eastAsia="Consolas" w:hAnsi="Consolas" w:cs="Consolas"/>
          <w:color w:val="7A2E0E"/>
          <w:sz w:val="19"/>
          <w:szCs w:val="19"/>
        </w:rPr>
        <w:t>auth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refdata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r</w:t>
      </w:r>
      <w:r>
        <w:rPr>
          <w:rFonts w:ascii="Consolas" w:eastAsia="Consolas" w:hAnsi="Consolas" w:cs="Consolas"/>
          <w:color w:val="7A2E0E"/>
          <w:sz w:val="19"/>
          <w:szCs w:val="19"/>
        </w:rPr>
        <w:t>egistration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procedures</w:t>
      </w:r>
      <w:r>
        <w:t xml:space="preserve"> → </w:t>
      </w:r>
      <w:r>
        <w:rPr>
          <w:rFonts w:ascii="Consolas" w:eastAsia="Consolas" w:hAnsi="Consolas" w:cs="Consolas"/>
          <w:color w:val="7A2E0E"/>
          <w:sz w:val="19"/>
          <w:szCs w:val="19"/>
        </w:rPr>
        <w:t>eservices</w:t>
      </w:r>
      <w:r>
        <w:t>.</w:t>
      </w:r>
    </w:p>
    <w:p w14:paraId="19239743" w14:textId="77777777" w:rsidR="00CA0AA5" w:rsidRDefault="002E1DA5">
      <w:pPr>
        <w:pStyle w:val="Paragraphedeliste"/>
        <w:numPr>
          <w:ilvl w:val="0"/>
          <w:numId w:val="5"/>
        </w:numPr>
        <w:spacing w:after="60" w:line="264" w:lineRule="auto"/>
      </w:pPr>
      <w:r>
        <w:t>Flyway applique les migrations au démarrage ; Operaton crée ses tables.</w:t>
      </w:r>
    </w:p>
    <w:p w14:paraId="056EA003" w14:textId="77777777" w:rsidR="00CA0AA5" w:rsidRDefault="002E1DA5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 xml:space="preserve">Postes de développement : exclure les dossiers des sources (et </w:t>
      </w:r>
      <w:r>
        <w:rPr>
          <w:rFonts w:ascii="Consolas" w:eastAsia="Consolas" w:hAnsi="Consolas" w:cs="Consolas"/>
          <w:i/>
          <w:iCs/>
          <w:color w:val="595959"/>
          <w:sz w:val="19"/>
          <w:szCs w:val="19"/>
        </w:rPr>
        <w:t>target</w:t>
      </w:r>
      <w:r>
        <w:rPr>
          <w:i/>
          <w:iCs/>
          <w:color w:val="595959"/>
        </w:rPr>
        <w:t>) de l'analyse antivirus en temps réel. Un antivirus a déjà mis en quarantaine une classe compilée du studio (faux positif), ce qui a cassé l'agent Processus.</w:t>
      </w:r>
    </w:p>
    <w:p w14:paraId="7FFD4F2E" w14:textId="77777777" w:rsidR="00CA0AA5" w:rsidRDefault="002E1DA5">
      <w:pPr>
        <w:pStyle w:val="Titre2"/>
      </w:pPr>
      <w:bookmarkStart w:id="56" w:name="_Toc243054679"/>
      <w:r>
        <w:t>14.3 Configuration</w:t>
      </w:r>
      <w:bookmarkEnd w:id="5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16"/>
        <w:gridCol w:w="7922"/>
      </w:tblGrid>
      <w:tr w:rsidR="00CA0AA5" w14:paraId="260ECB9F" w14:textId="77777777">
        <w:trPr>
          <w:tblHeader/>
        </w:trPr>
        <w:tc>
          <w:tcPr>
            <w:tcW w:w="17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8B7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792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9339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Variables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19"/>
                <w:szCs w:val="19"/>
              </w:rPr>
              <w:t>.env.local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ou environnement)</w:t>
            </w:r>
          </w:p>
        </w:tc>
      </w:tr>
      <w:tr w:rsidR="00CA0AA5" w14:paraId="7B2CE589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6B6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tous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23B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&lt;SVC&gt;_DB_URL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&lt;SVC&gt;_DB_U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&lt;SVC&gt;_DB_PASSWORD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&lt;SVC&gt;_PORT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&lt;SVC&gt;_CORS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AUTH_JWKS_URI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AUTH_ISSUER</w:t>
            </w:r>
          </w:p>
        </w:tc>
      </w:tr>
      <w:tr w:rsidR="00CA0AA5" w14:paraId="33776913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A75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77886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AUTH_ADMIN_PASSWORD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AUTH_TOKEN_VALIDITY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AUTH_SESSION_VALIDITY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AUTH_REDIRECT_ORIGINS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AUTH_APPLICATIONS</w:t>
            </w:r>
          </w:p>
        </w:tc>
      </w:tr>
      <w:tr w:rsidR="00CA0AA5" w14:paraId="4412A483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6C0D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FCD45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NEXORA_AI_URL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NEXORA_AI_MODEL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NEXORA_AI_API_KEY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NEXORA_AI_TIMEOUT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NEXORA_AI_MAX_CHARS</w:t>
            </w:r>
          </w:p>
        </w:tc>
      </w:tr>
      <w:tr w:rsidR="00CA0AA5" w14:paraId="3C093E88" w14:textId="77777777">
        <w:tc>
          <w:tcPr>
            <w:tcW w:w="17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044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</w:t>
            </w:r>
          </w:p>
        </w:tc>
        <w:tc>
          <w:tcPr>
            <w:tcW w:w="792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73E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REGISTRATION_URL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ESERVICES_PUBLIC_URL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ESERVICES_SEAL_SECRET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NEXORA_TENANT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ESERVICES_DEMO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MINIO_ACCESS_KEY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MINIO_SECRET_KEY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MINIO_BUCKET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FOR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MULAIRES_GENERES_DOSSIER</w:t>
            </w:r>
          </w:p>
        </w:tc>
      </w:tr>
    </w:tbl>
    <w:p w14:paraId="49B0CA89" w14:textId="77777777" w:rsidR="00CA0AA5" w:rsidRDefault="002E1DA5">
      <w:pPr>
        <w:pStyle w:val="Titre2"/>
      </w:pPr>
      <w:bookmarkStart w:id="57" w:name="_Toc243054680"/>
      <w:r>
        <w:t>14.4 Supervision et mise à l'échelle</w:t>
      </w:r>
      <w:bookmarkEnd w:id="57"/>
    </w:p>
    <w:p w14:paraId="1E56CF86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7A2E0E"/>
          <w:sz w:val="19"/>
          <w:szCs w:val="19"/>
        </w:rPr>
        <w:t>/actuator/health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/actuator/info</w:t>
      </w:r>
      <w:r>
        <w:t xml:space="preserve"> sur chaque service ; tableau de bord de supervision e-Services ; incidents Operaton relançables.</w:t>
      </w:r>
    </w:p>
    <w:p w14:paraId="036414C9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>Services sans état (jeton porteur) réplicables derrière un ré</w:t>
      </w:r>
      <w:r>
        <w:t>partiteur ; job executor Operaton en cluster sur la base partagée du Runtime ; MinIO en mode distribué.</w:t>
      </w:r>
    </w:p>
    <w:p w14:paraId="317E12FA" w14:textId="77777777" w:rsidR="00CA0AA5" w:rsidRDefault="002E1DA5">
      <w:pPr>
        <w:pStyle w:val="Paragraphedeliste"/>
        <w:numPr>
          <w:ilvl w:val="0"/>
          <w:numId w:val="3"/>
        </w:numPr>
        <w:spacing w:after="60" w:line="264" w:lineRule="auto"/>
      </w:pPr>
      <w:r>
        <w:t xml:space="preserve">Partitions mensuelles de </w:t>
      </w:r>
      <w:r>
        <w:rPr>
          <w:rFonts w:ascii="Consolas" w:eastAsia="Consolas" w:hAnsi="Consolas" w:cs="Consolas"/>
          <w:color w:val="7A2E0E"/>
          <w:sz w:val="19"/>
          <w:szCs w:val="19"/>
        </w:rPr>
        <w:t>message_content</w:t>
      </w:r>
      <w:r>
        <w:t xml:space="preserve"> à créer par tâche planifiée.</w:t>
      </w:r>
    </w:p>
    <w:p w14:paraId="4CAABDE3" w14:textId="77777777" w:rsidR="00CA0AA5" w:rsidRDefault="002E1DA5">
      <w:pPr>
        <w:pStyle w:val="Titre1"/>
        <w:pageBreakBefore/>
      </w:pPr>
      <w:bookmarkStart w:id="58" w:name="_Toc243054681"/>
      <w:r>
        <w:lastRenderedPageBreak/>
        <w:t>15. Extensibilité : ajout de nouvelles procédures</w:t>
      </w:r>
      <w:bookmarkEnd w:id="58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960"/>
        <w:gridCol w:w="3300"/>
        <w:gridCol w:w="2378"/>
      </w:tblGrid>
      <w:tr w:rsidR="00CA0AA5" w14:paraId="0627C3FB" w14:textId="77777777">
        <w:trPr>
          <w:tblHeader/>
        </w:trPr>
        <w:tc>
          <w:tcPr>
            <w:tcW w:w="3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88B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Besoin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12A8D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Où</w:t>
            </w:r>
          </w:p>
        </w:tc>
        <w:tc>
          <w:tcPr>
            <w:tcW w:w="237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3B0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Code requis</w:t>
            </w:r>
          </w:p>
        </w:tc>
      </w:tr>
      <w:tr w:rsidR="00CA0AA5" w14:paraId="6F0C4996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236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Procédure demande → paiement → traitement → signature → livrable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8E6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Studio (gabarit, copie ou agents)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FE1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</w:t>
            </w:r>
          </w:p>
        </w:tc>
      </w:tr>
      <w:tr w:rsidR="00CA0AA5" w14:paraId="3F20FCDA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F72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Champs, listes, pièces, frais, statuts, messages, flux, formats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702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Studio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071F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</w:t>
            </w:r>
          </w:p>
        </w:tc>
      </w:tr>
      <w:tr w:rsidR="00CA0AA5" w14:paraId="0524B3CD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152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Disposition, onglets, accordéons, largeurs, affichage conditionnel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70D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Studio (gabarit d'IHM, constructeur visuel)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520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</w:t>
            </w:r>
          </w:p>
        </w:tc>
      </w:tr>
      <w:tr w:rsidR="00CA0AA5" w14:paraId="23628391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2853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Variante de workflow avec les délégués existants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066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bpmn-js ou Camunda Modeler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222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</w:t>
            </w:r>
          </w:p>
        </w:tc>
      </w:tr>
      <w:tr w:rsidR="00CA0AA5" w14:paraId="6FC28FCB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060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Règles de validation ou de frais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F94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DRL dans le studio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5A2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</w:t>
            </w:r>
          </w:p>
        </w:tc>
      </w:tr>
      <w:tr w:rsidR="00CA0AA5" w14:paraId="63C027B9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4CF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Formulaire en code Angular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810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Réglage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rendu</w:t>
            </w:r>
            <w:r>
              <w:rPr>
                <w:sz w:val="19"/>
                <w:szCs w:val="19"/>
              </w:rPr>
              <w:t xml:space="preserve"> + préparation e-Services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01AC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Reconstruction d'e-Services (pas de développement)</w:t>
            </w:r>
          </w:p>
        </w:tc>
      </w:tr>
      <w:tr w:rsidR="00CA0AA5" w14:paraId="31F845B0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BF7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Nouvelle liste de codes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E4193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refdata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7C3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</w:t>
            </w:r>
          </w:p>
        </w:tc>
      </w:tr>
      <w:tr w:rsidR="00CA0AA5" w14:paraId="0CDB9E23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6469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Nouvelle tâche automatique ou intégration externe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8D3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Délégué dans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eservices.moteur</w:t>
            </w:r>
            <w:r>
              <w:rPr>
                <w:sz w:val="19"/>
                <w:szCs w:val="19"/>
              </w:rPr>
              <w:t xml:space="preserve"> + contrôle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Conformite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043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  <w:tr w:rsidR="00CA0AA5" w14:paraId="6A69E509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4F7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Traitement d'un message entrant autre que le paiement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B07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MessageService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FD0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  <w:tr w:rsidR="00CA0AA5" w14:paraId="5BFFED16" w14:textId="77777777"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6EE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Mise en page de livrable spécifique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F453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LivrableService</w:t>
            </w:r>
          </w:p>
        </w:tc>
        <w:tc>
          <w:tcPr>
            <w:tcW w:w="237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F634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Oui</w:t>
            </w:r>
          </w:p>
        </w:tc>
      </w:tr>
    </w:tbl>
    <w:p w14:paraId="0437467A" w14:textId="77777777" w:rsidR="00CA0AA5" w:rsidRDefault="002E1DA5">
      <w:pPr>
        <w:spacing w:after="120" w:line="276" w:lineRule="auto"/>
        <w:jc w:val="both"/>
      </w:pPr>
      <w:r>
        <w:t>Validations de bout en bout : FIMEX (procédure de référence), domiciliation bancaire, certificat d'origine créé depuis le gabarit, et VTP modélisé par les agents puis publié et déployé, sans modification de code.</w:t>
      </w:r>
    </w:p>
    <w:p w14:paraId="579775DC" w14:textId="77777777" w:rsidR="00CA0AA5" w:rsidRDefault="002E1DA5">
      <w:pPr>
        <w:pStyle w:val="Titre1"/>
        <w:pageBreakBefore/>
      </w:pPr>
      <w:bookmarkStart w:id="59" w:name="_Toc243054682"/>
      <w:r>
        <w:lastRenderedPageBreak/>
        <w:t>16. Limites connues et évolutions</w:t>
      </w:r>
      <w:bookmarkEnd w:id="59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57"/>
        <w:gridCol w:w="3740"/>
        <w:gridCol w:w="3741"/>
      </w:tblGrid>
      <w:tr w:rsidR="00CA0AA5" w14:paraId="792A34A6" w14:textId="77777777">
        <w:trPr>
          <w:tblHeader/>
        </w:trPr>
        <w:tc>
          <w:tcPr>
            <w:tcW w:w="215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153F5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Sujet</w:t>
            </w:r>
          </w:p>
        </w:tc>
        <w:tc>
          <w:tcPr>
            <w:tcW w:w="374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D272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Éta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</w:p>
        </w:tc>
        <w:tc>
          <w:tcPr>
            <w:tcW w:w="374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C1D3B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Évolution proposée</w:t>
            </w:r>
          </w:p>
        </w:tc>
      </w:tr>
      <w:tr w:rsidR="00CA0AA5" w14:paraId="02275D11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2CAC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Multi-tenant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AF61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Colonnes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tenant_id</w:t>
            </w:r>
            <w:r>
              <w:rPr>
                <w:sz w:val="19"/>
                <w:szCs w:val="19"/>
              </w:rPr>
              <w:t>, cloisonnement applicatif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6FA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Row-Level Security PostgreSQL</w:t>
            </w:r>
          </w:p>
        </w:tc>
      </w:tr>
      <w:tr w:rsidR="00CA0AA5" w14:paraId="5A6A6010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A060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Agents IA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624D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Appels synchrones dans la transaction ; heuristique sans modèle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3FD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Exécution asynchrone, file de tâches</w:t>
            </w:r>
          </w:p>
        </w:tc>
      </w:tr>
      <w:tr w:rsidR="00CA0AA5" w14:paraId="4F0C0413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41A8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Signature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A42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Cachet HMAC visible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916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Signature qualifiée (PAdES) via une IGC</w:t>
            </w:r>
          </w:p>
        </w:tc>
      </w:tr>
      <w:tr w:rsidR="00CA0AA5" w14:paraId="67116055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21F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Transport des messages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420F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REST synchrone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C50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Bus de messages / AS4, accusés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OUT_ACKED</w:t>
            </w:r>
          </w:p>
        </w:tc>
      </w:tr>
      <w:tr w:rsidR="00CA0AA5" w14:paraId="3165C1EA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98A3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Cotation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A0E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Une affectation par dossier (même agent pour recevabilité et traitement)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26E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Cotation par étape et par rôle (recevabilité, traitement)</w:t>
            </w:r>
          </w:p>
        </w:tc>
      </w:tr>
      <w:tr w:rsidR="00CA0AA5" w14:paraId="63655294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CFED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Observation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F10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Exigée pour complément, rejet, retour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485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Exigence configurable par décision (ex. validation VTP)</w:t>
            </w:r>
          </w:p>
        </w:tc>
      </w:tr>
      <w:tr w:rsidR="00CA0AA5" w14:paraId="67F591CD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DF17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Règles inter-dossiers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A20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Faits limités au dossier et aux antécédents du demandeur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5A1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Antécédents par dossier de transaction (ex. un seul VTP actif par transaction)</w:t>
            </w:r>
          </w:p>
        </w:tc>
      </w:tr>
      <w:tr w:rsidR="00CA0AA5" w14:paraId="25E398A5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7572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Code Angular généré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C89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Reconstruction d'e-S</w:t>
            </w:r>
            <w:r>
              <w:rPr>
                <w:sz w:val="19"/>
                <w:szCs w:val="19"/>
              </w:rPr>
              <w:t>ervices à chaque préparation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ADBE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Chaîne d'intégration continue déclenchée par la publication</w:t>
            </w:r>
          </w:p>
        </w:tc>
      </w:tr>
      <w:tr w:rsidR="00CA0AA5" w14:paraId="3F837CEC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3B68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Stockage objet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2E0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Contenu des messages en base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CBBF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Extension à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wfe.message_content</w:t>
            </w:r>
            <w:r>
              <w:rPr>
                <w:sz w:val="19"/>
                <w:szCs w:val="19"/>
              </w:rPr>
              <w:t xml:space="preserve"> au-delà d'un seuil</w:t>
            </w:r>
          </w:p>
        </w:tc>
      </w:tr>
      <w:tr w:rsidR="00CA0AA5" w14:paraId="079EC6A8" w14:textId="77777777">
        <w:tc>
          <w:tcPr>
            <w:tcW w:w="21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382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Partitions de messages</w:t>
            </w:r>
          </w:p>
        </w:tc>
        <w:tc>
          <w:tcPr>
            <w:tcW w:w="3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43B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Partition par défaut</w:t>
            </w:r>
          </w:p>
        </w:tc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42E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Création automatique et ar</w:t>
            </w:r>
            <w:r>
              <w:rPr>
                <w:sz w:val="19"/>
                <w:szCs w:val="19"/>
              </w:rPr>
              <w:t>chivage</w:t>
            </w:r>
          </w:p>
        </w:tc>
      </w:tr>
    </w:tbl>
    <w:p w14:paraId="7137BE9F" w14:textId="77777777" w:rsidR="00CA0AA5" w:rsidRDefault="002E1DA5">
      <w:pPr>
        <w:pStyle w:val="Titre1"/>
        <w:pageBreakBefore/>
      </w:pPr>
      <w:bookmarkStart w:id="60" w:name="_Toc243054683"/>
      <w:r>
        <w:lastRenderedPageBreak/>
        <w:t>Annexe A — Index des API</w:t>
      </w:r>
      <w:bookmarkEnd w:id="60"/>
    </w:p>
    <w:p w14:paraId="0298BE52" w14:textId="77777777" w:rsidR="00CA0AA5" w:rsidRDefault="002E1DA5">
      <w:pPr>
        <w:spacing w:after="120" w:line="276" w:lineRule="auto"/>
        <w:jc w:val="both"/>
      </w:pPr>
      <w:r>
        <w:t xml:space="preserve">Toutes les routes sont préfixées par </w:t>
      </w:r>
      <w:r>
        <w:rPr>
          <w:rFonts w:ascii="Consolas" w:eastAsia="Consolas" w:hAnsi="Consolas" w:cs="Consolas"/>
          <w:color w:val="7A2E0E"/>
          <w:sz w:val="19"/>
          <w:szCs w:val="19"/>
        </w:rPr>
        <w:t>/api/v1</w:t>
      </w:r>
      <w:r>
        <w:t xml:space="preserve"> sauf mention contraire.</w:t>
      </w:r>
    </w:p>
    <w:p w14:paraId="38C9FA46" w14:textId="77777777" w:rsidR="00CA0AA5" w:rsidRDefault="002E1DA5">
      <w:pPr>
        <w:pStyle w:val="Titre2"/>
      </w:pPr>
      <w:bookmarkStart w:id="61" w:name="_Toc243054684"/>
      <w:r>
        <w:t>procedures</w:t>
      </w:r>
      <w:bookmarkEnd w:id="61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8"/>
        <w:gridCol w:w="5833"/>
        <w:gridCol w:w="2537"/>
      </w:tblGrid>
      <w:tr w:rsidR="00CA0AA5" w14:paraId="521D5D5E" w14:textId="77777777">
        <w:trPr>
          <w:tblHeader/>
        </w:trPr>
        <w:tc>
          <w:tcPr>
            <w:tcW w:w="12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28E6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583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C564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53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54BE5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Droit</w:t>
            </w:r>
          </w:p>
        </w:tc>
      </w:tr>
      <w:tr w:rsidR="00CA0AA5" w14:paraId="24D2E9F2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BC6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CDA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/dashboard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/procedures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/procedures/{code}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/versions/{id}/checks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/versions/{id}/journal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9B7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</w:p>
        </w:tc>
      </w:tr>
      <w:tr w:rsidR="00CA0AA5" w14:paraId="6887536C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B31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POST / PUT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89D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/procedures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/procedures/{code}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/procedures/{code}/versions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/versions/{id}/parts/{partie}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7F88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procedures.modeliser</w:t>
            </w:r>
            <w:r>
              <w:rPr>
                <w:sz w:val="19"/>
                <w:szCs w:val="19"/>
              </w:rPr>
              <w:t xml:space="preserve"> (rendu : administrateur)</w:t>
            </w:r>
          </w:p>
        </w:tc>
      </w:tr>
      <w:tr w:rsidR="00CA0AA5" w14:paraId="7D919921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4F8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6442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/versions/{id}/bpmn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/package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/angular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0CD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</w:p>
        </w:tc>
      </w:tr>
      <w:tr w:rsidR="00CA0AA5" w14:paraId="77C0198E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C8A3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2F6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/angular/{code}/{versionNo}</w:t>
            </w:r>
            <w:r>
              <w:rPr>
                <w:sz w:val="19"/>
                <w:szCs w:val="19"/>
              </w:rPr>
              <w:t xml:space="preserve"> (version publiée en rendu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GENERE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4AD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</w:p>
        </w:tc>
      </w:tr>
      <w:tr w:rsidR="00CA0AA5" w14:paraId="45D72881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5BA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64F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/versions/{id}/rules/test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/rules/compile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/rules/approve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D551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modeliser · lire · approuver</w:t>
            </w:r>
          </w:p>
        </w:tc>
      </w:tr>
      <w:tr w:rsidR="00CA0AA5" w14:paraId="16E3FE22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B71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486A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/versions/{id}/agents/{code}/run</w:t>
            </w:r>
            <w:r>
              <w:rPr>
                <w:sz w:val="19"/>
                <w:szCs w:val="19"/>
              </w:rPr>
              <w:t xml:space="preserve"> (JSON ou multipart)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F5A8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dures.modeliser</w:t>
            </w:r>
          </w:p>
        </w:tc>
      </w:tr>
      <w:tr w:rsidR="00CA0AA5" w14:paraId="055C16CA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187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 · POST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982D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/versions/{id}/proposals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/runs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/agents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/proposals/{id}/review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/versions/{id}/proposals/accept-all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3E09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lire · modeliser</w:t>
            </w:r>
          </w:p>
        </w:tc>
      </w:tr>
      <w:tr w:rsidR="00CA0AA5" w14:paraId="18722E1B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3089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68F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/versions/{id}/submit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/reject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/approve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/publish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/retire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D3B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modeliser · approuver · publier</w:t>
            </w:r>
          </w:p>
        </w:tc>
      </w:tr>
      <w:tr w:rsidR="00CA0AA5" w14:paraId="4383F6D6" w14:textId="77777777">
        <w:tc>
          <w:tcPr>
            <w:tcW w:w="12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7E7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4D349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/published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/published/{code}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/terminology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/rdm/…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/journal</w:t>
            </w:r>
          </w:p>
        </w:tc>
        <w:tc>
          <w:tcPr>
            <w:tcW w:w="25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68D1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procedures.lire</w:t>
            </w:r>
          </w:p>
        </w:tc>
      </w:tr>
    </w:tbl>
    <w:p w14:paraId="38A15293" w14:textId="77777777" w:rsidR="00CA0AA5" w:rsidRDefault="002E1DA5">
      <w:pPr>
        <w:pStyle w:val="Titre2"/>
      </w:pPr>
      <w:bookmarkStart w:id="62" w:name="_Toc243054685"/>
      <w:r>
        <w:t>eservices</w:t>
      </w:r>
      <w:bookmarkEnd w:id="62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27"/>
        <w:gridCol w:w="5757"/>
        <w:gridCol w:w="2254"/>
      </w:tblGrid>
      <w:tr w:rsidR="00CA0AA5" w14:paraId="5121489F" w14:textId="77777777">
        <w:trPr>
          <w:tblHeader/>
        </w:trPr>
        <w:tc>
          <w:tcPr>
            <w:tcW w:w="162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9B49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575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F6BD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25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ABD8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Usage</w:t>
            </w:r>
          </w:p>
        </w:tc>
      </w:tr>
      <w:tr w:rsidR="00CA0AA5" w14:paraId="2CE87ADF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DCB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5A54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/catalog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/catalog/{code}/form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/catalog/{code}/titles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/lookup/{table}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406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Catalogue et formulaire</w:t>
            </w:r>
          </w:p>
        </w:tc>
      </w:tr>
      <w:tr w:rsidR="00CA0AA5" w14:paraId="5A07449A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937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 / POST / PUT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A0B0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/dossiers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/dossiers/{id}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/dossiers/{id}/data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/dossiers/{id}/submit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530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Dossiers</w:t>
            </w:r>
          </w:p>
        </w:tc>
      </w:tr>
      <w:tr w:rsidR="00CA0AA5" w14:paraId="18C4B0A8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BAF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POST / GET / DELETE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423E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/dossiers/{id}/attachments[/{piece}]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F3F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Pièces (MinIO ou base)</w:t>
            </w:r>
          </w:p>
        </w:tc>
      </w:tr>
      <w:tr w:rsidR="00CA0AA5" w14:paraId="2848700F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EEC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28A7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/payment-notices/{numero}[/pay]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/tasks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/tasks/{id}/complete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58C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e-PAYMENT, e-GOV</w:t>
            </w:r>
          </w:p>
        </w:tc>
      </w:tr>
      <w:tr w:rsidR="00CA0AA5" w14:paraId="04490AC0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B7E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0B8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/messages/{id}[/content]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/messages/inbound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437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Messages</w:t>
            </w:r>
          </w:p>
        </w:tc>
      </w:tr>
      <w:tr w:rsidR="00CA0AA5" w14:paraId="28A16198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104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A49F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/documents/{numero}/pdf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/public/verify/{numero}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5B6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Livrables</w:t>
            </w:r>
          </w:p>
        </w:tc>
      </w:tr>
      <w:tr w:rsidR="00CA0AA5" w14:paraId="3B4F67D9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9D76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8E2A2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/admin/published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/admin/deployments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/admin/code-lists[/refresh]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/admin/units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/admin/locations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/admin/members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/admin/incidents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B296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Administration</w:t>
            </w:r>
          </w:p>
        </w:tc>
      </w:tr>
      <w:tr w:rsidR="00CA0AA5" w14:paraId="58F5C759" w14:textId="77777777">
        <w:tc>
          <w:tcPr>
            <w:tcW w:w="16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C21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GET / POST</w:t>
            </w:r>
          </w:p>
        </w:tc>
        <w:tc>
          <w:tcPr>
            <w:tcW w:w="57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4A38" w14:textId="77777777" w:rsidR="00CA0AA5" w:rsidRDefault="002E1DA5">
            <w:pPr>
              <w:spacing w:line="252" w:lineRule="auto"/>
            </w:pP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/admin/generated-forms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/admin/storage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/admin/storage/migrate</w:t>
            </w:r>
          </w:p>
        </w:tc>
        <w:tc>
          <w:tcPr>
            <w:tcW w:w="225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1A0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Formulaires générés, stockage</w:t>
            </w:r>
          </w:p>
        </w:tc>
      </w:tr>
    </w:tbl>
    <w:p w14:paraId="67ED99BD" w14:textId="77777777" w:rsidR="00CA0AA5" w:rsidRDefault="002E1DA5">
      <w:pPr>
        <w:pStyle w:val="Titre2"/>
      </w:pPr>
      <w:bookmarkStart w:id="63" w:name="_Toc243054686"/>
      <w:r>
        <w:lastRenderedPageBreak/>
        <w:t>registration et auth</w:t>
      </w:r>
      <w:bookmarkEnd w:id="63"/>
    </w:p>
    <w:p w14:paraId="212FE3E5" w14:textId="77777777" w:rsidR="00CA0AA5" w:rsidRDefault="002E1DA5">
      <w:pPr>
        <w:spacing w:after="120" w:line="276" w:lineRule="auto"/>
        <w:jc w:val="both"/>
      </w:pPr>
      <w:r>
        <w:t xml:space="preserve">registration : </w:t>
      </w:r>
      <w:r>
        <w:rPr>
          <w:rFonts w:ascii="Consolas" w:eastAsia="Consolas" w:hAnsi="Consolas" w:cs="Consolas"/>
          <w:color w:val="7A2E0E"/>
          <w:sz w:val="19"/>
          <w:szCs w:val="19"/>
        </w:rPr>
        <w:t>/dashboard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/attributes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/me/parties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/parties[/{niu}]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/parties/{niu}/history|users|documents|complete</w:t>
      </w:r>
      <w:r>
        <w:t xml:space="preserve">. auth : </w:t>
      </w:r>
      <w:r>
        <w:rPr>
          <w:rFonts w:ascii="Consolas" w:eastAsia="Consolas" w:hAnsi="Consolas" w:cs="Consolas"/>
          <w:color w:val="7A2E0E"/>
          <w:sz w:val="19"/>
          <w:szCs w:val="19"/>
        </w:rPr>
        <w:t>/sso/authorize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/sso/logout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/.well-known/jwks.json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/.well-known/openid-conf</w:t>
      </w:r>
      <w:r>
        <w:rPr>
          <w:rFonts w:ascii="Consolas" w:eastAsia="Consolas" w:hAnsi="Consolas" w:cs="Consolas"/>
          <w:color w:val="7A2E0E"/>
          <w:sz w:val="19"/>
          <w:szCs w:val="19"/>
        </w:rPr>
        <w:t>iguration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/api/v1/auth/login|logout|password|me|session|config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/api/v1/admin/users|groups|roles|permissions|events</w:t>
      </w:r>
      <w:r>
        <w:t>.</w:t>
      </w:r>
    </w:p>
    <w:p w14:paraId="454681D0" w14:textId="77777777" w:rsidR="00CA0AA5" w:rsidRDefault="002E1DA5">
      <w:pPr>
        <w:pStyle w:val="Titre1"/>
        <w:pageBreakBefore/>
      </w:pPr>
      <w:bookmarkStart w:id="64" w:name="_Toc243054687"/>
      <w:r>
        <w:lastRenderedPageBreak/>
        <w:t>Annexe B — Décisions d'architecture</w:t>
      </w:r>
      <w:bookmarkEnd w:id="64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63"/>
        <w:gridCol w:w="2650"/>
        <w:gridCol w:w="3614"/>
        <w:gridCol w:w="2411"/>
      </w:tblGrid>
      <w:tr w:rsidR="00CA0AA5" w14:paraId="6C6974A4" w14:textId="77777777">
        <w:trPr>
          <w:tblHeader/>
        </w:trPr>
        <w:tc>
          <w:tcPr>
            <w:tcW w:w="96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D630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5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D02C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Décision</w:t>
            </w:r>
          </w:p>
        </w:tc>
        <w:tc>
          <w:tcPr>
            <w:tcW w:w="361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DEE91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Motif</w:t>
            </w:r>
          </w:p>
        </w:tc>
        <w:tc>
          <w:tcPr>
            <w:tcW w:w="241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60E8F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Alternatives écartées</w:t>
            </w:r>
          </w:p>
        </w:tc>
      </w:tr>
      <w:tr w:rsidR="00CA0AA5" w14:paraId="6A3627C1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989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ADR-01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77B35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Operaton</w:t>
            </w:r>
            <w:r>
              <w:rPr>
                <w:sz w:val="19"/>
                <w:szCs w:val="19"/>
              </w:rPr>
              <w:t xml:space="preserve"> comme moteur BPMN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4E4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Camunda 7 Community en fin de vie et incompatible Spring Boot 4 ; fork communautaire, extensions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camunda:</w:t>
            </w:r>
            <w:r>
              <w:rPr>
                <w:sz w:val="19"/>
                <w:szCs w:val="19"/>
              </w:rPr>
              <w:t xml:space="preserve"> identiques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280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Camunda 8 (Zeebe), Flowable</w:t>
            </w:r>
          </w:p>
        </w:tc>
      </w:tr>
      <w:tr w:rsidR="00CA0AA5" w14:paraId="02C1B445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F75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ADR-02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E752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Drools</w:t>
            </w:r>
            <w:r>
              <w:rPr>
                <w:sz w:val="19"/>
                <w:szCs w:val="19"/>
              </w:rPr>
              <w:t xml:space="preserve"> embarqué, DRL compilé à chaud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092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Règles versionnées dans le paquet, banc d'essai identique au Runtime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E319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DMN seul</w:t>
            </w:r>
          </w:p>
        </w:tc>
      </w:tr>
      <w:tr w:rsidR="00CA0AA5" w14:paraId="512FBCBC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6DF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ADR-03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F9D34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Paquet JSON immuable + SHA-256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BEE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Découplage studio / Runtime, reproductibilité, intégrité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F2F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Lecture de la base du studio</w:t>
            </w:r>
          </w:p>
        </w:tc>
      </w:tr>
      <w:tr w:rsidR="00CA0AA5" w14:paraId="727D151D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568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ADR-04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D72C1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Stockage générique + vues métier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48E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Aucune migration de schéma par procédure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AA3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Tables physiques par procédure</w:t>
            </w:r>
          </w:p>
        </w:tc>
      </w:tr>
      <w:tr w:rsidR="00CA0AA5" w14:paraId="4440FAF1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FEC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ADR-05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30D1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Contenu des messages séparé et partitionné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A1A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Tables chaudes légères, purge par partition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595D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Contenu dans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message</w:t>
            </w:r>
          </w:p>
        </w:tc>
      </w:tr>
      <w:tr w:rsidR="00CA0AA5" w14:paraId="1F3290A0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DA1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ADR-06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D629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Agents plafonnés à la proposition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BE0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Responsabilité humaine, auditabilité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27C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Application automatique</w:t>
            </w:r>
          </w:p>
        </w:tc>
      </w:tr>
      <w:tr w:rsidR="00CA0AA5" w14:paraId="50A228AB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1EB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ADR-07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5575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Propagation du jeton utilisateur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1307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Droits vérifiés par chaque service, auteur réel tracé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CF93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Compte technique partagé</w:t>
            </w:r>
          </w:p>
        </w:tc>
      </w:tr>
      <w:tr w:rsidR="00CA0AA5" w14:paraId="5C3792B4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F18F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ADR-08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8457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JdbcClient + SQL explicite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AB18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Maîtri</w:t>
            </w:r>
            <w:r>
              <w:rPr>
                <w:sz w:val="19"/>
                <w:szCs w:val="19"/>
              </w:rPr>
              <w:t>se JSONB / GIN / partitions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838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JPA / Hibernate</w:t>
            </w:r>
          </w:p>
        </w:tc>
      </w:tr>
      <w:tr w:rsidR="00CA0AA5" w14:paraId="43086AEB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FA3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ADR-09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770F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Rendu dynamique par défaut, code généré en option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B5B2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Aucun build par publication ; versions coexistantes ; un seul rendu à maintenir ; code généré disponible pour qui en a besoin, avec repli dynamique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5E0A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Génération systématique de code par procédure</w:t>
            </w:r>
          </w:p>
        </w:tc>
      </w:tr>
      <w:tr w:rsidR="00CA0AA5" w14:paraId="6E73E9C5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83C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ADR-10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2AEF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Stockage objet MinIO facultatif avec repli PostgreSQL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CAC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Allège la base, API S3 standard, souveraineté ; démarrage sans dépendance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C1E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MinIO obligatoire ; système de fichiers local</w:t>
            </w:r>
          </w:p>
        </w:tc>
      </w:tr>
      <w:tr w:rsidR="00CA0AA5" w14:paraId="291A2600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0F4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ADR-11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2A8B3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 xml:space="preserve">Réglages d'affichage dans </w:t>
            </w:r>
            <w:r>
              <w:rPr>
                <w:rFonts w:ascii="Consolas" w:eastAsia="Consolas" w:hAnsi="Consolas" w:cs="Consolas"/>
                <w:b/>
                <w:bCs/>
                <w:color w:val="7A2E0E"/>
                <w:sz w:val="19"/>
                <w:szCs w:val="19"/>
              </w:rPr>
              <w:t>settings.ihm.champs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C4C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Constructeur visuel sans migration ; publiés avec le gabarit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DEE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Colonnes dédiées dans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form_field</w:t>
            </w:r>
          </w:p>
        </w:tc>
      </w:tr>
      <w:tr w:rsidR="00CA0AA5" w14:paraId="1E772335" w14:textId="77777777">
        <w:tc>
          <w:tcPr>
            <w:tcW w:w="96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9EE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ADR-12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A42B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Format de l'échange porté par l'usage dans le flux</w:t>
            </w:r>
          </w:p>
        </w:tc>
        <w:tc>
          <w:tcPr>
            <w:tcW w:w="361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D6C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Un contrat, plusieurs représentations (ex. EDIFACT vers la douane)</w:t>
            </w:r>
          </w:p>
        </w:tc>
        <w:tc>
          <w:tcPr>
            <w:tcW w:w="241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128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Dupliquer le message par format</w:t>
            </w:r>
          </w:p>
        </w:tc>
      </w:tr>
    </w:tbl>
    <w:p w14:paraId="5B8E7162" w14:textId="77777777" w:rsidR="00CA0AA5" w:rsidRDefault="002E1DA5">
      <w:pPr>
        <w:pStyle w:val="Titre1"/>
        <w:pageBreakBefore/>
      </w:pPr>
      <w:bookmarkStart w:id="65" w:name="_Toc243054688"/>
      <w:r>
        <w:lastRenderedPageBreak/>
        <w:t>Annexe C — Migrations de schéma</w:t>
      </w:r>
      <w:bookmarkEnd w:id="65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70"/>
        <w:gridCol w:w="1542"/>
        <w:gridCol w:w="6426"/>
      </w:tblGrid>
      <w:tr w:rsidR="00CA0AA5" w14:paraId="7EE8A801" w14:textId="77777777">
        <w:trPr>
          <w:tblHeader/>
        </w:trPr>
        <w:tc>
          <w:tcPr>
            <w:tcW w:w="167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A13C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4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2C19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Migration</w:t>
            </w:r>
          </w:p>
        </w:tc>
        <w:tc>
          <w:tcPr>
            <w:tcW w:w="6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6A8D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Objet</w:t>
            </w:r>
          </w:p>
        </w:tc>
      </w:tr>
      <w:tr w:rsidR="00CA0AA5" w14:paraId="0E4FA8FB" w14:textId="77777777">
        <w:tc>
          <w:tcPr>
            <w:tcW w:w="1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357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B687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V1 à V4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178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Studio, SCRDM D23B, modèle hébergé, agents (diagrammes, données)</w:t>
            </w:r>
          </w:p>
        </w:tc>
      </w:tr>
      <w:tr w:rsidR="00CA0AA5" w14:paraId="1D33A362" w14:textId="77777777">
        <w:tc>
          <w:tcPr>
            <w:tcW w:w="1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603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2700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B58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Sous-sections, approbation des règles, UNTDED, rôles des parties</w:t>
            </w:r>
          </w:p>
        </w:tc>
      </w:tr>
      <w:tr w:rsidR="00CA0AA5" w14:paraId="3C7CD381" w14:textId="77777777">
        <w:tc>
          <w:tcPr>
            <w:tcW w:w="1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A7F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8B0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V6, V7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3D05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SCRDM complet, couche Buy-Ship-Pay, listes de codes D23B</w:t>
            </w:r>
          </w:p>
        </w:tc>
      </w:tr>
      <w:tr w:rsidR="00CA0AA5" w14:paraId="1D17F3D3" w14:textId="77777777">
        <w:tc>
          <w:tcPr>
            <w:tcW w:w="1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C84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procedures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A336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V8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30C6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Format de l'échange par message de flux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flow_message.content_format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6B9057EF" w14:textId="77777777">
        <w:tc>
          <w:tcPr>
            <w:tcW w:w="1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9B9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B346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V1 à V3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5CB2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Runtime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wfe</w:t>
            </w:r>
            <w:r>
              <w:rPr>
                <w:sz w:val="19"/>
                <w:szCs w:val="19"/>
              </w:rPr>
              <w:t>, vues métier, listes de codes</w:t>
            </w:r>
          </w:p>
        </w:tc>
      </w:tr>
      <w:tr w:rsidR="00CA0AA5" w14:paraId="44883693" w14:textId="77777777">
        <w:tc>
          <w:tcPr>
            <w:tcW w:w="1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A5CD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eservices</w:t>
            </w:r>
          </w:p>
        </w:tc>
        <w:tc>
          <w:tcPr>
            <w:tcW w:w="15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9478" w14:textId="77777777" w:rsidR="00CA0AA5" w:rsidRDefault="002E1DA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V4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919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 xml:space="preserve">Stockage objet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storage_key</w:t>
            </w:r>
            <w:r>
              <w:rPr>
                <w:sz w:val="19"/>
                <w:szCs w:val="19"/>
              </w:rPr>
              <w:t>, contenu f</w:t>
            </w:r>
            <w:r>
              <w:rPr>
                <w:sz w:val="19"/>
                <w:szCs w:val="19"/>
              </w:rPr>
              <w:t>acultatif des pièces et livrables</w:t>
            </w:r>
          </w:p>
        </w:tc>
      </w:tr>
    </w:tbl>
    <w:p w14:paraId="38A28995" w14:textId="77777777" w:rsidR="00CA0AA5" w:rsidRDefault="002E1DA5">
      <w:pPr>
        <w:pBdr>
          <w:left w:val="single" w:sz="18" w:space="8" w:color="1F4E79"/>
        </w:pBdr>
        <w:spacing w:before="60" w:after="160"/>
        <w:ind w:left="200"/>
      </w:pPr>
      <w:r>
        <w:rPr>
          <w:i/>
          <w:iCs/>
          <w:color w:val="595959"/>
        </w:rPr>
        <w:t>Règle : une migration publiée n'est jamais modifiée ; toute évolution fait l'objet d'une nouvelle migration.</w:t>
      </w:r>
    </w:p>
    <w:p w14:paraId="4E84ED59" w14:textId="77777777" w:rsidR="00CA0AA5" w:rsidRDefault="002E1DA5">
      <w:pPr>
        <w:pStyle w:val="Titre1"/>
        <w:pageBreakBefore/>
      </w:pPr>
      <w:bookmarkStart w:id="66" w:name="_Toc243054689"/>
      <w:r>
        <w:lastRenderedPageBreak/>
        <w:t>Annexe D — Glossaire</w:t>
      </w:r>
      <w:bookmarkEnd w:id="66"/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2"/>
        <w:gridCol w:w="7436"/>
      </w:tblGrid>
      <w:tr w:rsidR="00CA0AA5" w14:paraId="27A43B3D" w14:textId="77777777">
        <w:trPr>
          <w:tblHeader/>
        </w:trPr>
        <w:tc>
          <w:tcPr>
            <w:tcW w:w="220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24F77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Terme</w:t>
            </w:r>
          </w:p>
        </w:tc>
        <w:tc>
          <w:tcPr>
            <w:tcW w:w="743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F63CA" w14:textId="77777777" w:rsidR="00CA0AA5" w:rsidRDefault="002E1DA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</w:tr>
      <w:tr w:rsidR="00CA0AA5" w14:paraId="164260C6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5A9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AMM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C4A7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Autorisation de Mise sur le Marché (médicaments)</w:t>
            </w:r>
          </w:p>
        </w:tc>
      </w:tr>
      <w:tr w:rsidR="00CA0AA5" w14:paraId="1EF59306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4AB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BIE / ABIE / BBIE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56E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Business Information Entity (agrégée, de base) du modèle UN/CEFACT</w:t>
            </w:r>
          </w:p>
        </w:tc>
      </w:tr>
      <w:tr w:rsidR="00CA0AA5" w14:paraId="11237F29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6074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BSP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F35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Buy-Ship-Pay : modèle de référence de la chaîne commerciale internationale</w:t>
            </w:r>
          </w:p>
        </w:tc>
      </w:tr>
      <w:tr w:rsidR="00CA0AA5" w14:paraId="4D8CF04D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210BA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CDA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8785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Commissionnaire en Douane Agréé</w:t>
            </w:r>
          </w:p>
        </w:tc>
      </w:tr>
      <w:tr w:rsidR="00CA0AA5" w14:paraId="0CC5EC4B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A63F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CUR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5846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Code Unique de Référence d'un dossier GUCE</w:t>
            </w:r>
          </w:p>
        </w:tc>
      </w:tr>
      <w:tr w:rsidR="00CA0AA5" w14:paraId="5BA4D78D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6B08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DRL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FA049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Drools Rule Language</w:t>
            </w:r>
          </w:p>
        </w:tc>
      </w:tr>
      <w:tr w:rsidR="00CA0AA5" w14:paraId="357F0C81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E1D8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e-Force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0A88E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Formulaire unique des opérations du commerce extérieur (demandeur)</w:t>
            </w:r>
          </w:p>
        </w:tc>
      </w:tr>
      <w:tr w:rsidR="00CA0AA5" w14:paraId="01CC4477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F7E3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e-GOV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E2A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Interface de traitement des administrations</w:t>
            </w:r>
          </w:p>
        </w:tc>
      </w:tr>
      <w:tr w:rsidR="00CA0AA5" w14:paraId="5FCAD30D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3F6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FIMEX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C38C5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Fichier des importateurs et des exportateurs</w:t>
            </w:r>
          </w:p>
        </w:tc>
      </w:tr>
      <w:tr w:rsidR="00CA0AA5" w14:paraId="6023AB74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F92B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GUCE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CF73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Guichet Unique du Commerce Extérieur</w:t>
            </w:r>
          </w:p>
        </w:tc>
      </w:tr>
      <w:tr w:rsidR="00CA0AA5" w14:paraId="7E3B85A4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68C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NIU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AD0C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Numéro d'Identification Unique</w:t>
            </w:r>
          </w:p>
        </w:tc>
      </w:tr>
      <w:tr w:rsidR="00CA0AA5" w14:paraId="1F628109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2CE1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Paquet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A583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Version publiée et figée d'une procédure (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nexora.procedure/1</w:t>
            </w:r>
            <w:r>
              <w:rPr>
                <w:sz w:val="19"/>
                <w:szCs w:val="19"/>
              </w:rPr>
              <w:t>)</w:t>
            </w:r>
          </w:p>
        </w:tc>
      </w:tr>
      <w:tr w:rsidR="00CA0AA5" w14:paraId="69737182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0612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SCRDM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A52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Supply Chain Reference Data Model (UN/CEFACT)</w:t>
            </w:r>
          </w:p>
        </w:tc>
      </w:tr>
      <w:tr w:rsidR="00CA0AA5" w14:paraId="68F96976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670FB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SFD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FE1D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Spécification Fonctionnelle Détaillée</w:t>
            </w:r>
          </w:p>
        </w:tc>
      </w:tr>
      <w:tr w:rsidR="00CA0AA5" w14:paraId="6FE53D1F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FC648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UNTDED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A001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United Nations Trade Data Elements Directory (ISO 7</w:t>
            </w:r>
            <w:r>
              <w:rPr>
                <w:sz w:val="19"/>
                <w:szCs w:val="19"/>
              </w:rPr>
              <w:t>372)</w:t>
            </w:r>
          </w:p>
        </w:tc>
      </w:tr>
      <w:tr w:rsidR="00CA0AA5" w14:paraId="7ABC6AE1" w14:textId="77777777">
        <w:tc>
          <w:tcPr>
            <w:tcW w:w="220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6CAA4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VTP</w:t>
            </w:r>
          </w:p>
        </w:tc>
        <w:tc>
          <w:tcPr>
            <w:tcW w:w="74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8E380" w14:textId="77777777" w:rsidR="00CA0AA5" w:rsidRDefault="002E1DA5">
            <w:pPr>
              <w:spacing w:line="252" w:lineRule="auto"/>
            </w:pPr>
            <w:r>
              <w:rPr>
                <w:sz w:val="19"/>
                <w:szCs w:val="19"/>
              </w:rPr>
              <w:t>Visa Technique Provisoire (MINSANTE)</w:t>
            </w:r>
          </w:p>
        </w:tc>
      </w:tr>
    </w:tbl>
    <w:p w14:paraId="295D4196" w14:textId="77777777" w:rsidR="00000000" w:rsidRDefault="002E1DA5"/>
    <w:sectPr w:rsidR="00000000">
      <w:headerReference w:type="default" r:id="rId16"/>
      <w:footerReference w:type="default" r:id="rId17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DC573" w14:textId="77777777" w:rsidR="00000000" w:rsidRDefault="002E1DA5">
      <w:r>
        <w:separator/>
      </w:r>
    </w:p>
  </w:endnote>
  <w:endnote w:type="continuationSeparator" w:id="0">
    <w:p w14:paraId="1440DDA1" w14:textId="77777777" w:rsidR="00000000" w:rsidRDefault="002E1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9969A8" w14:textId="77777777" w:rsidR="00CA0AA5" w:rsidRDefault="002E1DA5">
    <w:pP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930B06">
      <w:rPr>
        <w:color w:val="595959"/>
        <w:sz w:val="17"/>
        <w:szCs w:val="17"/>
      </w:rPr>
      <w:fldChar w:fldCharType="separate"/>
    </w:r>
    <w:r w:rsidR="00930B06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/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 w:rsidR="00930B06">
      <w:rPr>
        <w:color w:val="595959"/>
        <w:sz w:val="17"/>
        <w:szCs w:val="17"/>
      </w:rPr>
      <w:fldChar w:fldCharType="separate"/>
    </w:r>
    <w:r w:rsidR="00930B06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2F594A" w14:textId="77777777" w:rsidR="00000000" w:rsidRDefault="002E1DA5">
      <w:r>
        <w:separator/>
      </w:r>
    </w:p>
  </w:footnote>
  <w:footnote w:type="continuationSeparator" w:id="0">
    <w:p w14:paraId="40E12CF3" w14:textId="77777777" w:rsidR="00000000" w:rsidRDefault="002E1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7F927A" w14:textId="77777777" w:rsidR="00CA0AA5" w:rsidRDefault="002E1DA5">
    <w:pPr>
      <w:pBdr>
        <w:bottom w:val="single" w:sz="4" w:space="4" w:color="BFBFBF"/>
      </w:pBdr>
      <w:tabs>
        <w:tab w:val="right" w:pos="9638"/>
      </w:tabs>
    </w:pPr>
    <w:r>
      <w:rPr>
        <w:color w:val="595959"/>
        <w:sz w:val="17"/>
        <w:szCs w:val="17"/>
      </w:rPr>
      <w:t>NEXORA — Dossier d'architecture technique</w:t>
    </w:r>
    <w:r>
      <w:rPr>
        <w:color w:val="595959"/>
        <w:sz w:val="17"/>
        <w:szCs w:val="17"/>
      </w:rPr>
      <w:tab/>
      <w:t>Version 2.0 — 16/10/2026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760343"/>
    <w:multiLevelType w:val="hybridMultilevel"/>
    <w:tmpl w:val="BF70A61E"/>
    <w:lvl w:ilvl="0" w:tplc="7040A8B2" w:tentative="1">
      <w:start w:val="1"/>
      <w:numFmt w:val="bullet"/>
      <w:lvlText w:val="●"/>
      <w:lvlJc w:val="left"/>
      <w:pPr>
        <w:ind w:left="720" w:hanging="360"/>
      </w:pPr>
    </w:lvl>
    <w:lvl w:ilvl="1" w:tplc="3334CDE6" w:tentative="1">
      <w:start w:val="1"/>
      <w:numFmt w:val="bullet"/>
      <w:lvlText w:val="○"/>
      <w:lvlJc w:val="left"/>
      <w:pPr>
        <w:ind w:left="1440" w:hanging="360"/>
      </w:pPr>
    </w:lvl>
    <w:lvl w:ilvl="2" w:tplc="72582C72" w:tentative="1">
      <w:start w:val="1"/>
      <w:numFmt w:val="bullet"/>
      <w:lvlText w:val="■"/>
      <w:lvlJc w:val="left"/>
      <w:pPr>
        <w:ind w:left="2160" w:hanging="360"/>
      </w:pPr>
    </w:lvl>
    <w:lvl w:ilvl="3" w:tplc="582C2B50" w:tentative="1">
      <w:start w:val="1"/>
      <w:numFmt w:val="bullet"/>
      <w:lvlText w:val="●"/>
      <w:lvlJc w:val="left"/>
      <w:pPr>
        <w:ind w:left="2880" w:hanging="360"/>
      </w:pPr>
    </w:lvl>
    <w:lvl w:ilvl="4" w:tplc="EFFADD92" w:tentative="1">
      <w:start w:val="1"/>
      <w:numFmt w:val="bullet"/>
      <w:lvlText w:val="○"/>
      <w:lvlJc w:val="left"/>
      <w:pPr>
        <w:ind w:left="3600" w:hanging="360"/>
      </w:pPr>
    </w:lvl>
    <w:lvl w:ilvl="5" w:tplc="E514F592" w:tentative="1">
      <w:start w:val="1"/>
      <w:numFmt w:val="bullet"/>
      <w:lvlText w:val="■"/>
      <w:lvlJc w:val="left"/>
      <w:pPr>
        <w:ind w:left="4320" w:hanging="360"/>
      </w:pPr>
    </w:lvl>
    <w:lvl w:ilvl="6" w:tplc="6CF0B30A" w:tentative="1">
      <w:start w:val="1"/>
      <w:numFmt w:val="bullet"/>
      <w:lvlText w:val="●"/>
      <w:lvlJc w:val="left"/>
      <w:pPr>
        <w:ind w:left="5040" w:hanging="360"/>
      </w:pPr>
    </w:lvl>
    <w:lvl w:ilvl="7" w:tplc="1CB24CC6" w:tentative="1">
      <w:start w:val="1"/>
      <w:numFmt w:val="bullet"/>
      <w:lvlText w:val="●"/>
      <w:lvlJc w:val="left"/>
      <w:pPr>
        <w:ind w:left="5760" w:hanging="360"/>
      </w:pPr>
    </w:lvl>
    <w:lvl w:ilvl="8" w:tplc="D980C6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016BE"/>
    <w:multiLevelType w:val="hybridMultilevel"/>
    <w:tmpl w:val="3E62C75C"/>
    <w:lvl w:ilvl="0" w:tplc="86A4CEA0">
      <w:start w:val="1"/>
      <w:numFmt w:val="decimal"/>
      <w:lvlText w:val="%1."/>
      <w:lvlJc w:val="left"/>
      <w:pPr>
        <w:ind w:left="500" w:hanging="300"/>
      </w:pPr>
    </w:lvl>
    <w:lvl w:ilvl="1" w:tplc="52C85BA0">
      <w:numFmt w:val="decimal"/>
      <w:lvlText w:val=""/>
      <w:lvlJc w:val="left"/>
    </w:lvl>
    <w:lvl w:ilvl="2" w:tplc="8AD6C538">
      <w:numFmt w:val="decimal"/>
      <w:lvlText w:val=""/>
      <w:lvlJc w:val="left"/>
    </w:lvl>
    <w:lvl w:ilvl="3" w:tplc="B1AA3E3E">
      <w:numFmt w:val="decimal"/>
      <w:lvlText w:val=""/>
      <w:lvlJc w:val="left"/>
    </w:lvl>
    <w:lvl w:ilvl="4" w:tplc="39D4F1CA">
      <w:numFmt w:val="decimal"/>
      <w:lvlText w:val=""/>
      <w:lvlJc w:val="left"/>
    </w:lvl>
    <w:lvl w:ilvl="5" w:tplc="956CBE02">
      <w:numFmt w:val="decimal"/>
      <w:lvlText w:val=""/>
      <w:lvlJc w:val="left"/>
    </w:lvl>
    <w:lvl w:ilvl="6" w:tplc="D7E2739E">
      <w:numFmt w:val="decimal"/>
      <w:lvlText w:val=""/>
      <w:lvlJc w:val="left"/>
    </w:lvl>
    <w:lvl w:ilvl="7" w:tplc="EBDE67CC">
      <w:numFmt w:val="decimal"/>
      <w:lvlText w:val=""/>
      <w:lvlJc w:val="left"/>
    </w:lvl>
    <w:lvl w:ilvl="8" w:tplc="6DDE436E">
      <w:numFmt w:val="decimal"/>
      <w:lvlText w:val=""/>
      <w:lvlJc w:val="left"/>
    </w:lvl>
  </w:abstractNum>
  <w:abstractNum w:abstractNumId="2" w15:restartNumberingAfterBreak="0">
    <w:nsid w:val="76C9506C"/>
    <w:multiLevelType w:val="hybridMultilevel"/>
    <w:tmpl w:val="F6908BBE"/>
    <w:lvl w:ilvl="0" w:tplc="9936315A">
      <w:start w:val="1"/>
      <w:numFmt w:val="bullet"/>
      <w:lvlText w:val="•"/>
      <w:lvlJc w:val="left"/>
      <w:pPr>
        <w:ind w:left="500" w:hanging="260"/>
      </w:pPr>
    </w:lvl>
    <w:lvl w:ilvl="1" w:tplc="AFD4DBF0">
      <w:start w:val="1"/>
      <w:numFmt w:val="bullet"/>
      <w:lvlText w:val="–"/>
      <w:lvlJc w:val="left"/>
      <w:pPr>
        <w:ind w:left="1000" w:hanging="260"/>
      </w:pPr>
    </w:lvl>
    <w:lvl w:ilvl="2" w:tplc="17D0D2E0">
      <w:numFmt w:val="decimal"/>
      <w:lvlText w:val=""/>
      <w:lvlJc w:val="left"/>
    </w:lvl>
    <w:lvl w:ilvl="3" w:tplc="8A8EE388">
      <w:numFmt w:val="decimal"/>
      <w:lvlText w:val=""/>
      <w:lvlJc w:val="left"/>
    </w:lvl>
    <w:lvl w:ilvl="4" w:tplc="6D5833B4">
      <w:numFmt w:val="decimal"/>
      <w:lvlText w:val=""/>
      <w:lvlJc w:val="left"/>
    </w:lvl>
    <w:lvl w:ilvl="5" w:tplc="FF1C7A6A">
      <w:numFmt w:val="decimal"/>
      <w:lvlText w:val=""/>
      <w:lvlJc w:val="left"/>
    </w:lvl>
    <w:lvl w:ilvl="6" w:tplc="BFDA8C1C">
      <w:numFmt w:val="decimal"/>
      <w:lvlText w:val=""/>
      <w:lvlJc w:val="left"/>
    </w:lvl>
    <w:lvl w:ilvl="7" w:tplc="B0A07C64">
      <w:numFmt w:val="decimal"/>
      <w:lvlText w:val=""/>
      <w:lvlJc w:val="left"/>
    </w:lvl>
    <w:lvl w:ilvl="8" w:tplc="9B4AEE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A5"/>
    <w:rsid w:val="002E1DA5"/>
    <w:rsid w:val="00930B06"/>
    <w:rsid w:val="00CA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5306DD"/>
  <w15:docId w15:val="{E90E69E0-F748-4C02-A78C-5EF5C099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4E79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7"/>
      <w:szCs w:val="27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2F5597"/>
      <w:sz w:val="23"/>
      <w:szCs w:val="23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30B0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30B0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6610</Words>
  <Characters>43494</Characters>
  <Application>Microsoft Office Word</Application>
  <DocSecurity>0</DocSecurity>
  <Lines>1359</Lines>
  <Paragraphs>1113</Paragraphs>
  <ScaleCrop>false</ScaleCrop>
  <Company/>
  <LinksUpToDate>false</LinksUpToDate>
  <CharactersWithSpaces>48991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NEXORA — Dossier d'architecture technique détaillé</dc:title>
  <dc:creator>NEXORA</dc:creator>
  <dc:description>Architecture technique de la plateforme NEXORA, version 2.0</dc:description>
  <cp:lastModifiedBy>Jameleddine  EL KAMEL</cp:lastModifiedBy>
  <cp:revision>3</cp:revision>
  <cp:lastPrinted>2026-10-16T13:50:00Z</cp:lastPrinted>
  <dcterms:created xsi:type="dcterms:W3CDTF">2026-10-16T13:50:00Z</dcterms:created>
  <dcterms:modified xsi:type="dcterms:W3CDTF">2026-10-16T13:50:00Z</dcterms:modified>
</cp:coreProperties>
</file>