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D0543B" w14:textId="77777777" w:rsidR="001255DB" w:rsidRDefault="001255DB">
      <w:pPr>
        <w:spacing w:before="1200"/>
      </w:pPr>
    </w:p>
    <w:p w14:paraId="6C3C521E" w14:textId="77777777" w:rsidR="001255DB" w:rsidRDefault="00000000">
      <w:pPr>
        <w:jc w:val="center"/>
      </w:pPr>
      <w:r>
        <w:rPr>
          <w:rFonts w:ascii="Arial" w:eastAsia="Arial" w:hAnsi="Arial" w:cs="Arial"/>
          <w:b/>
          <w:bCs/>
          <w:sz w:val="40"/>
          <w:szCs w:val="40"/>
          <w:rtl/>
        </w:rPr>
        <w:t>خطة بحثية لأطروحة دكتوراه في الرياضيات التطبيقية</w:t>
      </w:r>
    </w:p>
    <w:p w14:paraId="61273E4F" w14:textId="77777777" w:rsidR="001255DB" w:rsidRDefault="00000000">
      <w:pPr>
        <w:spacing w:before="300" w:after="300"/>
        <w:jc w:val="center"/>
      </w:pPr>
      <w:r>
        <w:rPr>
          <w:rFonts w:ascii="Arial" w:eastAsia="Arial" w:hAnsi="Arial" w:cs="Arial"/>
          <w:b/>
          <w:bCs/>
          <w:sz w:val="30"/>
          <w:szCs w:val="30"/>
          <w:rtl/>
        </w:rPr>
        <w:t>طرق نيوتن الواعية بالبنية الطيفية:</w:t>
      </w:r>
    </w:p>
    <w:p w14:paraId="398E4ED1" w14:textId="77777777" w:rsidR="001255DB" w:rsidRDefault="00000000">
      <w:pPr>
        <w:spacing w:after="600"/>
        <w:jc w:val="center"/>
      </w:pPr>
      <w:r>
        <w:rPr>
          <w:rFonts w:ascii="Arial" w:eastAsia="Arial" w:hAnsi="Arial" w:cs="Arial"/>
          <w:b/>
          <w:bCs/>
          <w:sz w:val="26"/>
          <w:szCs w:val="26"/>
          <w:rtl/>
        </w:rPr>
        <w:t>تحسين التكلفة الحاسوبية عبر فضاءات كريلوف الديناميكية وتصحيح الانحناء السالب</w:t>
      </w:r>
    </w:p>
    <w:p w14:paraId="237273E8" w14:textId="77777777" w:rsidR="001255DB" w:rsidRDefault="00000000">
      <w:pPr>
        <w:bidi w:val="0"/>
        <w:spacing w:before="200" w:after="100"/>
        <w:jc w:val="center"/>
      </w:pPr>
      <w:r>
        <w:rPr>
          <w:rFonts w:ascii="Arial" w:eastAsia="Arial" w:hAnsi="Arial" w:cs="Arial"/>
          <w:i/>
          <w:iCs/>
          <w:sz w:val="22"/>
          <w:szCs w:val="22"/>
        </w:rPr>
        <w:t>Spectrally-Aware Newton Methods:</w:t>
      </w:r>
    </w:p>
    <w:p w14:paraId="78D545CC" w14:textId="77777777" w:rsidR="001255DB" w:rsidRDefault="00000000">
      <w:pPr>
        <w:bidi w:val="0"/>
        <w:spacing w:after="800"/>
        <w:jc w:val="center"/>
      </w:pPr>
      <w:r>
        <w:rPr>
          <w:rFonts w:ascii="Arial" w:eastAsia="Arial" w:hAnsi="Arial" w:cs="Arial"/>
          <w:i/>
          <w:iCs/>
          <w:sz w:val="22"/>
          <w:szCs w:val="22"/>
        </w:rPr>
        <w:t>Reducing Computational Cost via Dynamic Krylov Subspaces and Negative-Curvature Correction</w:t>
      </w:r>
    </w:p>
    <w:p w14:paraId="28E39DFE" w14:textId="77777777" w:rsidR="001255DB" w:rsidRDefault="00000000">
      <w:pPr>
        <w:spacing w:before="1200"/>
        <w:jc w:val="center"/>
      </w:pPr>
      <w:r>
        <w:rPr>
          <w:rFonts w:ascii="Arial" w:eastAsia="Arial" w:hAnsi="Arial" w:cs="Arial"/>
          <w:sz w:val="22"/>
          <w:szCs w:val="22"/>
          <w:rtl/>
        </w:rPr>
        <w:t>وثيقة مقترح بحثي (Research Proposal)</w:t>
      </w:r>
    </w:p>
    <w:p w14:paraId="3F30EEEB" w14:textId="77777777" w:rsidR="001255DB" w:rsidRDefault="00000000">
      <w:pPr>
        <w:spacing w:before="200"/>
        <w:jc w:val="center"/>
      </w:pPr>
      <w:r>
        <w:rPr>
          <w:rFonts w:ascii="Arial" w:eastAsia="Arial" w:hAnsi="Arial" w:cs="Arial"/>
          <w:sz w:val="22"/>
          <w:szCs w:val="22"/>
          <w:rtl/>
        </w:rPr>
        <w:t>التخصص: التحسين العددي والرياضيات الحاسوبية</w:t>
      </w:r>
    </w:p>
    <w:p w14:paraId="534A7873" w14:textId="77777777" w:rsidR="001255DB" w:rsidRDefault="00000000">
      <w:pPr>
        <w:spacing w:before="100"/>
        <w:jc w:val="center"/>
      </w:pPr>
      <w:r>
        <w:rPr>
          <w:rFonts w:ascii="Arial" w:eastAsia="Arial" w:hAnsi="Arial" w:cs="Arial"/>
          <w:sz w:val="22"/>
          <w:szCs w:val="22"/>
          <w:rtl/>
        </w:rPr>
        <w:t>سبتمبر 2026</w:t>
      </w:r>
    </w:p>
    <w:p w14:paraId="6AFBADC4" w14:textId="77777777" w:rsidR="001255DB" w:rsidRDefault="00000000">
      <w:r>
        <w:br w:type="page"/>
      </w:r>
    </w:p>
    <w:p w14:paraId="544617D0" w14:textId="77777777" w:rsidR="001255DB" w:rsidRDefault="00000000">
      <w:pPr>
        <w:pStyle w:val="1"/>
        <w:bidi/>
        <w:spacing w:before="400" w:after="200"/>
        <w:jc w:val="right"/>
      </w:pPr>
      <w:r>
        <w:rPr>
          <w:rFonts w:ascii="Arial" w:eastAsia="Arial" w:hAnsi="Arial" w:cs="Arial"/>
          <w:b/>
          <w:bCs/>
          <w:sz w:val="30"/>
          <w:szCs w:val="30"/>
          <w:rtl/>
        </w:rPr>
        <w:lastRenderedPageBreak/>
        <w:t>ملخص تنفيذي (Abstract)</w:t>
      </w:r>
    </w:p>
    <w:p w14:paraId="200C57B6" w14:textId="77777777" w:rsidR="001255DB" w:rsidRDefault="00000000">
      <w:pPr>
        <w:spacing w:after="200" w:line="300" w:lineRule="auto"/>
        <w:jc w:val="both"/>
      </w:pPr>
      <w:r>
        <w:rPr>
          <w:rFonts w:ascii="Arial" w:eastAsia="Arial" w:hAnsi="Arial" w:cs="Arial"/>
          <w:sz w:val="22"/>
          <w:szCs w:val="22"/>
          <w:rtl/>
        </w:rPr>
        <w:t>تقترح هذه الخطة البحثية مسارًا لأطروحة دكتوراه في التحسين العددي، يهدف إلى تطوير جيل جديد من طرق نيوتن التي تحافظ على معدل التقارب التربيعي المحلي المميز لطريقة نيوتن، مع خفض جذري في التكلفة الحاسوبية والتخزينية اللازمة للتعامل مع مصفوفة الهيسيان، وذلك عبر ثلاث ركائز متكاملة: (1) بناء فضاءات كريلوف (Krylov) ديناميكية الأبعاد مرتبطة رياضيًا بمقياس محسوب لمدى قرب التكرار الحالي من الحل، (2) تصحيح الانحناء السالب لتفادي نقاط السرج عبر تعميم طريقة نيوتن الخالية من السرج (Saddle-Free Newton) إلى الإطار التكعيبي المنظّم (Cubic-Regularized)، (3) تحليل نظري صارم يربط حجم الفضاء الجزئي المطلوب بعدد الاشتراط المحلي للمسألة عبر حدود متأتية من نظرية تقارب Conjugate Gradient وتقريب متعددات حدود تشيبيشيف.</w:t>
      </w:r>
    </w:p>
    <w:p w14:paraId="148DB018" w14:textId="77777777" w:rsidR="001255DB" w:rsidRDefault="00000000">
      <w:pPr>
        <w:spacing w:after="200" w:line="300" w:lineRule="auto"/>
        <w:jc w:val="both"/>
      </w:pPr>
      <w:r>
        <w:rPr>
          <w:rFonts w:ascii="Arial" w:eastAsia="Arial" w:hAnsi="Arial" w:cs="Arial"/>
          <w:sz w:val="22"/>
          <w:szCs w:val="22"/>
          <w:rtl/>
        </w:rPr>
        <w:t>تُظهر المراجعة الشاملة للأدبيات الحديثة (2019–2026) أن كل ركيزة من هذه الركائز عولجت سابقًا بمعزل عن الأخريات: فطريقة Krylov Cubic Regularized Newton (Jiang et al., 2024) حققت معدل تقارب مستقلاً عن البعد لكنها اقتصرت على الحالة المحدبة وباستخدام بعد ثابت m لا يتغير مع التكرار؛ وطريقة Stochastic Subspace Cubic Newton (SSCN) بنسختها غير المحدبة (Zhao, Lucchi &amp; Doikov, 2025) قدّمت جدولة تكيفية لحجم العينة تضمن الوصول لنقطة ثابتة من الرتبة الثانية، لكنها تعتمد على أخذ عينات عشوائية من الإحداثيات لا فضاء كريلوف الموجَّه طيفيًا؛ أما طريقة Saddle-Free Newton الأصلية (Dauphin et al., 2014) فاستخدمت فضاء كريلوف ثابت الحجم لتصحيح الانحناء السالب دون أي ضمان تقارب عالمي مثبت. هذه الفجوة الثلاثية — الجمع بين فضاء كريلوف موجَّه طيفيًا، وتصحيح انحناء سالب صريح، وجدولة ديناميكية للبعد مبنية على تحليل تقارب صريح — هي محور مساهمة هذه الأطروحة.</w:t>
      </w:r>
    </w:p>
    <w:p w14:paraId="1AA94D6E" w14:textId="77777777" w:rsidR="001255DB" w:rsidRDefault="00000000">
      <w:pPr>
        <w:spacing w:after="200" w:line="300" w:lineRule="auto"/>
        <w:jc w:val="both"/>
      </w:pPr>
      <w:r>
        <w:rPr>
          <w:rFonts w:ascii="Arial" w:eastAsia="Arial" w:hAnsi="Arial" w:cs="Arial"/>
          <w:sz w:val="22"/>
          <w:szCs w:val="22"/>
          <w:rtl/>
        </w:rPr>
        <w:t>تقدم الخطة عشر أفكار تحسينية مترابطة وست خوارزميات بحثية مقترحة، تُبنى تدريجيًا بدءًا من خوارزمية أساسية (DA-SFCN) تُثبت لها معدلات تقارب عالمية ومحلية صريحة، وصولًا إلى امتدادات عشوائية (لبيانات التعلم الآلي)، وموزّعة (للتعلم الفيدرالي)، وهجينة (مع طرق شبه-نيوتن).</w:t>
      </w:r>
    </w:p>
    <w:p w14:paraId="6C0C3E17" w14:textId="77777777" w:rsidR="001255DB" w:rsidRDefault="00000000">
      <w:pPr>
        <w:pStyle w:val="1"/>
        <w:bidi/>
        <w:spacing w:before="400" w:after="200"/>
        <w:jc w:val="right"/>
      </w:pPr>
      <w:r>
        <w:rPr>
          <w:rFonts w:ascii="Arial" w:eastAsia="Arial" w:hAnsi="Arial" w:cs="Arial"/>
          <w:b/>
          <w:bCs/>
          <w:sz w:val="30"/>
          <w:szCs w:val="30"/>
          <w:rtl/>
        </w:rPr>
        <w:t>1. المقدمة والدافع البحثي</w:t>
      </w:r>
    </w:p>
    <w:p w14:paraId="2CB6DCFC" w14:textId="77777777" w:rsidR="001255DB" w:rsidRDefault="00000000">
      <w:pPr>
        <w:spacing w:after="200" w:line="300" w:lineRule="auto"/>
        <w:jc w:val="both"/>
      </w:pPr>
      <w:r>
        <w:rPr>
          <w:rFonts w:ascii="Arial" w:eastAsia="Arial" w:hAnsi="Arial" w:cs="Arial"/>
          <w:sz w:val="22"/>
          <w:szCs w:val="22"/>
          <w:rtl/>
        </w:rPr>
        <w:t>تُعد طريقة نيوتن حجر الزاوية في التحسين العددي من الرتبة الثانية، إذ تحقق تقاربًا تربيعيًا محليًا يفوق بمراتب معدلات التقارب الخطية أو دون الخطية لطرق الرتبة الأولى. غير أن هذه الميزة النظرية تصطدم بعقبتين حاسوبيتين جوهريتين حالتا دون انتشارها في المسائل عالية الأبعاد التي تهيمن على تطبيقات التعلّم الآلي الحديثة:</w:t>
      </w:r>
    </w:p>
    <w:p w14:paraId="7E488749" w14:textId="77777777" w:rsidR="001255DB" w:rsidRDefault="00000000">
      <w:pPr>
        <w:pStyle w:val="a4"/>
        <w:numPr>
          <w:ilvl w:val="0"/>
          <w:numId w:val="1"/>
        </w:numPr>
        <w:bidi/>
        <w:spacing w:after="120" w:line="300" w:lineRule="auto"/>
        <w:jc w:val="right"/>
      </w:pPr>
      <w:r>
        <w:rPr>
          <w:rFonts w:ascii="Arial" w:eastAsia="Arial" w:hAnsi="Arial" w:cs="Arial"/>
          <w:sz w:val="22"/>
          <w:szCs w:val="22"/>
          <w:rtl/>
        </w:rPr>
        <w:t>التكلفة التربيعية إلى التكعيبية: بناء مصفوفة الهيسيان الكاملة H_k ∈ ℝ^(n×n) يتطلب O(n²) من الذاكرة، وحل معادلة نيوتن H_k s_k = −∇f(x_k) يتطلب O(n³) عملية حسابية عبر التحليل المباشر — تكلفة غير محتملة عندما n يقاس بالملايين كما في نماذج التعلم العميق الحديثة.</w:t>
      </w:r>
    </w:p>
    <w:p w14:paraId="3F7AF042" w14:textId="77777777" w:rsidR="001255DB" w:rsidRDefault="00000000">
      <w:pPr>
        <w:pStyle w:val="a4"/>
        <w:numPr>
          <w:ilvl w:val="0"/>
          <w:numId w:val="1"/>
        </w:numPr>
        <w:bidi/>
        <w:spacing w:after="120" w:line="300" w:lineRule="auto"/>
        <w:jc w:val="right"/>
      </w:pPr>
      <w:r>
        <w:rPr>
          <w:rFonts w:ascii="Arial" w:eastAsia="Arial" w:hAnsi="Arial" w:cs="Arial"/>
          <w:sz w:val="22"/>
          <w:szCs w:val="22"/>
          <w:rtl/>
        </w:rPr>
        <w:t>مشكلة نقاط السرج: في المسائل غير المحدبة، يهيمن عدد نقاط السرج (saddle points) على عدد الدنيا المحلية هيمنة كاسحة كلما زاد البعد (Dauphin et al., 2014)، وطريقة نيوتن الكلاسيكية تنجذب نحوها بدل تجاوزها، لأنها تعامل اتجاهات الانحناء السالب والموجب بالتساوي عبر معكوس الهيسيان.</w:t>
      </w:r>
    </w:p>
    <w:p w14:paraId="6A5FEDD0" w14:textId="77777777" w:rsidR="001255DB" w:rsidRDefault="00000000">
      <w:pPr>
        <w:spacing w:after="200" w:line="300" w:lineRule="auto"/>
        <w:jc w:val="both"/>
      </w:pPr>
      <w:r>
        <w:rPr>
          <w:rFonts w:ascii="Arial" w:eastAsia="Arial" w:hAnsi="Arial" w:cs="Arial"/>
          <w:sz w:val="22"/>
          <w:szCs w:val="22"/>
          <w:rtl/>
        </w:rPr>
        <w:t>الأدبيات الحديثة عالجت كل عقبة على حدة عبر ثلاثة مسارات متوازية: التنظيم التكعيبي (cubic regularization) لضمان التقارب العالمي حتى في غياب التحدب؛ الطرق المُقيَّدة بفضاء جزئي (subspace methods) لخفض كلفة حل المعادلة الخطية من O(n³) إلى O(m³) حيث m≪n؛ وتصحيح الانحناء السالب (saddle-free correction) لضمان الهروب الفعّال من نقاط السرج. لكن كما توضح المراجعة التالية، لم يجتمع هذا المثلث الثلاثي — فضاء موجَّه طيفيًا + تصحيح سرج + جدولة ديناميكية مثبتة نظريًا — في إطار واحد حتى تاريخ إعداد هذه الخطة (سبتمبر 2026)، وهذا بالضبط ما تستهدفه الأطروحة المقترحة.</w:t>
      </w:r>
    </w:p>
    <w:p w14:paraId="7D333C98" w14:textId="77777777" w:rsidR="001255DB" w:rsidRDefault="00000000">
      <w:pPr>
        <w:spacing w:after="200" w:line="300" w:lineRule="auto"/>
        <w:jc w:val="both"/>
      </w:pPr>
      <w:r>
        <w:rPr>
          <w:rFonts w:ascii="Arial" w:eastAsia="Arial" w:hAnsi="Arial" w:cs="Arial"/>
          <w:sz w:val="22"/>
          <w:szCs w:val="22"/>
          <w:rtl/>
        </w:rPr>
        <w:t xml:space="preserve">الأهمية العملية لهذا البحث تتجاوز الفضول النظري: مع تصاعد كلفة تدريب النماذج الضخمة (LLMs)، يتزايد الاهتمام بمُحسِّنات من الرتبة الثانية رخيصة نسبيًا مثل Sophia (Liu et al., 2023) وShampoo/Muon (Gupta et al., 2018; Jordan et </w:t>
      </w:r>
      <w:r>
        <w:rPr>
          <w:rFonts w:ascii="Arial" w:eastAsia="Arial" w:hAnsi="Arial" w:cs="Arial"/>
          <w:sz w:val="22"/>
          <w:szCs w:val="22"/>
          <w:rtl/>
        </w:rPr>
        <w:lastRenderedPageBreak/>
        <w:t>al., 2024) التي تستخدم تقريبات مبسطة (قطرية أو منخفضة الرتبة) للهيسيان. إطار العمل المقترح هنا يقدّم بديلًا أكثر دقة رياضيًا — فضاء كريلوف الحقيقي بدل تقريب قطري — مع ضمانات تقارب صريحة قد تنافس هذه الطرق العملية في السرعة مع تفوقها في الدقة النظرية.</w:t>
      </w:r>
    </w:p>
    <w:p w14:paraId="31A892F9" w14:textId="77777777" w:rsidR="001255DB" w:rsidRDefault="00000000">
      <w:pPr>
        <w:pStyle w:val="1"/>
        <w:bidi/>
        <w:spacing w:before="400" w:after="200"/>
        <w:jc w:val="right"/>
      </w:pPr>
      <w:r>
        <w:rPr>
          <w:rFonts w:ascii="Arial" w:eastAsia="Arial" w:hAnsi="Arial" w:cs="Arial"/>
          <w:b/>
          <w:bCs/>
          <w:sz w:val="30"/>
          <w:szCs w:val="30"/>
          <w:rtl/>
        </w:rPr>
        <w:t>2. مراجعة شاملة للأدبيات الحديثة (2019–2026)</w:t>
      </w:r>
    </w:p>
    <w:p w14:paraId="2B1B28C2" w14:textId="77777777" w:rsidR="001255DB" w:rsidRDefault="00000000">
      <w:pPr>
        <w:spacing w:after="200" w:line="300" w:lineRule="auto"/>
        <w:jc w:val="both"/>
      </w:pPr>
      <w:r>
        <w:rPr>
          <w:rFonts w:ascii="Arial" w:eastAsia="Arial" w:hAnsi="Arial" w:cs="Arial"/>
          <w:sz w:val="22"/>
          <w:szCs w:val="22"/>
          <w:rtl/>
        </w:rPr>
        <w:t>رُوجعت الأدبيات بشكل منهجي عبر البحث في المصادر المتاحة حتى سبتمبر 2026، مغطيةً تسعة محاور فرعية متكاملة. الهدف من هذه المراجعة ليس سردًا تاريخيًا فحسب، بل تحديد بدقة أين تنتهي كل مساهمة سابقة وأين تبدأ الفجوة التي تستهدفها هذه الأطروحة.</w:t>
      </w:r>
    </w:p>
    <w:p w14:paraId="4BF76D32" w14:textId="77777777" w:rsidR="001255DB" w:rsidRDefault="00000000">
      <w:pPr>
        <w:pStyle w:val="2"/>
        <w:bidi/>
        <w:spacing w:before="300" w:after="150"/>
        <w:jc w:val="right"/>
      </w:pPr>
      <w:r>
        <w:rPr>
          <w:rFonts w:ascii="Arial" w:eastAsia="Arial" w:hAnsi="Arial" w:cs="Arial"/>
          <w:b/>
          <w:bCs/>
          <w:rtl/>
        </w:rPr>
        <w:t>2.1 المشكلة الكلاسيكية وطرق نيوتن غير الدقيقة</w:t>
      </w:r>
    </w:p>
    <w:p w14:paraId="6E250562" w14:textId="77777777" w:rsidR="001255DB" w:rsidRDefault="00000000">
      <w:pPr>
        <w:spacing w:after="200" w:line="300" w:lineRule="auto"/>
        <w:jc w:val="both"/>
      </w:pPr>
      <w:r>
        <w:rPr>
          <w:rFonts w:ascii="Arial" w:eastAsia="Arial" w:hAnsi="Arial" w:cs="Arial"/>
          <w:sz w:val="22"/>
          <w:szCs w:val="22"/>
          <w:rtl/>
        </w:rPr>
        <w:t>الأساس النظري لطرق نيوتن غير الدقيقة (Inexact Newton) يعود إلى عمل Dembo, Eisenstat &amp; Steihaug (1982)، الذي أثبت أنه يمكن حل معادلة نيوتن تقريبيًا عبر تكرارات Conjugate Gradient (CG) مع الحفاظ على معدل التقارب الفائق الخطي (superlinear) أو حتى التربيعي، شريطة أن تتناقص دقة الحل التقريبي (متتالية الإكراه η_k) بمعدل مناسب مرتبط بمعيار التدرّج. طوّر Eisenstat &amp; Walker (1996) صيغًا عملية لهذه المتتالية لا تتطلب معرفة مسبقة بثوابت ليبشتز. هذا الإطار يبقى حجر الأساس الذي تُبنى عليه كل الطرق الحديثة القائمة على فضاء كريلوف، إذ إن حل معادلة نيوتن عبر Lanczos/CG هو حالة خاصة من نيوتن غير الدقيق.</w:t>
      </w:r>
    </w:p>
    <w:p w14:paraId="1D4C61DC" w14:textId="77777777" w:rsidR="001255DB" w:rsidRDefault="00000000">
      <w:pPr>
        <w:pStyle w:val="2"/>
        <w:bidi/>
        <w:spacing w:before="300" w:after="150"/>
        <w:jc w:val="right"/>
      </w:pPr>
      <w:r>
        <w:rPr>
          <w:rFonts w:ascii="Arial" w:eastAsia="Arial" w:hAnsi="Arial" w:cs="Arial"/>
          <w:b/>
          <w:bCs/>
          <w:rtl/>
        </w:rPr>
        <w:t>2.2 التنظيم التكعيبي لطريقة نيوتن (Cubic Regularization)</w:t>
      </w:r>
    </w:p>
    <w:p w14:paraId="16530612" w14:textId="77777777" w:rsidR="001255DB" w:rsidRDefault="00000000">
      <w:pPr>
        <w:spacing w:after="200" w:line="300" w:lineRule="auto"/>
        <w:jc w:val="both"/>
      </w:pPr>
      <w:r>
        <w:rPr>
          <w:rFonts w:ascii="Arial" w:eastAsia="Arial" w:hAnsi="Arial" w:cs="Arial"/>
          <w:sz w:val="22"/>
          <w:szCs w:val="22"/>
          <w:rtl/>
        </w:rPr>
        <w:t>قدّم Nesterov &amp; Polyak (2006) الفكرة التأسيسية: بدل حل معادلة نيوتن مباشرة، يُحل عند كل تكرار مسألة تصغير مقيدة بحد تكعيبي إضافي M‖s‖³/6، مما يضمن تنازلًا كافيًا في قيمة الدالة حتى في غياب التحدب، ويحقق معدل تقارب عالمي O(k^(−2/3)) لبلوغ نقطة ثابتة تقريبية، مع الحفاظ على التقارب التربيعي محليًا. طوّر Cartis, Gould &amp; Toint (2011) هذا الإطار عبر خوارزمية ARC (Adaptive Cubic Regularisation) التي تسمح بحل تقريبي (غير دقيق) للمسألة الفرعية التكعيبية عبر فضاء كريلوف، وأثبتت أن هذا لا يفسد ضمانات التقارب العالمية — وهي نتيجة جوهرية يُبنى عليها الفصل الرابع من هذه الخطة.</w:t>
      </w:r>
    </w:p>
    <w:p w14:paraId="0A1CAF84" w14:textId="77777777" w:rsidR="001255DB" w:rsidRDefault="00000000">
      <w:pPr>
        <w:spacing w:after="200" w:line="300" w:lineRule="auto"/>
        <w:jc w:val="both"/>
      </w:pPr>
      <w:r>
        <w:rPr>
          <w:rFonts w:ascii="Arial" w:eastAsia="Arial" w:hAnsi="Arial" w:cs="Arial"/>
          <w:sz w:val="22"/>
          <w:szCs w:val="22"/>
          <w:rtl/>
        </w:rPr>
        <w:t>امتدادات حديثة جدًا (2025–2026) وسّعت هذا الإطار في اتجاهات لم تكن مغطاة سابقًا: عمّم Ghosh (2025) التنظيم التكعيبي إلى مسائل التحسين المتجهي (vector optimization) متعددة الأهداف دون افتراض التحدب، مع إثبات تقارب من الرتبة q تربيعية (q-quadratic) محليًا رغم أن اتجاه نيوتن التكعيبي ليس بالضرورة اتجاه تنازل. كما طوّر Pasechnyuk-Vilensky وزملاؤه (2025/2026) نسخة مخفَّضة التباين (variance-reduced) من التنظيم التكعيبي لمسائل المجموع المنتهي (finite-sum)، تجمع بين مُقدِّرات EMA-SARAH للتدرّج والهيسيان معًا وجدولة تراجعية للثقة عند الاقتراب من الحل، محققة نقطة ثابتة من الرتبة الثانية بتكلفة إجمالية محسّنة. وتناول Liu, Pan &amp; Qian (2023) نسخة منظَّمة من الرتبة q∈[2,3] لمسائل التحسين المركّب غير الأملس، بمعدل تقارب فائق خطي محلي من رتبة (q−1)/(θq) تحت خاصية Kurdyka-Łojasiewicz.</w:t>
      </w:r>
    </w:p>
    <w:p w14:paraId="09861FAB" w14:textId="77777777" w:rsidR="001255DB" w:rsidRDefault="00000000">
      <w:pPr>
        <w:pStyle w:val="2"/>
        <w:bidi/>
        <w:spacing w:before="300" w:after="150"/>
        <w:jc w:val="right"/>
      </w:pPr>
      <w:r>
        <w:rPr>
          <w:rFonts w:ascii="Arial" w:eastAsia="Arial" w:hAnsi="Arial" w:cs="Arial"/>
          <w:b/>
          <w:bCs/>
          <w:rtl/>
        </w:rPr>
        <w:t>2.3 الطرق المقيَّدة بفضاء جزئي (Subspace Newton Methods)</w:t>
      </w:r>
    </w:p>
    <w:p w14:paraId="797985E2" w14:textId="77777777" w:rsidR="001255DB" w:rsidRDefault="00000000">
      <w:pPr>
        <w:spacing w:after="200" w:line="300" w:lineRule="auto"/>
        <w:jc w:val="both"/>
      </w:pPr>
      <w:r>
        <w:rPr>
          <w:rFonts w:ascii="Arial" w:eastAsia="Arial" w:hAnsi="Arial" w:cs="Arial"/>
          <w:sz w:val="22"/>
          <w:szCs w:val="22"/>
          <w:rtl/>
        </w:rPr>
        <w:t>لخفض تكلفة حل المسألة الفرعية من O(n³) إلى O(m³) حيث m≪n، اقترح Gower, Kovalev, Lieder &amp; Richtárik (2019) طريقة RSN (Randomized Subspace Newton): تُسقَط معادلة نيوتن على فضاء عشوائي S_k∈ℝ^(n×τ) ويُحل الاتجاه داخله فقط، مع إثبات تقارب خطي عالمي لأي توزيع سكتش تقريبًا. طوّر Hanzely, Doikov, Nesterov &amp; Richtárik (2020) هذه الفكرة بدمجها مع التنظيم التكعيبي (SSCN)، محققين معدل تقارب للحالة المحدبة، لكن بالاعتماد على فضاء إحداثيات عشوائي — ما يجعل معدل التقارب معتمدًا على البعد الكلي n.</w:t>
      </w:r>
    </w:p>
    <w:p w14:paraId="46123A18" w14:textId="77777777" w:rsidR="001255DB" w:rsidRDefault="00000000">
      <w:pPr>
        <w:spacing w:after="200" w:line="300" w:lineRule="auto"/>
        <w:jc w:val="both"/>
      </w:pPr>
      <w:r>
        <w:rPr>
          <w:rFonts w:ascii="Arial" w:eastAsia="Arial" w:hAnsi="Arial" w:cs="Arial"/>
          <w:sz w:val="22"/>
          <w:szCs w:val="22"/>
          <w:rtl/>
        </w:rPr>
        <w:lastRenderedPageBreak/>
        <w:t>النقلة الأهم لأغراض هذه الخطة جاءت من عملين متزامنين تقريبًا عام 2024–2025: عمّم Zhao, Lucchi &amp; Doikov (2025، AISTATS) طريقة SSCN إلى الحالة غير المحدبة، مثبتين تقاربًا عالميًا لنقطة ثابتة من الرتبة الأولى لأي حجم عينة τ ثابت، مع معدل أفضل عند استخدام الهيسيان الحقيقي، والأهم أنهم اقترحوا مخطط عينة تكيفي (adaptive sampling) يزيد τ_k تدريجيًا مع التكرار وفق معيار μ(x)=max{‖∇f(x)‖^(3/2), [−λ_min(∇²f(x))]³} لضمان الوصول لنقطة ثابتة من الرتبة الثانية (تفادي السروج) بمعدل O(ε^(−3/2), ε^(−3)) — وهذا أول إثبات تقارب لطريقة تكعيبية غير محدبة مقيدة بفضاء جزئي إلى نقطة ثابتة من الرتبة الثانية. غير أن أساس اختيار الفضاء لديهم عشوائي إحداثي بحت (coordinate subspace)، لا موجَّه طيفيًا نحو اتجاهات الانحناء الفعلية للمسألة.</w:t>
      </w:r>
    </w:p>
    <w:p w14:paraId="444B8276" w14:textId="77777777" w:rsidR="001255DB" w:rsidRDefault="00000000">
      <w:pPr>
        <w:spacing w:after="200" w:line="300" w:lineRule="auto"/>
        <w:jc w:val="both"/>
      </w:pPr>
      <w:r>
        <w:rPr>
          <w:rFonts w:ascii="Arial" w:eastAsia="Arial" w:hAnsi="Arial" w:cs="Arial"/>
          <w:sz w:val="22"/>
          <w:szCs w:val="22"/>
          <w:rtl/>
        </w:rPr>
        <w:t>في المقابل، طوّر Jiang, Raman, Sabach, Mokhtari, Hong &amp; Cevher (2024، AISTATS) طريقة Krylov Cubic Regularized Newton (Krylov CRN): بدل الفضاء العشوائي، يُبنى الفضاء الجزئي V_k عبر خوارزمية Lanczos ابتداءً من التدرّج ∇f(x_k) والهيسيان ∇²f(x_k)، أي أنه فضاء كريلوف K_m(H_k,g_k) موجَّه طيفيًا نحو بنية المسألة الفعلية. أثبتوا أن هذا الاختيار يحقق معدل تقارب O(1/(mk)+1/k²) مستقل تمامًا عن البعد n — وهي أول نتيجة من هذا النوع لطريقة مقيدة بفضاء جزئي. الأهم لأغراضنا: اشتقوا كمية طيفية دقيقة ρ^(m)(H,g) (مرتبطة بمتعددات حدود تشيبيشيف على طيف H) تحدد خطأ التقريب الناتج عن الاقتصار على بعد m، وأثبتوا (Lemma 5 لديهم) أنه إذا كان لهيسيان H عدد قيم ذاتية مميزة أقل من أو يساوي m، فإن الخطأ يكون صفرًا تمامًا ويُستعاد معدل نيوتن التكعيبي الكامل بالضبط — وهذه النتيجة الدقيقة تفوق تحليل CG الكلاسيكي (الذي استخدمناه في تحليل أولي داخلي) في العمومية والدقة.</w:t>
      </w:r>
    </w:p>
    <w:p w14:paraId="1FD8B73F" w14:textId="77777777" w:rsidR="001255DB" w:rsidRDefault="00000000">
      <w:pPr>
        <w:spacing w:after="200" w:line="300" w:lineRule="auto"/>
        <w:jc w:val="both"/>
      </w:pPr>
      <w:r>
        <w:rPr>
          <w:rFonts w:ascii="Arial" w:eastAsia="Arial" w:hAnsi="Arial" w:cs="Arial"/>
          <w:sz w:val="22"/>
          <w:szCs w:val="22"/>
          <w:rtl/>
        </w:rPr>
        <w:t>غير أن جميع نتائج Jiang et al. (2024) مقصورة على الحالة المحدبة والمحدبة القوية (Assumption 1: f convex)، ويستخدمون بعدًا ثابتًا m لا يتغير مع التكرار k ولا مع دقة الهدف ε (وهذا مذكور صراحة في ورقتهم كخاصية مرغوبة للتبسيط، لا كقيد بالضرورة). هذا يترك فجوتين مفتوحتين بوضوح: (أ) تعميم الإطار لحالة عدم التحدب مع تصحيح صريح للانحناء السالب، (ب) استغلال إمكانية تصغير m عندما يكون بعيدًا عن الحل (حيث دقة عالية غير ضرورية) وزيادته فقط عند الاقتراب، بدل تثبيته عند قيمة محافظة واحدة طوال التنفيذ.</w:t>
      </w:r>
    </w:p>
    <w:p w14:paraId="57FA9F36" w14:textId="77777777" w:rsidR="001255DB" w:rsidRDefault="00000000">
      <w:pPr>
        <w:spacing w:after="200" w:line="300" w:lineRule="auto"/>
        <w:jc w:val="both"/>
      </w:pPr>
      <w:r>
        <w:rPr>
          <w:rFonts w:ascii="Arial" w:eastAsia="Arial" w:hAnsi="Arial" w:cs="Arial"/>
          <w:sz w:val="22"/>
          <w:szCs w:val="22"/>
          <w:rtl/>
        </w:rPr>
        <w:t>أعمال أخرى ذات صلة: طوّر Lacotte, Wang &amp; Pilanci (2021) طريقة Adaptive Newton Sketch، رابطين حجم السكتش بالبعد الفعّال (effective dimension) للهيسيان مع تقارب تربيعي للدوال ذاتية التوافق (self-concordant)؛ واشتق Dereziński &amp; Rebrova (2024) معدلات تقارب دقيقة لطرق sketch-and-project عبر رابط مع التحليل العشوائي للقيم الشاذة (randomized SVD)؛ وطوّر Fuji, Poirion &amp; Takeda (2022) طريقة RS-RNM (فضاء عشوائي مع تنظيم مختلف)، أظهرت تجارب Jiang et al. (2024) وZhao et al. (2025) أنها أبطأ من كل من SSCN وKrylov CRN.</w:t>
      </w:r>
    </w:p>
    <w:p w14:paraId="44BAC4B7" w14:textId="77777777" w:rsidR="001255DB" w:rsidRDefault="00000000">
      <w:pPr>
        <w:pStyle w:val="2"/>
        <w:bidi/>
        <w:spacing w:before="300" w:after="150"/>
        <w:jc w:val="right"/>
      </w:pPr>
      <w:r>
        <w:rPr>
          <w:rFonts w:ascii="Arial" w:eastAsia="Arial" w:hAnsi="Arial" w:cs="Arial"/>
          <w:b/>
          <w:bCs/>
          <w:rtl/>
        </w:rPr>
        <w:t>2.4 طريقة نيوتن الخالية من السرج وتصحيح الانحناء السالب</w:t>
      </w:r>
    </w:p>
    <w:p w14:paraId="4C19821D" w14:textId="77777777" w:rsidR="001255DB" w:rsidRDefault="00000000">
      <w:pPr>
        <w:spacing w:after="200" w:line="300" w:lineRule="auto"/>
        <w:jc w:val="both"/>
      </w:pPr>
      <w:r>
        <w:rPr>
          <w:rFonts w:ascii="Arial" w:eastAsia="Arial" w:hAnsi="Arial" w:cs="Arial"/>
          <w:sz w:val="22"/>
          <w:szCs w:val="22"/>
          <w:rtl/>
        </w:rPr>
        <w:t>قدّم Dauphin, Pascanu, Gulcehre, Cho, Ganguli &amp; Bengio (2014) طريقة Saddle-Free Newton (SFN): استبدال القيم الذاتية السالبة للهيسيان بقيمها المطلقة |Λ| = Q|Λ|Qᵀ قبل حساب اتجاه الخطوة، مما يحوّل أي اتجاه انحناء سالب (منطقة سرج) إلى اتجاه هروب صحيح تلقائيًا بدل الانجذاب نحو السرج. ولأن التحليل الطيفي الكامل مكلف (O(n³))، استخدموا فضاء كريلوف عبر Lanczos بحجم ثابت (استخدموا 500 بعدًا في تجربة الشبكة العصبية العميقة على MNIST) لتقريب |H| ضمن الفضاء الجزئي فقط. هذه الطريقة أثبتت نجاحًا تجريبيًا كبيرًا في الهروب من الهضاب شبه المسطحة التي تعلّق فيها الانحدار التدرّجي، لكنها لم تُرفق بأي إثبات تقارب نظري — وهي هجينة تجريبية بحتة.</w:t>
      </w:r>
    </w:p>
    <w:p w14:paraId="09A16004" w14:textId="77777777" w:rsidR="001255DB" w:rsidRDefault="00000000">
      <w:pPr>
        <w:spacing w:after="200" w:line="300" w:lineRule="auto"/>
        <w:jc w:val="both"/>
      </w:pPr>
      <w:r>
        <w:rPr>
          <w:rFonts w:ascii="Arial" w:eastAsia="Arial" w:hAnsi="Arial" w:cs="Arial"/>
          <w:sz w:val="22"/>
          <w:szCs w:val="22"/>
          <w:rtl/>
        </w:rPr>
        <w:t>لاحقًا، طوّر O'Leary-Roseberry, Alger &amp; Ghattas (2020) طريقة Low-Rank Saddle-Free Newton، منتقدين استخدام Lanczos بسبب طبيعته التسلسلية غير القابلة للتوازي وحساسيته العددية (لعدم الاستقرار مع القيم الذاتية المتكررة)، واقترحوا بديلاً يعتمد على تقريب منخفض الرتبة مباشر للهيسيان عبر عينات عشوائية، قابل للمعالجة المتوازية. كما طوّرت أطروحة Cooper-Simpson &amp; Becker (جامعة كولورادو، 2022) نسخة «منظَّمة» من SFN (Regularized SFN) تجمع طريقة CG-Lanczos ذات الإزاحات المشتركة لحساب كل الاتجاهات اللازمة بكلفة قريبة من حل واحد فقط.</w:t>
      </w:r>
    </w:p>
    <w:p w14:paraId="0EED25E4" w14:textId="77777777" w:rsidR="001255DB" w:rsidRDefault="00000000">
      <w:pPr>
        <w:spacing w:after="200" w:line="300" w:lineRule="auto"/>
        <w:jc w:val="both"/>
      </w:pPr>
      <w:r>
        <w:rPr>
          <w:rFonts w:ascii="Arial" w:eastAsia="Arial" w:hAnsi="Arial" w:cs="Arial"/>
          <w:sz w:val="22"/>
          <w:szCs w:val="22"/>
          <w:rtl/>
        </w:rPr>
        <w:lastRenderedPageBreak/>
        <w:t>في اتجاه مواز، طوّر Liu &amp; Roosta (2021, 2022) طريقة Newton-MR القائمة على خوارزمية MINRES بدل CG، والتي تتعامل بشكل طبيعي مع الهيسيان غير محدد الإشارة (indefinite) عبر خاصية monotonicity في القيم المتبقية، مع إثبات تقارب صريح تحت معلومات هيسيان غير دقيقة. كما طوّر Lucidi وزملاؤه إطار عمل Newton-Krylov يحسب في كل تكرار زوجًا من الاتجاهات — تقريب نيوتن للنموذج التربيعي المحدب، واتجاه انحناء سالب منفصل — مع اختبار لانتقاء الأنسب بينهما.</w:t>
      </w:r>
    </w:p>
    <w:p w14:paraId="3AD3444A" w14:textId="77777777" w:rsidR="001255DB" w:rsidRDefault="00000000">
      <w:pPr>
        <w:spacing w:after="200" w:line="300" w:lineRule="auto"/>
        <w:jc w:val="both"/>
      </w:pPr>
      <w:r>
        <w:rPr>
          <w:rFonts w:ascii="Arial" w:eastAsia="Arial" w:hAnsi="Arial" w:cs="Arial"/>
          <w:sz w:val="22"/>
          <w:szCs w:val="22"/>
          <w:rtl/>
        </w:rPr>
        <w:t>الملاحظة الجوهرية لأغراض هذه الأطروحة: لا توجد — حسب المراجعة المنجزة حتى تاريخه — ورقة علمية تجمع تصحيح الانحناء السالب (|Λ|) صراحة مع التحليل النظري الصارم للتنظيم التكعيبي المقيَّد بفضاء كريلوف الديناميكي كما طوّره Jiang et al. (2024). فالأولى (SFN وامتداداتها) تجريبية بلا ضمانات؛ والثانية (Krylov CRN) نظرية صارمة لكنها محدبة بلا تصحيح سرج.</w:t>
      </w:r>
    </w:p>
    <w:p w14:paraId="55EFA805" w14:textId="77777777" w:rsidR="001255DB" w:rsidRDefault="00000000">
      <w:pPr>
        <w:pStyle w:val="2"/>
        <w:bidi/>
        <w:spacing w:before="300" w:after="150"/>
        <w:jc w:val="right"/>
      </w:pPr>
      <w:r>
        <w:rPr>
          <w:rFonts w:ascii="Arial" w:eastAsia="Arial" w:hAnsi="Arial" w:cs="Arial"/>
          <w:b/>
          <w:bCs/>
          <w:rtl/>
        </w:rPr>
        <w:t>2.5 المُحسِّنات من الرتبة الثانية للنماذج الضخمة (LLM-scale)</w:t>
      </w:r>
    </w:p>
    <w:p w14:paraId="660D9930" w14:textId="77777777" w:rsidR="001255DB" w:rsidRDefault="00000000">
      <w:pPr>
        <w:spacing w:after="200" w:line="300" w:lineRule="auto"/>
        <w:jc w:val="both"/>
      </w:pPr>
      <w:r>
        <w:rPr>
          <w:rFonts w:ascii="Arial" w:eastAsia="Arial" w:hAnsi="Arial" w:cs="Arial"/>
          <w:sz w:val="22"/>
          <w:szCs w:val="22"/>
          <w:rtl/>
        </w:rPr>
        <w:t>مع تصاعد كلفة تدريب نماذج اللغة الكبيرة، برزت مُحسِّنات عملية تقارب فكرة الرتبة الثانية دون تكلفتها الكاملة. طوّر Liu et al. (2023/2024) خوارزمية Sophia: تقدير خفيف لقطر الهيسيان فقط (لا الهيسيان الكامل ولا حتى فضاء كريلوف)، مع تحديث دوري (كل عدة تكرارات) وقص عنصري (clipping) يتحكم بأسوأ حالة لحجم الخطوة، محققة تخفيضًا بنسبة 50% في زمن وتكلفة تدريب نماذج GPT-2 مقارنة بـ Adam. كما تطوّرت عائلة Shampoo (Gupta et al., 2018) وامتدادها الحديث Muon (Jordan et al., 2024) التي تستخدم تقريبات مُهيكَلة (Kronecker-factored) للهيسيان أو مصفوفة التغاير. هذه الطرق تفتقر لضمانات تقارب صارمة موازية لما تقدمه أطر Krylov CRN أو SSCN، لكنها تمثل المعيار العملي (practical baseline) الذي يجب على أي طريقة نظرية جديدة أن تُقارَن به من حيث الزمن الفعلي، لا فقط عدد التكرارات.</w:t>
      </w:r>
    </w:p>
    <w:p w14:paraId="32BAAA51" w14:textId="77777777" w:rsidR="001255DB" w:rsidRDefault="00000000">
      <w:pPr>
        <w:pStyle w:val="2"/>
        <w:bidi/>
        <w:spacing w:before="300" w:after="150"/>
        <w:jc w:val="right"/>
      </w:pPr>
      <w:r>
        <w:rPr>
          <w:rFonts w:ascii="Arial" w:eastAsia="Arial" w:hAnsi="Arial" w:cs="Arial"/>
          <w:b/>
          <w:bCs/>
          <w:rtl/>
        </w:rPr>
        <w:t>2.6 الطرق الموزّعة والفيدرالية من الرتبة الثانية</w:t>
      </w:r>
    </w:p>
    <w:p w14:paraId="3E24C423" w14:textId="77777777" w:rsidR="001255DB" w:rsidRDefault="00000000">
      <w:pPr>
        <w:spacing w:after="200" w:line="300" w:lineRule="auto"/>
        <w:jc w:val="both"/>
      </w:pPr>
      <w:r>
        <w:rPr>
          <w:rFonts w:ascii="Arial" w:eastAsia="Arial" w:hAnsi="Arial" w:cs="Arial"/>
          <w:sz w:val="22"/>
          <w:szCs w:val="22"/>
          <w:rtl/>
        </w:rPr>
        <w:t>في سياق التعلّم الفيدرالي، حيث تكلفة الاتصال (لا الحساب المحلي) هي عنق الزجاجة، طوّرت عائلة من الخوارزميات (FedNL من Safaryan, Islamov, Qian &amp; Richtárik؛ DINGO وDINO من Crane &amp; Roosta؛ SHED من Dal Fabbro, Dey, Rossi &amp; Schenato، 2024) طرقًا لمشاركة معلومات الهيسيان مضغوطة (عبر القيم الذاتية الأساسية، أو الفروق المضغوطة) بدل المصفوفة الكاملة. اقترح Hamidi &amp; Ye (2024) طريقة DQN-Fed لضمان العدالة بين العملاء مع الحفاظ على سرعة تقارب شبه-نيوتن. هذا المسار منفصل عن مسار فضاء كريلوف لكنه يوفر أرضية طبيعية لامتداد موزَّع لأي خوارزمية تُبنى في هذه الأطروحة (الخوارزمية المقترحة السادسة أدناه).</w:t>
      </w:r>
    </w:p>
    <w:p w14:paraId="23853CF9" w14:textId="77777777" w:rsidR="001255DB" w:rsidRDefault="00000000">
      <w:pPr>
        <w:pStyle w:val="2"/>
        <w:bidi/>
        <w:spacing w:before="300" w:after="150"/>
        <w:jc w:val="right"/>
      </w:pPr>
      <w:r>
        <w:rPr>
          <w:rFonts w:ascii="Arial" w:eastAsia="Arial" w:hAnsi="Arial" w:cs="Arial"/>
          <w:b/>
          <w:bCs/>
          <w:rtl/>
        </w:rPr>
        <w:t>2.7 جدولة الأبعاد الديناميكية في الجبر الخطي العددي (خارج سياق التحسين)</w:t>
      </w:r>
    </w:p>
    <w:p w14:paraId="4980D028" w14:textId="77777777" w:rsidR="001255DB" w:rsidRDefault="00000000">
      <w:pPr>
        <w:spacing w:after="200" w:line="300" w:lineRule="auto"/>
        <w:jc w:val="both"/>
      </w:pPr>
      <w:r>
        <w:rPr>
          <w:rFonts w:ascii="Arial" w:eastAsia="Arial" w:hAnsi="Arial" w:cs="Arial"/>
          <w:sz w:val="22"/>
          <w:szCs w:val="22"/>
          <w:rtl/>
        </w:rPr>
        <w:t>مفهوم "البعد المتكيف" لفضاء كريلوف ليس غريبًا عن الجبر الخطي العددي البحت، لكنه لم يُستورد بعد إلى نظرية تقارب التحسين غير المحدب بالطريقة التي تقترحها هذه الأطروحة. فمثلاً، تستخدم خوارزمية KIOPS (لحل المؤثرات الأسية في المعادلات التفاضلية) تقديرًا بعديًا لخطأ Lanczos لزيادة أو تقليل حجم الفضاء ديناميكيًا بين حدين m_min وm_max، مستندة إلى تقدير تناقص هندسي للخطأ بمعدل Cκ^(−m) — وهي بنية رياضية شبيهة جدًا بما اشتققناه في التحليل الأولي لهذه الخطة (انظر القسم 4). كما طوّرت أوراق حديثة (2025) مقاربات تعلّم معزَّز (single-life reinforcement learning) لتكييف حجم إعادة تشغيل GMRES ديناميكيًا وفق متجهات البقايا. هذه الأعمال تؤكد جدوى فكرة الجدولة الديناميكية هندسيًا، لكنها لم تُربَط بتاتًا بنظرية تقارب طريقة نيوتن التكعيبية أو بمشكلة الهروب من نقاط السرج — وهذا يمثل فرصة نقل معرفي (knowledge transfer) واضحة بين حقلي الجبر الخطي العددي والتحسين غير المحدب.</w:t>
      </w:r>
    </w:p>
    <w:p w14:paraId="6DBE751B" w14:textId="77777777" w:rsidR="001255DB" w:rsidRDefault="00000000">
      <w:pPr>
        <w:pStyle w:val="2"/>
        <w:bidi/>
        <w:spacing w:before="300" w:after="150"/>
        <w:jc w:val="right"/>
      </w:pPr>
      <w:r>
        <w:rPr>
          <w:rFonts w:ascii="Arial" w:eastAsia="Arial" w:hAnsi="Arial" w:cs="Arial"/>
          <w:b/>
          <w:bCs/>
          <w:rtl/>
        </w:rPr>
        <w:t>2.8 خلاصة المراجعة: مصفوفة تموضع الفجوة البحثية</w:t>
      </w:r>
    </w:p>
    <w:p w14:paraId="3E9F8033" w14:textId="77777777" w:rsidR="001255DB" w:rsidRDefault="00000000">
      <w:pPr>
        <w:spacing w:after="200" w:line="300" w:lineRule="auto"/>
        <w:jc w:val="both"/>
      </w:pPr>
      <w:r>
        <w:rPr>
          <w:rFonts w:ascii="Arial" w:eastAsia="Arial" w:hAnsi="Arial" w:cs="Arial"/>
          <w:sz w:val="22"/>
          <w:szCs w:val="22"/>
          <w:rtl/>
        </w:rPr>
        <w:t>يلخّص الجدول التالي موقع كل عمل رئيسي على المحاور الأربعة الحاسمة لهذه الأطروحة، موضحًا بوضوح أن أي عمود لا يوجد صف واحد محقِّق لكل خاناته الأربع معًا:</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750"/>
        <w:gridCol w:w="1650"/>
        <w:gridCol w:w="1650"/>
        <w:gridCol w:w="1750"/>
      </w:tblGrid>
      <w:tr w:rsidR="001255DB" w14:paraId="5BACE333" w14:textId="77777777">
        <w:tblPrEx>
          <w:tblCellMar>
            <w:top w:w="0" w:type="dxa"/>
            <w:bottom w:w="0" w:type="dxa"/>
          </w:tblCellMar>
        </w:tblPrEx>
        <w:trPr>
          <w:tblHeader/>
        </w:trPr>
        <w:tc>
          <w:tcPr>
            <w:tcW w:w="2600" w:type="dxa"/>
            <w:shd w:val="clear" w:color="auto" w:fill="D9E2F3"/>
            <w:tcMar>
              <w:top w:w="80" w:type="dxa"/>
              <w:left w:w="100" w:type="dxa"/>
              <w:bottom w:w="80" w:type="dxa"/>
              <w:right w:w="100" w:type="dxa"/>
            </w:tcMar>
          </w:tcPr>
          <w:p w14:paraId="0805F3E1" w14:textId="77777777" w:rsidR="001255DB" w:rsidRDefault="00000000">
            <w:pPr>
              <w:jc w:val="center"/>
            </w:pPr>
            <w:r>
              <w:rPr>
                <w:rFonts w:ascii="Arial" w:eastAsia="Arial" w:hAnsi="Arial" w:cs="Arial"/>
                <w:b/>
                <w:bCs/>
                <w:rtl/>
              </w:rPr>
              <w:lastRenderedPageBreak/>
              <w:t>العمل</w:t>
            </w:r>
          </w:p>
        </w:tc>
        <w:tc>
          <w:tcPr>
            <w:tcW w:w="1750" w:type="dxa"/>
            <w:shd w:val="clear" w:color="auto" w:fill="D9E2F3"/>
            <w:tcMar>
              <w:top w:w="80" w:type="dxa"/>
              <w:left w:w="100" w:type="dxa"/>
              <w:bottom w:w="80" w:type="dxa"/>
              <w:right w:w="100" w:type="dxa"/>
            </w:tcMar>
          </w:tcPr>
          <w:p w14:paraId="6769BFEC" w14:textId="77777777" w:rsidR="001255DB" w:rsidRDefault="00000000">
            <w:pPr>
              <w:jc w:val="center"/>
            </w:pPr>
            <w:r>
              <w:rPr>
                <w:rFonts w:ascii="Arial" w:eastAsia="Arial" w:hAnsi="Arial" w:cs="Arial"/>
                <w:b/>
                <w:bCs/>
                <w:rtl/>
              </w:rPr>
              <w:t>فضاء موجَّه طيفيًا (Krylov)</w:t>
            </w:r>
          </w:p>
        </w:tc>
        <w:tc>
          <w:tcPr>
            <w:tcW w:w="1650" w:type="dxa"/>
            <w:shd w:val="clear" w:color="auto" w:fill="D9E2F3"/>
            <w:tcMar>
              <w:top w:w="80" w:type="dxa"/>
              <w:left w:w="100" w:type="dxa"/>
              <w:bottom w:w="80" w:type="dxa"/>
              <w:right w:w="100" w:type="dxa"/>
            </w:tcMar>
          </w:tcPr>
          <w:p w14:paraId="5EF4C1FC" w14:textId="77777777" w:rsidR="001255DB" w:rsidRDefault="00000000">
            <w:pPr>
              <w:jc w:val="center"/>
            </w:pPr>
            <w:r>
              <w:rPr>
                <w:rFonts w:ascii="Arial" w:eastAsia="Arial" w:hAnsi="Arial" w:cs="Arial"/>
                <w:b/>
                <w:bCs/>
                <w:rtl/>
              </w:rPr>
              <w:t>تصحيح انحناء سالب</w:t>
            </w:r>
          </w:p>
        </w:tc>
        <w:tc>
          <w:tcPr>
            <w:tcW w:w="1650" w:type="dxa"/>
            <w:shd w:val="clear" w:color="auto" w:fill="D9E2F3"/>
            <w:tcMar>
              <w:top w:w="80" w:type="dxa"/>
              <w:left w:w="100" w:type="dxa"/>
              <w:bottom w:w="80" w:type="dxa"/>
              <w:right w:w="100" w:type="dxa"/>
            </w:tcMar>
          </w:tcPr>
          <w:p w14:paraId="6EC2C70C" w14:textId="77777777" w:rsidR="001255DB" w:rsidRDefault="00000000">
            <w:pPr>
              <w:jc w:val="center"/>
            </w:pPr>
            <w:r>
              <w:rPr>
                <w:rFonts w:ascii="Arial" w:eastAsia="Arial" w:hAnsi="Arial" w:cs="Arial"/>
                <w:b/>
                <w:bCs/>
                <w:rtl/>
              </w:rPr>
              <w:t>بعد ديناميكي m_k</w:t>
            </w:r>
          </w:p>
        </w:tc>
        <w:tc>
          <w:tcPr>
            <w:tcW w:w="1750" w:type="dxa"/>
            <w:shd w:val="clear" w:color="auto" w:fill="D9E2F3"/>
            <w:tcMar>
              <w:top w:w="80" w:type="dxa"/>
              <w:left w:w="100" w:type="dxa"/>
              <w:bottom w:w="80" w:type="dxa"/>
              <w:right w:w="100" w:type="dxa"/>
            </w:tcMar>
          </w:tcPr>
          <w:p w14:paraId="415B03C8" w14:textId="77777777" w:rsidR="001255DB" w:rsidRDefault="00000000">
            <w:pPr>
              <w:jc w:val="center"/>
            </w:pPr>
            <w:r>
              <w:rPr>
                <w:rFonts w:ascii="Arial" w:eastAsia="Arial" w:hAnsi="Arial" w:cs="Arial"/>
                <w:b/>
                <w:bCs/>
                <w:rtl/>
              </w:rPr>
              <w:t>تقارب غير محدب مثبت</w:t>
            </w:r>
          </w:p>
        </w:tc>
      </w:tr>
      <w:tr w:rsidR="001255DB" w14:paraId="3D98F8AD" w14:textId="77777777">
        <w:tblPrEx>
          <w:tblCellMar>
            <w:top w:w="0" w:type="dxa"/>
            <w:bottom w:w="0" w:type="dxa"/>
          </w:tblCellMar>
        </w:tblPrEx>
        <w:tc>
          <w:tcPr>
            <w:tcW w:w="2600" w:type="dxa"/>
            <w:tcMar>
              <w:top w:w="80" w:type="dxa"/>
              <w:left w:w="100" w:type="dxa"/>
              <w:bottom w:w="80" w:type="dxa"/>
              <w:right w:w="100" w:type="dxa"/>
            </w:tcMar>
          </w:tcPr>
          <w:p w14:paraId="129509AD" w14:textId="77777777" w:rsidR="001255DB" w:rsidRDefault="00000000">
            <w:pPr>
              <w:jc w:val="center"/>
            </w:pPr>
            <w:r>
              <w:rPr>
                <w:rFonts w:ascii="Arial" w:eastAsia="Arial" w:hAnsi="Arial" w:cs="Arial"/>
                <w:sz w:val="18"/>
                <w:szCs w:val="18"/>
                <w:rtl/>
              </w:rPr>
              <w:t>Nesterov &amp; Polyak 2006 (CRN)</w:t>
            </w:r>
          </w:p>
        </w:tc>
        <w:tc>
          <w:tcPr>
            <w:tcW w:w="1750" w:type="dxa"/>
            <w:tcMar>
              <w:top w:w="80" w:type="dxa"/>
              <w:left w:w="100" w:type="dxa"/>
              <w:bottom w:w="80" w:type="dxa"/>
              <w:right w:w="100" w:type="dxa"/>
            </w:tcMar>
          </w:tcPr>
          <w:p w14:paraId="7AA0E5C5" w14:textId="77777777" w:rsidR="001255DB" w:rsidRDefault="00000000">
            <w:pPr>
              <w:jc w:val="center"/>
            </w:pPr>
            <w:r>
              <w:rPr>
                <w:rFonts w:ascii="Arial" w:eastAsia="Arial" w:hAnsi="Arial" w:cs="Arial"/>
                <w:sz w:val="18"/>
                <w:szCs w:val="18"/>
                <w:rtl/>
              </w:rPr>
              <w:t>—(كامل n)</w:t>
            </w:r>
          </w:p>
        </w:tc>
        <w:tc>
          <w:tcPr>
            <w:tcW w:w="1650" w:type="dxa"/>
            <w:tcMar>
              <w:top w:w="80" w:type="dxa"/>
              <w:left w:w="100" w:type="dxa"/>
              <w:bottom w:w="80" w:type="dxa"/>
              <w:right w:w="100" w:type="dxa"/>
            </w:tcMar>
          </w:tcPr>
          <w:p w14:paraId="099BB20D" w14:textId="77777777" w:rsidR="001255DB" w:rsidRDefault="00000000">
            <w:pPr>
              <w:jc w:val="center"/>
            </w:pPr>
            <w:r>
              <w:rPr>
                <w:rFonts w:ascii="Arial" w:eastAsia="Arial" w:hAnsi="Arial" w:cs="Arial"/>
                <w:sz w:val="18"/>
                <w:szCs w:val="18"/>
                <w:rtl/>
              </w:rPr>
              <w:t>لا</w:t>
            </w:r>
          </w:p>
        </w:tc>
        <w:tc>
          <w:tcPr>
            <w:tcW w:w="1650" w:type="dxa"/>
            <w:tcMar>
              <w:top w:w="80" w:type="dxa"/>
              <w:left w:w="100" w:type="dxa"/>
              <w:bottom w:w="80" w:type="dxa"/>
              <w:right w:w="100" w:type="dxa"/>
            </w:tcMar>
          </w:tcPr>
          <w:p w14:paraId="350A5D63" w14:textId="77777777" w:rsidR="001255DB" w:rsidRDefault="00000000">
            <w:pPr>
              <w:jc w:val="center"/>
            </w:pPr>
            <w:r>
              <w:rPr>
                <w:rFonts w:ascii="Arial" w:eastAsia="Arial" w:hAnsi="Arial" w:cs="Arial"/>
                <w:sz w:val="18"/>
                <w:szCs w:val="18"/>
                <w:rtl/>
              </w:rPr>
              <w:t>لا</w:t>
            </w:r>
          </w:p>
        </w:tc>
        <w:tc>
          <w:tcPr>
            <w:tcW w:w="1750" w:type="dxa"/>
            <w:tcMar>
              <w:top w:w="80" w:type="dxa"/>
              <w:left w:w="100" w:type="dxa"/>
              <w:bottom w:w="80" w:type="dxa"/>
              <w:right w:w="100" w:type="dxa"/>
            </w:tcMar>
          </w:tcPr>
          <w:p w14:paraId="69AD6F70" w14:textId="77777777" w:rsidR="001255DB" w:rsidRDefault="00000000">
            <w:pPr>
              <w:jc w:val="center"/>
            </w:pPr>
            <w:r>
              <w:rPr>
                <w:rFonts w:ascii="Arial" w:eastAsia="Arial" w:hAnsi="Arial" w:cs="Arial"/>
                <w:sz w:val="18"/>
                <w:szCs w:val="18"/>
                <w:rtl/>
              </w:rPr>
              <w:t>نعم</w:t>
            </w:r>
          </w:p>
        </w:tc>
      </w:tr>
      <w:tr w:rsidR="001255DB" w14:paraId="4BCB38EA" w14:textId="77777777">
        <w:tblPrEx>
          <w:tblCellMar>
            <w:top w:w="0" w:type="dxa"/>
            <w:bottom w:w="0" w:type="dxa"/>
          </w:tblCellMar>
        </w:tblPrEx>
        <w:tc>
          <w:tcPr>
            <w:tcW w:w="2600" w:type="dxa"/>
            <w:tcMar>
              <w:top w:w="80" w:type="dxa"/>
              <w:left w:w="100" w:type="dxa"/>
              <w:bottom w:w="80" w:type="dxa"/>
              <w:right w:w="100" w:type="dxa"/>
            </w:tcMar>
          </w:tcPr>
          <w:p w14:paraId="3088C849" w14:textId="77777777" w:rsidR="001255DB" w:rsidRDefault="00000000">
            <w:pPr>
              <w:jc w:val="center"/>
            </w:pPr>
            <w:r>
              <w:rPr>
                <w:rFonts w:ascii="Arial" w:eastAsia="Arial" w:hAnsi="Arial" w:cs="Arial"/>
                <w:sz w:val="18"/>
                <w:szCs w:val="18"/>
                <w:rtl/>
              </w:rPr>
              <w:t>Cartis-Gould-Toint 2011 (ARC)</w:t>
            </w:r>
          </w:p>
        </w:tc>
        <w:tc>
          <w:tcPr>
            <w:tcW w:w="1750" w:type="dxa"/>
            <w:tcMar>
              <w:top w:w="80" w:type="dxa"/>
              <w:left w:w="100" w:type="dxa"/>
              <w:bottom w:w="80" w:type="dxa"/>
              <w:right w:w="100" w:type="dxa"/>
            </w:tcMar>
          </w:tcPr>
          <w:p w14:paraId="0A785E48" w14:textId="77777777" w:rsidR="001255DB" w:rsidRDefault="00000000">
            <w:pPr>
              <w:jc w:val="center"/>
            </w:pPr>
            <w:r>
              <w:rPr>
                <w:rFonts w:ascii="Arial" w:eastAsia="Arial" w:hAnsi="Arial" w:cs="Arial"/>
                <w:sz w:val="18"/>
                <w:szCs w:val="18"/>
                <w:rtl/>
              </w:rPr>
              <w:t>ممكن (كريلوف)</w:t>
            </w:r>
          </w:p>
        </w:tc>
        <w:tc>
          <w:tcPr>
            <w:tcW w:w="1650" w:type="dxa"/>
            <w:tcMar>
              <w:top w:w="80" w:type="dxa"/>
              <w:left w:w="100" w:type="dxa"/>
              <w:bottom w:w="80" w:type="dxa"/>
              <w:right w:w="100" w:type="dxa"/>
            </w:tcMar>
          </w:tcPr>
          <w:p w14:paraId="46C5A7C1" w14:textId="77777777" w:rsidR="001255DB" w:rsidRDefault="00000000">
            <w:pPr>
              <w:jc w:val="center"/>
            </w:pPr>
            <w:r>
              <w:rPr>
                <w:rFonts w:ascii="Arial" w:eastAsia="Arial" w:hAnsi="Arial" w:cs="Arial"/>
                <w:sz w:val="18"/>
                <w:szCs w:val="18"/>
                <w:rtl/>
              </w:rPr>
              <w:t>لا</w:t>
            </w:r>
          </w:p>
        </w:tc>
        <w:tc>
          <w:tcPr>
            <w:tcW w:w="1650" w:type="dxa"/>
            <w:tcMar>
              <w:top w:w="80" w:type="dxa"/>
              <w:left w:w="100" w:type="dxa"/>
              <w:bottom w:w="80" w:type="dxa"/>
              <w:right w:w="100" w:type="dxa"/>
            </w:tcMar>
          </w:tcPr>
          <w:p w14:paraId="27C1686A" w14:textId="77777777" w:rsidR="001255DB" w:rsidRDefault="00000000">
            <w:pPr>
              <w:jc w:val="center"/>
            </w:pPr>
            <w:r>
              <w:rPr>
                <w:rFonts w:ascii="Arial" w:eastAsia="Arial" w:hAnsi="Arial" w:cs="Arial"/>
                <w:sz w:val="18"/>
                <w:szCs w:val="18"/>
                <w:rtl/>
              </w:rPr>
              <w:t>لا</w:t>
            </w:r>
          </w:p>
        </w:tc>
        <w:tc>
          <w:tcPr>
            <w:tcW w:w="1750" w:type="dxa"/>
            <w:tcMar>
              <w:top w:w="80" w:type="dxa"/>
              <w:left w:w="100" w:type="dxa"/>
              <w:bottom w:w="80" w:type="dxa"/>
              <w:right w:w="100" w:type="dxa"/>
            </w:tcMar>
          </w:tcPr>
          <w:p w14:paraId="41CF610E" w14:textId="77777777" w:rsidR="001255DB" w:rsidRDefault="00000000">
            <w:pPr>
              <w:jc w:val="center"/>
            </w:pPr>
            <w:r>
              <w:rPr>
                <w:rFonts w:ascii="Arial" w:eastAsia="Arial" w:hAnsi="Arial" w:cs="Arial"/>
                <w:sz w:val="18"/>
                <w:szCs w:val="18"/>
                <w:rtl/>
              </w:rPr>
              <w:t>نعم</w:t>
            </w:r>
          </w:p>
        </w:tc>
      </w:tr>
      <w:tr w:rsidR="001255DB" w14:paraId="1D7658ED" w14:textId="77777777">
        <w:tblPrEx>
          <w:tblCellMar>
            <w:top w:w="0" w:type="dxa"/>
            <w:bottom w:w="0" w:type="dxa"/>
          </w:tblCellMar>
        </w:tblPrEx>
        <w:tc>
          <w:tcPr>
            <w:tcW w:w="2600" w:type="dxa"/>
            <w:tcMar>
              <w:top w:w="80" w:type="dxa"/>
              <w:left w:w="100" w:type="dxa"/>
              <w:bottom w:w="80" w:type="dxa"/>
              <w:right w:w="100" w:type="dxa"/>
            </w:tcMar>
          </w:tcPr>
          <w:p w14:paraId="4E535940" w14:textId="77777777" w:rsidR="001255DB" w:rsidRDefault="00000000">
            <w:pPr>
              <w:jc w:val="center"/>
            </w:pPr>
            <w:r>
              <w:rPr>
                <w:rFonts w:ascii="Arial" w:eastAsia="Arial" w:hAnsi="Arial" w:cs="Arial"/>
                <w:sz w:val="18"/>
                <w:szCs w:val="18"/>
                <w:rtl/>
              </w:rPr>
              <w:t>Gower et al. 2019 (RSN)</w:t>
            </w:r>
          </w:p>
        </w:tc>
        <w:tc>
          <w:tcPr>
            <w:tcW w:w="1750" w:type="dxa"/>
            <w:tcMar>
              <w:top w:w="80" w:type="dxa"/>
              <w:left w:w="100" w:type="dxa"/>
              <w:bottom w:w="80" w:type="dxa"/>
              <w:right w:w="100" w:type="dxa"/>
            </w:tcMar>
          </w:tcPr>
          <w:p w14:paraId="6E93C9D5" w14:textId="77777777" w:rsidR="001255DB" w:rsidRDefault="00000000">
            <w:pPr>
              <w:jc w:val="center"/>
            </w:pPr>
            <w:r>
              <w:rPr>
                <w:rFonts w:ascii="Arial" w:eastAsia="Arial" w:hAnsi="Arial" w:cs="Arial"/>
                <w:sz w:val="18"/>
                <w:szCs w:val="18"/>
                <w:rtl/>
              </w:rPr>
              <w:t>لا (عشوائي)</w:t>
            </w:r>
          </w:p>
        </w:tc>
        <w:tc>
          <w:tcPr>
            <w:tcW w:w="1650" w:type="dxa"/>
            <w:tcMar>
              <w:top w:w="80" w:type="dxa"/>
              <w:left w:w="100" w:type="dxa"/>
              <w:bottom w:w="80" w:type="dxa"/>
              <w:right w:w="100" w:type="dxa"/>
            </w:tcMar>
          </w:tcPr>
          <w:p w14:paraId="36B2EB90" w14:textId="77777777" w:rsidR="001255DB" w:rsidRDefault="00000000">
            <w:pPr>
              <w:jc w:val="center"/>
            </w:pPr>
            <w:r>
              <w:rPr>
                <w:rFonts w:ascii="Arial" w:eastAsia="Arial" w:hAnsi="Arial" w:cs="Arial"/>
                <w:sz w:val="18"/>
                <w:szCs w:val="18"/>
                <w:rtl/>
              </w:rPr>
              <w:t>لا</w:t>
            </w:r>
          </w:p>
        </w:tc>
        <w:tc>
          <w:tcPr>
            <w:tcW w:w="1650" w:type="dxa"/>
            <w:tcMar>
              <w:top w:w="80" w:type="dxa"/>
              <w:left w:w="100" w:type="dxa"/>
              <w:bottom w:w="80" w:type="dxa"/>
              <w:right w:w="100" w:type="dxa"/>
            </w:tcMar>
          </w:tcPr>
          <w:p w14:paraId="0903BE78" w14:textId="77777777" w:rsidR="001255DB" w:rsidRDefault="00000000">
            <w:pPr>
              <w:jc w:val="center"/>
            </w:pPr>
            <w:r>
              <w:rPr>
                <w:rFonts w:ascii="Arial" w:eastAsia="Arial" w:hAnsi="Arial" w:cs="Arial"/>
                <w:sz w:val="18"/>
                <w:szCs w:val="18"/>
                <w:rtl/>
              </w:rPr>
              <w:t>لا</w:t>
            </w:r>
          </w:p>
        </w:tc>
        <w:tc>
          <w:tcPr>
            <w:tcW w:w="1750" w:type="dxa"/>
            <w:tcMar>
              <w:top w:w="80" w:type="dxa"/>
              <w:left w:w="100" w:type="dxa"/>
              <w:bottom w:w="80" w:type="dxa"/>
              <w:right w:w="100" w:type="dxa"/>
            </w:tcMar>
          </w:tcPr>
          <w:p w14:paraId="6FAEBC2F" w14:textId="77777777" w:rsidR="001255DB" w:rsidRDefault="00000000">
            <w:pPr>
              <w:jc w:val="center"/>
            </w:pPr>
            <w:r>
              <w:rPr>
                <w:rFonts w:ascii="Arial" w:eastAsia="Arial" w:hAnsi="Arial" w:cs="Arial"/>
                <w:sz w:val="18"/>
                <w:szCs w:val="18"/>
                <w:rtl/>
              </w:rPr>
              <w:t>محدب فقط</w:t>
            </w:r>
          </w:p>
        </w:tc>
      </w:tr>
      <w:tr w:rsidR="001255DB" w14:paraId="7B5D047B" w14:textId="77777777">
        <w:tblPrEx>
          <w:tblCellMar>
            <w:top w:w="0" w:type="dxa"/>
            <w:bottom w:w="0" w:type="dxa"/>
          </w:tblCellMar>
        </w:tblPrEx>
        <w:tc>
          <w:tcPr>
            <w:tcW w:w="2600" w:type="dxa"/>
            <w:tcMar>
              <w:top w:w="80" w:type="dxa"/>
              <w:left w:w="100" w:type="dxa"/>
              <w:bottom w:w="80" w:type="dxa"/>
              <w:right w:w="100" w:type="dxa"/>
            </w:tcMar>
          </w:tcPr>
          <w:p w14:paraId="603E4DB1" w14:textId="77777777" w:rsidR="001255DB" w:rsidRDefault="00000000">
            <w:pPr>
              <w:jc w:val="center"/>
            </w:pPr>
            <w:r>
              <w:rPr>
                <w:rFonts w:ascii="Arial" w:eastAsia="Arial" w:hAnsi="Arial" w:cs="Arial"/>
                <w:sz w:val="18"/>
                <w:szCs w:val="18"/>
                <w:rtl/>
              </w:rPr>
              <w:t>Hanzely et al. 2020 (SSCN)</w:t>
            </w:r>
          </w:p>
        </w:tc>
        <w:tc>
          <w:tcPr>
            <w:tcW w:w="1750" w:type="dxa"/>
            <w:tcMar>
              <w:top w:w="80" w:type="dxa"/>
              <w:left w:w="100" w:type="dxa"/>
              <w:bottom w:w="80" w:type="dxa"/>
              <w:right w:w="100" w:type="dxa"/>
            </w:tcMar>
          </w:tcPr>
          <w:p w14:paraId="51377816" w14:textId="77777777" w:rsidR="001255DB" w:rsidRDefault="00000000">
            <w:pPr>
              <w:jc w:val="center"/>
            </w:pPr>
            <w:r>
              <w:rPr>
                <w:rFonts w:ascii="Arial" w:eastAsia="Arial" w:hAnsi="Arial" w:cs="Arial"/>
                <w:sz w:val="18"/>
                <w:szCs w:val="18"/>
                <w:rtl/>
              </w:rPr>
              <w:t>لا (إحداثي عشوائي)</w:t>
            </w:r>
          </w:p>
        </w:tc>
        <w:tc>
          <w:tcPr>
            <w:tcW w:w="1650" w:type="dxa"/>
            <w:tcMar>
              <w:top w:w="80" w:type="dxa"/>
              <w:left w:w="100" w:type="dxa"/>
              <w:bottom w:w="80" w:type="dxa"/>
              <w:right w:w="100" w:type="dxa"/>
            </w:tcMar>
          </w:tcPr>
          <w:p w14:paraId="5806B656" w14:textId="77777777" w:rsidR="001255DB" w:rsidRDefault="00000000">
            <w:pPr>
              <w:jc w:val="center"/>
            </w:pPr>
            <w:r>
              <w:rPr>
                <w:rFonts w:ascii="Arial" w:eastAsia="Arial" w:hAnsi="Arial" w:cs="Arial"/>
                <w:sz w:val="18"/>
                <w:szCs w:val="18"/>
                <w:rtl/>
              </w:rPr>
              <w:t>لا</w:t>
            </w:r>
          </w:p>
        </w:tc>
        <w:tc>
          <w:tcPr>
            <w:tcW w:w="1650" w:type="dxa"/>
            <w:tcMar>
              <w:top w:w="80" w:type="dxa"/>
              <w:left w:w="100" w:type="dxa"/>
              <w:bottom w:w="80" w:type="dxa"/>
              <w:right w:w="100" w:type="dxa"/>
            </w:tcMar>
          </w:tcPr>
          <w:p w14:paraId="148DF2FC" w14:textId="77777777" w:rsidR="001255DB" w:rsidRDefault="00000000">
            <w:pPr>
              <w:jc w:val="center"/>
            </w:pPr>
            <w:r>
              <w:rPr>
                <w:rFonts w:ascii="Arial" w:eastAsia="Arial" w:hAnsi="Arial" w:cs="Arial"/>
                <w:sz w:val="18"/>
                <w:szCs w:val="18"/>
                <w:rtl/>
              </w:rPr>
              <w:t>لا</w:t>
            </w:r>
          </w:p>
        </w:tc>
        <w:tc>
          <w:tcPr>
            <w:tcW w:w="1750" w:type="dxa"/>
            <w:tcMar>
              <w:top w:w="80" w:type="dxa"/>
              <w:left w:w="100" w:type="dxa"/>
              <w:bottom w:w="80" w:type="dxa"/>
              <w:right w:w="100" w:type="dxa"/>
            </w:tcMar>
          </w:tcPr>
          <w:p w14:paraId="24AF7D0C" w14:textId="77777777" w:rsidR="001255DB" w:rsidRDefault="00000000">
            <w:pPr>
              <w:jc w:val="center"/>
            </w:pPr>
            <w:r>
              <w:rPr>
                <w:rFonts w:ascii="Arial" w:eastAsia="Arial" w:hAnsi="Arial" w:cs="Arial"/>
                <w:sz w:val="18"/>
                <w:szCs w:val="18"/>
                <w:rtl/>
              </w:rPr>
              <w:t>محدب فقط</w:t>
            </w:r>
          </w:p>
        </w:tc>
      </w:tr>
      <w:tr w:rsidR="001255DB" w14:paraId="23CB7582" w14:textId="77777777">
        <w:tblPrEx>
          <w:tblCellMar>
            <w:top w:w="0" w:type="dxa"/>
            <w:bottom w:w="0" w:type="dxa"/>
          </w:tblCellMar>
        </w:tblPrEx>
        <w:tc>
          <w:tcPr>
            <w:tcW w:w="2600" w:type="dxa"/>
            <w:tcMar>
              <w:top w:w="80" w:type="dxa"/>
              <w:left w:w="100" w:type="dxa"/>
              <w:bottom w:w="80" w:type="dxa"/>
              <w:right w:w="100" w:type="dxa"/>
            </w:tcMar>
          </w:tcPr>
          <w:p w14:paraId="3A81DBB2" w14:textId="77777777" w:rsidR="001255DB" w:rsidRDefault="00000000">
            <w:pPr>
              <w:jc w:val="center"/>
            </w:pPr>
            <w:r>
              <w:rPr>
                <w:rFonts w:ascii="Arial" w:eastAsia="Arial" w:hAnsi="Arial" w:cs="Arial"/>
                <w:sz w:val="18"/>
                <w:szCs w:val="18"/>
                <w:rtl/>
              </w:rPr>
              <w:t>Zhao, Lucchi &amp; Doikov 2025 (SSCN-NC)</w:t>
            </w:r>
          </w:p>
        </w:tc>
        <w:tc>
          <w:tcPr>
            <w:tcW w:w="1750" w:type="dxa"/>
            <w:tcMar>
              <w:top w:w="80" w:type="dxa"/>
              <w:left w:w="100" w:type="dxa"/>
              <w:bottom w:w="80" w:type="dxa"/>
              <w:right w:w="100" w:type="dxa"/>
            </w:tcMar>
          </w:tcPr>
          <w:p w14:paraId="22D5FCA1" w14:textId="77777777" w:rsidR="001255DB" w:rsidRDefault="00000000">
            <w:pPr>
              <w:jc w:val="center"/>
            </w:pPr>
            <w:r>
              <w:rPr>
                <w:rFonts w:ascii="Arial" w:eastAsia="Arial" w:hAnsi="Arial" w:cs="Arial"/>
                <w:sz w:val="18"/>
                <w:szCs w:val="18"/>
                <w:rtl/>
              </w:rPr>
              <w:t>لا (إحداثي عشوائي)</w:t>
            </w:r>
          </w:p>
        </w:tc>
        <w:tc>
          <w:tcPr>
            <w:tcW w:w="1650" w:type="dxa"/>
            <w:tcMar>
              <w:top w:w="80" w:type="dxa"/>
              <w:left w:w="100" w:type="dxa"/>
              <w:bottom w:w="80" w:type="dxa"/>
              <w:right w:w="100" w:type="dxa"/>
            </w:tcMar>
          </w:tcPr>
          <w:p w14:paraId="0649727A" w14:textId="77777777" w:rsidR="001255DB" w:rsidRDefault="00000000">
            <w:pPr>
              <w:jc w:val="center"/>
            </w:pPr>
            <w:r>
              <w:rPr>
                <w:rFonts w:ascii="Arial" w:eastAsia="Arial" w:hAnsi="Arial" w:cs="Arial"/>
                <w:sz w:val="18"/>
                <w:szCs w:val="18"/>
                <w:rtl/>
              </w:rPr>
              <w:t>غير مباشر (μ(x))</w:t>
            </w:r>
          </w:p>
        </w:tc>
        <w:tc>
          <w:tcPr>
            <w:tcW w:w="1650" w:type="dxa"/>
            <w:tcMar>
              <w:top w:w="80" w:type="dxa"/>
              <w:left w:w="100" w:type="dxa"/>
              <w:bottom w:w="80" w:type="dxa"/>
              <w:right w:w="100" w:type="dxa"/>
            </w:tcMar>
          </w:tcPr>
          <w:p w14:paraId="4AB95875" w14:textId="77777777" w:rsidR="001255DB" w:rsidRDefault="00000000">
            <w:pPr>
              <w:jc w:val="center"/>
            </w:pPr>
            <w:r>
              <w:rPr>
                <w:rFonts w:ascii="Arial" w:eastAsia="Arial" w:hAnsi="Arial" w:cs="Arial"/>
                <w:sz w:val="18"/>
                <w:szCs w:val="18"/>
                <w:rtl/>
              </w:rPr>
              <w:t>نعم (τ_k متزايد)</w:t>
            </w:r>
          </w:p>
        </w:tc>
        <w:tc>
          <w:tcPr>
            <w:tcW w:w="1750" w:type="dxa"/>
            <w:tcMar>
              <w:top w:w="80" w:type="dxa"/>
              <w:left w:w="100" w:type="dxa"/>
              <w:bottom w:w="80" w:type="dxa"/>
              <w:right w:w="100" w:type="dxa"/>
            </w:tcMar>
          </w:tcPr>
          <w:p w14:paraId="43836BCD" w14:textId="77777777" w:rsidR="001255DB" w:rsidRDefault="00000000">
            <w:pPr>
              <w:jc w:val="center"/>
            </w:pPr>
            <w:r>
              <w:rPr>
                <w:rFonts w:ascii="Arial" w:eastAsia="Arial" w:hAnsi="Arial" w:cs="Arial"/>
                <w:sz w:val="18"/>
                <w:szCs w:val="18"/>
                <w:rtl/>
              </w:rPr>
              <w:t>نعم</w:t>
            </w:r>
          </w:p>
        </w:tc>
      </w:tr>
      <w:tr w:rsidR="001255DB" w14:paraId="01DC21DD" w14:textId="77777777">
        <w:tblPrEx>
          <w:tblCellMar>
            <w:top w:w="0" w:type="dxa"/>
            <w:bottom w:w="0" w:type="dxa"/>
          </w:tblCellMar>
        </w:tblPrEx>
        <w:tc>
          <w:tcPr>
            <w:tcW w:w="2600" w:type="dxa"/>
            <w:tcMar>
              <w:top w:w="80" w:type="dxa"/>
              <w:left w:w="100" w:type="dxa"/>
              <w:bottom w:w="80" w:type="dxa"/>
              <w:right w:w="100" w:type="dxa"/>
            </w:tcMar>
          </w:tcPr>
          <w:p w14:paraId="4F67D47E" w14:textId="77777777" w:rsidR="001255DB" w:rsidRPr="009712A8" w:rsidRDefault="00000000">
            <w:pPr>
              <w:jc w:val="center"/>
              <w:rPr>
                <w:lang w:val="fr-FR"/>
              </w:rPr>
            </w:pPr>
            <w:r>
              <w:rPr>
                <w:rFonts w:ascii="Arial" w:eastAsia="Arial" w:hAnsi="Arial" w:cs="Arial"/>
                <w:sz w:val="18"/>
                <w:szCs w:val="18"/>
                <w:rtl/>
              </w:rPr>
              <w:t>Jiang et al. 2024 (Krylov CRN)</w:t>
            </w:r>
          </w:p>
        </w:tc>
        <w:tc>
          <w:tcPr>
            <w:tcW w:w="1750" w:type="dxa"/>
            <w:tcMar>
              <w:top w:w="80" w:type="dxa"/>
              <w:left w:w="100" w:type="dxa"/>
              <w:bottom w:w="80" w:type="dxa"/>
              <w:right w:w="100" w:type="dxa"/>
            </w:tcMar>
          </w:tcPr>
          <w:p w14:paraId="5D4FBE90" w14:textId="77777777" w:rsidR="001255DB" w:rsidRDefault="00000000">
            <w:pPr>
              <w:jc w:val="center"/>
            </w:pPr>
            <w:r>
              <w:rPr>
                <w:rFonts w:ascii="Arial" w:eastAsia="Arial" w:hAnsi="Arial" w:cs="Arial"/>
                <w:sz w:val="18"/>
                <w:szCs w:val="18"/>
                <w:rtl/>
              </w:rPr>
              <w:t>نعم</w:t>
            </w:r>
          </w:p>
        </w:tc>
        <w:tc>
          <w:tcPr>
            <w:tcW w:w="1650" w:type="dxa"/>
            <w:tcMar>
              <w:top w:w="80" w:type="dxa"/>
              <w:left w:w="100" w:type="dxa"/>
              <w:bottom w:w="80" w:type="dxa"/>
              <w:right w:w="100" w:type="dxa"/>
            </w:tcMar>
          </w:tcPr>
          <w:p w14:paraId="574E7D84" w14:textId="77777777" w:rsidR="001255DB" w:rsidRDefault="00000000">
            <w:pPr>
              <w:jc w:val="center"/>
            </w:pPr>
            <w:r>
              <w:rPr>
                <w:rFonts w:ascii="Arial" w:eastAsia="Arial" w:hAnsi="Arial" w:cs="Arial"/>
                <w:sz w:val="18"/>
                <w:szCs w:val="18"/>
                <w:rtl/>
              </w:rPr>
              <w:t>لا</w:t>
            </w:r>
          </w:p>
        </w:tc>
        <w:tc>
          <w:tcPr>
            <w:tcW w:w="1650" w:type="dxa"/>
            <w:tcMar>
              <w:top w:w="80" w:type="dxa"/>
              <w:left w:w="100" w:type="dxa"/>
              <w:bottom w:w="80" w:type="dxa"/>
              <w:right w:w="100" w:type="dxa"/>
            </w:tcMar>
          </w:tcPr>
          <w:p w14:paraId="79321DAC" w14:textId="77777777" w:rsidR="001255DB" w:rsidRDefault="00000000">
            <w:pPr>
              <w:jc w:val="center"/>
            </w:pPr>
            <w:r>
              <w:rPr>
                <w:rFonts w:ascii="Arial" w:eastAsia="Arial" w:hAnsi="Arial" w:cs="Arial"/>
                <w:sz w:val="18"/>
                <w:szCs w:val="18"/>
                <w:rtl/>
              </w:rPr>
              <w:t>لا (m ثابت)</w:t>
            </w:r>
          </w:p>
        </w:tc>
        <w:tc>
          <w:tcPr>
            <w:tcW w:w="1750" w:type="dxa"/>
            <w:tcMar>
              <w:top w:w="80" w:type="dxa"/>
              <w:left w:w="100" w:type="dxa"/>
              <w:bottom w:w="80" w:type="dxa"/>
              <w:right w:w="100" w:type="dxa"/>
            </w:tcMar>
          </w:tcPr>
          <w:p w14:paraId="12A93ED5" w14:textId="77777777" w:rsidR="001255DB" w:rsidRDefault="00000000">
            <w:pPr>
              <w:jc w:val="center"/>
            </w:pPr>
            <w:r>
              <w:rPr>
                <w:rFonts w:ascii="Arial" w:eastAsia="Arial" w:hAnsi="Arial" w:cs="Arial"/>
                <w:sz w:val="18"/>
                <w:szCs w:val="18"/>
                <w:rtl/>
              </w:rPr>
              <w:t>محدب فقط</w:t>
            </w:r>
          </w:p>
        </w:tc>
      </w:tr>
      <w:tr w:rsidR="001255DB" w14:paraId="1B577972" w14:textId="77777777">
        <w:tblPrEx>
          <w:tblCellMar>
            <w:top w:w="0" w:type="dxa"/>
            <w:bottom w:w="0" w:type="dxa"/>
          </w:tblCellMar>
        </w:tblPrEx>
        <w:tc>
          <w:tcPr>
            <w:tcW w:w="2600" w:type="dxa"/>
            <w:tcMar>
              <w:top w:w="80" w:type="dxa"/>
              <w:left w:w="100" w:type="dxa"/>
              <w:bottom w:w="80" w:type="dxa"/>
              <w:right w:w="100" w:type="dxa"/>
            </w:tcMar>
          </w:tcPr>
          <w:p w14:paraId="750BBC67" w14:textId="77777777" w:rsidR="001255DB" w:rsidRDefault="00000000">
            <w:pPr>
              <w:jc w:val="center"/>
            </w:pPr>
            <w:r>
              <w:rPr>
                <w:rFonts w:ascii="Arial" w:eastAsia="Arial" w:hAnsi="Arial" w:cs="Arial"/>
                <w:sz w:val="18"/>
                <w:szCs w:val="18"/>
                <w:rtl/>
              </w:rPr>
              <w:t>Dauphin et al. 2014 (SFN)</w:t>
            </w:r>
          </w:p>
        </w:tc>
        <w:tc>
          <w:tcPr>
            <w:tcW w:w="1750" w:type="dxa"/>
            <w:tcMar>
              <w:top w:w="80" w:type="dxa"/>
              <w:left w:w="100" w:type="dxa"/>
              <w:bottom w:w="80" w:type="dxa"/>
              <w:right w:w="100" w:type="dxa"/>
            </w:tcMar>
          </w:tcPr>
          <w:p w14:paraId="5E47A033" w14:textId="77777777" w:rsidR="001255DB" w:rsidRDefault="00000000">
            <w:pPr>
              <w:jc w:val="center"/>
            </w:pPr>
            <w:r>
              <w:rPr>
                <w:rFonts w:ascii="Arial" w:eastAsia="Arial" w:hAnsi="Arial" w:cs="Arial"/>
                <w:sz w:val="18"/>
                <w:szCs w:val="18"/>
                <w:rtl/>
              </w:rPr>
              <w:t>نعم (بعد ثابت)</w:t>
            </w:r>
          </w:p>
        </w:tc>
        <w:tc>
          <w:tcPr>
            <w:tcW w:w="1650" w:type="dxa"/>
            <w:tcMar>
              <w:top w:w="80" w:type="dxa"/>
              <w:left w:w="100" w:type="dxa"/>
              <w:bottom w:w="80" w:type="dxa"/>
              <w:right w:w="100" w:type="dxa"/>
            </w:tcMar>
          </w:tcPr>
          <w:p w14:paraId="7CD99AC4" w14:textId="77777777" w:rsidR="001255DB" w:rsidRDefault="00000000">
            <w:pPr>
              <w:jc w:val="center"/>
            </w:pPr>
            <w:r>
              <w:rPr>
                <w:rFonts w:ascii="Arial" w:eastAsia="Arial" w:hAnsi="Arial" w:cs="Arial"/>
                <w:sz w:val="18"/>
                <w:szCs w:val="18"/>
                <w:rtl/>
              </w:rPr>
              <w:t>نعم (|Λ|)</w:t>
            </w:r>
          </w:p>
        </w:tc>
        <w:tc>
          <w:tcPr>
            <w:tcW w:w="1650" w:type="dxa"/>
            <w:tcMar>
              <w:top w:w="80" w:type="dxa"/>
              <w:left w:w="100" w:type="dxa"/>
              <w:bottom w:w="80" w:type="dxa"/>
              <w:right w:w="100" w:type="dxa"/>
            </w:tcMar>
          </w:tcPr>
          <w:p w14:paraId="43135407" w14:textId="77777777" w:rsidR="001255DB" w:rsidRDefault="00000000">
            <w:pPr>
              <w:jc w:val="center"/>
            </w:pPr>
            <w:r>
              <w:rPr>
                <w:rFonts w:ascii="Arial" w:eastAsia="Arial" w:hAnsi="Arial" w:cs="Arial"/>
                <w:sz w:val="18"/>
                <w:szCs w:val="18"/>
                <w:rtl/>
              </w:rPr>
              <w:t>لا</w:t>
            </w:r>
          </w:p>
        </w:tc>
        <w:tc>
          <w:tcPr>
            <w:tcW w:w="1750" w:type="dxa"/>
            <w:tcMar>
              <w:top w:w="80" w:type="dxa"/>
              <w:left w:w="100" w:type="dxa"/>
              <w:bottom w:w="80" w:type="dxa"/>
              <w:right w:w="100" w:type="dxa"/>
            </w:tcMar>
          </w:tcPr>
          <w:p w14:paraId="578B7013" w14:textId="77777777" w:rsidR="001255DB" w:rsidRDefault="00000000">
            <w:pPr>
              <w:jc w:val="center"/>
            </w:pPr>
            <w:r>
              <w:rPr>
                <w:rFonts w:ascii="Arial" w:eastAsia="Arial" w:hAnsi="Arial" w:cs="Arial"/>
                <w:sz w:val="18"/>
                <w:szCs w:val="18"/>
                <w:rtl/>
              </w:rPr>
              <w:t>لا (تجريبي)</w:t>
            </w:r>
          </w:p>
        </w:tc>
      </w:tr>
      <w:tr w:rsidR="001255DB" w14:paraId="39DB7BAD" w14:textId="77777777">
        <w:tblPrEx>
          <w:tblCellMar>
            <w:top w:w="0" w:type="dxa"/>
            <w:bottom w:w="0" w:type="dxa"/>
          </w:tblCellMar>
        </w:tblPrEx>
        <w:tc>
          <w:tcPr>
            <w:tcW w:w="2600" w:type="dxa"/>
            <w:tcMar>
              <w:top w:w="80" w:type="dxa"/>
              <w:left w:w="100" w:type="dxa"/>
              <w:bottom w:w="80" w:type="dxa"/>
              <w:right w:w="100" w:type="dxa"/>
            </w:tcMar>
          </w:tcPr>
          <w:p w14:paraId="05DADD83" w14:textId="77777777" w:rsidR="001255DB" w:rsidRDefault="00000000">
            <w:pPr>
              <w:jc w:val="center"/>
            </w:pPr>
            <w:r>
              <w:rPr>
                <w:rFonts w:ascii="Arial" w:eastAsia="Arial" w:hAnsi="Arial" w:cs="Arial"/>
                <w:sz w:val="18"/>
                <w:szCs w:val="18"/>
                <w:rtl/>
              </w:rPr>
              <w:t>O'Leary-Roseberry et al. 2020</w:t>
            </w:r>
          </w:p>
        </w:tc>
        <w:tc>
          <w:tcPr>
            <w:tcW w:w="1750" w:type="dxa"/>
            <w:tcMar>
              <w:top w:w="80" w:type="dxa"/>
              <w:left w:w="100" w:type="dxa"/>
              <w:bottom w:w="80" w:type="dxa"/>
              <w:right w:w="100" w:type="dxa"/>
            </w:tcMar>
          </w:tcPr>
          <w:p w14:paraId="3870AEED" w14:textId="77777777" w:rsidR="001255DB" w:rsidRDefault="00000000">
            <w:pPr>
              <w:jc w:val="center"/>
            </w:pPr>
            <w:r>
              <w:rPr>
                <w:rFonts w:ascii="Arial" w:eastAsia="Arial" w:hAnsi="Arial" w:cs="Arial"/>
                <w:sz w:val="18"/>
                <w:szCs w:val="18"/>
                <w:rtl/>
              </w:rPr>
              <w:t>لا (منخفض الرتبة)</w:t>
            </w:r>
          </w:p>
        </w:tc>
        <w:tc>
          <w:tcPr>
            <w:tcW w:w="1650" w:type="dxa"/>
            <w:tcMar>
              <w:top w:w="80" w:type="dxa"/>
              <w:left w:w="100" w:type="dxa"/>
              <w:bottom w:w="80" w:type="dxa"/>
              <w:right w:w="100" w:type="dxa"/>
            </w:tcMar>
          </w:tcPr>
          <w:p w14:paraId="55F386C0" w14:textId="77777777" w:rsidR="001255DB" w:rsidRDefault="00000000">
            <w:pPr>
              <w:jc w:val="center"/>
            </w:pPr>
            <w:r>
              <w:rPr>
                <w:rFonts w:ascii="Arial" w:eastAsia="Arial" w:hAnsi="Arial" w:cs="Arial"/>
                <w:sz w:val="18"/>
                <w:szCs w:val="18"/>
                <w:rtl/>
              </w:rPr>
              <w:t>نعم</w:t>
            </w:r>
          </w:p>
        </w:tc>
        <w:tc>
          <w:tcPr>
            <w:tcW w:w="1650" w:type="dxa"/>
            <w:tcMar>
              <w:top w:w="80" w:type="dxa"/>
              <w:left w:w="100" w:type="dxa"/>
              <w:bottom w:w="80" w:type="dxa"/>
              <w:right w:w="100" w:type="dxa"/>
            </w:tcMar>
          </w:tcPr>
          <w:p w14:paraId="7A85469E" w14:textId="77777777" w:rsidR="001255DB" w:rsidRDefault="00000000">
            <w:pPr>
              <w:jc w:val="center"/>
            </w:pPr>
            <w:r>
              <w:rPr>
                <w:rFonts w:ascii="Arial" w:eastAsia="Arial" w:hAnsi="Arial" w:cs="Arial"/>
                <w:sz w:val="18"/>
                <w:szCs w:val="18"/>
                <w:rtl/>
              </w:rPr>
              <w:t>لا</w:t>
            </w:r>
          </w:p>
        </w:tc>
        <w:tc>
          <w:tcPr>
            <w:tcW w:w="1750" w:type="dxa"/>
            <w:tcMar>
              <w:top w:w="80" w:type="dxa"/>
              <w:left w:w="100" w:type="dxa"/>
              <w:bottom w:w="80" w:type="dxa"/>
              <w:right w:w="100" w:type="dxa"/>
            </w:tcMar>
          </w:tcPr>
          <w:p w14:paraId="65F3178D" w14:textId="77777777" w:rsidR="001255DB" w:rsidRDefault="00000000">
            <w:pPr>
              <w:jc w:val="center"/>
            </w:pPr>
            <w:r>
              <w:rPr>
                <w:rFonts w:ascii="Arial" w:eastAsia="Arial" w:hAnsi="Arial" w:cs="Arial"/>
                <w:sz w:val="18"/>
                <w:szCs w:val="18"/>
                <w:rtl/>
              </w:rPr>
              <w:t>جزئي</w:t>
            </w:r>
          </w:p>
        </w:tc>
      </w:tr>
      <w:tr w:rsidR="001255DB" w14:paraId="35BBF100" w14:textId="77777777">
        <w:tblPrEx>
          <w:tblCellMar>
            <w:top w:w="0" w:type="dxa"/>
            <w:bottom w:w="0" w:type="dxa"/>
          </w:tblCellMar>
        </w:tblPrEx>
        <w:tc>
          <w:tcPr>
            <w:tcW w:w="2600" w:type="dxa"/>
            <w:shd w:val="clear" w:color="auto" w:fill="FFF2CC"/>
            <w:tcMar>
              <w:top w:w="80" w:type="dxa"/>
              <w:left w:w="100" w:type="dxa"/>
              <w:bottom w:w="80" w:type="dxa"/>
              <w:right w:w="100" w:type="dxa"/>
            </w:tcMar>
          </w:tcPr>
          <w:p w14:paraId="34247490" w14:textId="77777777" w:rsidR="001255DB" w:rsidRDefault="00000000">
            <w:pPr>
              <w:jc w:val="center"/>
            </w:pPr>
            <w:r>
              <w:rPr>
                <w:rFonts w:ascii="Arial" w:eastAsia="Arial" w:hAnsi="Arial" w:cs="Arial"/>
                <w:sz w:val="18"/>
                <w:szCs w:val="18"/>
                <w:rtl/>
              </w:rPr>
              <w:t>الأطروحة المقترحة (DA-SFCN)</w:t>
            </w:r>
          </w:p>
        </w:tc>
        <w:tc>
          <w:tcPr>
            <w:tcW w:w="1750" w:type="dxa"/>
            <w:shd w:val="clear" w:color="auto" w:fill="FFF2CC"/>
            <w:tcMar>
              <w:top w:w="80" w:type="dxa"/>
              <w:left w:w="100" w:type="dxa"/>
              <w:bottom w:w="80" w:type="dxa"/>
              <w:right w:w="100" w:type="dxa"/>
            </w:tcMar>
          </w:tcPr>
          <w:p w14:paraId="7598948C" w14:textId="77777777" w:rsidR="001255DB" w:rsidRDefault="00000000">
            <w:pPr>
              <w:jc w:val="center"/>
            </w:pPr>
            <w:r>
              <w:rPr>
                <w:rFonts w:ascii="Arial" w:eastAsia="Arial" w:hAnsi="Arial" w:cs="Arial"/>
                <w:sz w:val="18"/>
                <w:szCs w:val="18"/>
                <w:rtl/>
              </w:rPr>
              <w:t>نعم</w:t>
            </w:r>
          </w:p>
        </w:tc>
        <w:tc>
          <w:tcPr>
            <w:tcW w:w="1650" w:type="dxa"/>
            <w:shd w:val="clear" w:color="auto" w:fill="FFF2CC"/>
            <w:tcMar>
              <w:top w:w="80" w:type="dxa"/>
              <w:left w:w="100" w:type="dxa"/>
              <w:bottom w:w="80" w:type="dxa"/>
              <w:right w:w="100" w:type="dxa"/>
            </w:tcMar>
          </w:tcPr>
          <w:p w14:paraId="7987AFB3" w14:textId="77777777" w:rsidR="001255DB" w:rsidRDefault="00000000">
            <w:pPr>
              <w:jc w:val="center"/>
            </w:pPr>
            <w:r>
              <w:rPr>
                <w:rFonts w:ascii="Arial" w:eastAsia="Arial" w:hAnsi="Arial" w:cs="Arial"/>
                <w:sz w:val="18"/>
                <w:szCs w:val="18"/>
                <w:rtl/>
              </w:rPr>
              <w:t>نعم</w:t>
            </w:r>
          </w:p>
        </w:tc>
        <w:tc>
          <w:tcPr>
            <w:tcW w:w="1650" w:type="dxa"/>
            <w:shd w:val="clear" w:color="auto" w:fill="FFF2CC"/>
            <w:tcMar>
              <w:top w:w="80" w:type="dxa"/>
              <w:left w:w="100" w:type="dxa"/>
              <w:bottom w:w="80" w:type="dxa"/>
              <w:right w:w="100" w:type="dxa"/>
            </w:tcMar>
          </w:tcPr>
          <w:p w14:paraId="656C5525" w14:textId="77777777" w:rsidR="001255DB" w:rsidRDefault="00000000">
            <w:pPr>
              <w:jc w:val="center"/>
            </w:pPr>
            <w:r>
              <w:rPr>
                <w:rFonts w:ascii="Arial" w:eastAsia="Arial" w:hAnsi="Arial" w:cs="Arial"/>
                <w:sz w:val="18"/>
                <w:szCs w:val="18"/>
                <w:rtl/>
              </w:rPr>
              <w:t>نعم (مثبت نظريًا)</w:t>
            </w:r>
          </w:p>
        </w:tc>
        <w:tc>
          <w:tcPr>
            <w:tcW w:w="1750" w:type="dxa"/>
            <w:shd w:val="clear" w:color="auto" w:fill="FFF2CC"/>
            <w:tcMar>
              <w:top w:w="80" w:type="dxa"/>
              <w:left w:w="100" w:type="dxa"/>
              <w:bottom w:w="80" w:type="dxa"/>
              <w:right w:w="100" w:type="dxa"/>
            </w:tcMar>
          </w:tcPr>
          <w:p w14:paraId="080B54AC" w14:textId="77777777" w:rsidR="001255DB" w:rsidRDefault="00000000">
            <w:pPr>
              <w:jc w:val="center"/>
            </w:pPr>
            <w:r>
              <w:rPr>
                <w:rFonts w:ascii="Arial" w:eastAsia="Arial" w:hAnsi="Arial" w:cs="Arial"/>
                <w:sz w:val="18"/>
                <w:szCs w:val="18"/>
                <w:rtl/>
              </w:rPr>
              <w:t>نعم (هدف)</w:t>
            </w:r>
          </w:p>
        </w:tc>
      </w:tr>
    </w:tbl>
    <w:p w14:paraId="06194E6B" w14:textId="77777777" w:rsidR="001255DB" w:rsidRDefault="001255DB">
      <w:pPr>
        <w:spacing w:before="200"/>
      </w:pPr>
    </w:p>
    <w:p w14:paraId="13E201F1" w14:textId="77777777" w:rsidR="001255DB" w:rsidRDefault="00000000">
      <w:pPr>
        <w:pStyle w:val="2"/>
        <w:bidi/>
        <w:spacing w:before="300" w:after="150"/>
        <w:jc w:val="right"/>
      </w:pPr>
      <w:r>
        <w:rPr>
          <w:rFonts w:ascii="Arial" w:eastAsia="Arial" w:hAnsi="Arial" w:cs="Arial"/>
          <w:b/>
          <w:bCs/>
          <w:rtl/>
        </w:rPr>
        <w:t>2.9 صياغة الفجوة البحثية بدقة</w:t>
      </w:r>
    </w:p>
    <w:p w14:paraId="60712E53" w14:textId="77777777" w:rsidR="001255DB" w:rsidRDefault="00000000">
      <w:pPr>
        <w:spacing w:after="200" w:line="300" w:lineRule="auto"/>
        <w:jc w:val="both"/>
      </w:pPr>
      <w:r>
        <w:rPr>
          <w:rFonts w:ascii="Arial" w:eastAsia="Arial" w:hAnsi="Arial" w:cs="Arial"/>
          <w:sz w:val="22"/>
          <w:szCs w:val="22"/>
          <w:rtl/>
        </w:rPr>
        <w:t>بناءً على المراجعة أعلاه، تُصاغ الفجوة البحثية الدقيقة التي تستهدفها هذه الأطروحة كما يلي:</w:t>
      </w:r>
    </w:p>
    <w:p w14:paraId="710B13B2" w14:textId="77777777" w:rsidR="001255DB" w:rsidRDefault="00000000">
      <w:pPr>
        <w:spacing w:after="200" w:line="300" w:lineRule="auto"/>
        <w:jc w:val="both"/>
      </w:pPr>
      <w:r>
        <w:rPr>
          <w:rFonts w:ascii="Arial" w:eastAsia="Arial" w:hAnsi="Arial" w:cs="Arial"/>
          <w:i/>
          <w:iCs/>
          <w:sz w:val="22"/>
          <w:szCs w:val="22"/>
          <w:rtl/>
        </w:rPr>
        <w:t>"تصميم وإثبات معدل تقارب صريح لطريقة نيوتن تكعيبية التنظيم، مقيَّدة بفضاء كريلوف موجَّه طيفيًا (لا عشوائيًا)، مزوَّدة بتصحيح صريح للانحناء السالب لضمان الهروب من نقاط السرج، ذات بعد فضاء جزئي m_k يتغير ديناميكيًا مع التكرار وفق جدولة مشتقة رياضيًا من نظرية تقارب Lanczos/CG (لا مفترضة تجريبيًا)، بحيث تحقق الطريقة معدل تقارب عالمي للمسائل غير المحدبة من رتبة O(k^(−2/3))، وتقاربًا تربيعيًا محليًا، بتكلفة تراكمية أقل من نظيراتها ذات البعد الثابت."</w:t>
      </w:r>
    </w:p>
    <w:p w14:paraId="50FF82EF" w14:textId="77777777" w:rsidR="001255DB" w:rsidRDefault="00000000">
      <w:pPr>
        <w:spacing w:after="200" w:line="300" w:lineRule="auto"/>
        <w:jc w:val="both"/>
      </w:pPr>
      <w:r>
        <w:rPr>
          <w:rFonts w:ascii="Arial" w:eastAsia="Arial" w:hAnsi="Arial" w:cs="Arial"/>
          <w:sz w:val="22"/>
          <w:szCs w:val="22"/>
          <w:rtl/>
        </w:rPr>
        <w:t>لاحظ أن كل عنصر من هذه العناصر الأربعة موجود منفردًا في عمل سابق واحد على الأقل (كما يوضح الجدول أعلاه)، لكن التركيبة الكاملة — وتحديدًا الجدولة الديناميكية المثبتة نظريًا لـ m_k في سياق كريلوف+سرج — غير موجودة، وهذا ما يمنح الأطروحة أصالتها العلمية دون الحاجة لادعاء اختراع كل مكوّن من الصفر.</w:t>
      </w:r>
    </w:p>
    <w:p w14:paraId="754EDA9F" w14:textId="77777777" w:rsidR="001255DB" w:rsidRDefault="00000000">
      <w:r>
        <w:br w:type="page"/>
      </w:r>
    </w:p>
    <w:p w14:paraId="6D25F0C2" w14:textId="77777777" w:rsidR="001255DB" w:rsidRDefault="00000000">
      <w:pPr>
        <w:pStyle w:val="1"/>
        <w:bidi/>
        <w:spacing w:before="400" w:after="200"/>
        <w:jc w:val="right"/>
      </w:pPr>
      <w:r>
        <w:rPr>
          <w:rFonts w:ascii="Arial" w:eastAsia="Arial" w:hAnsi="Arial" w:cs="Arial"/>
          <w:b/>
          <w:bCs/>
          <w:sz w:val="30"/>
          <w:szCs w:val="30"/>
          <w:rtl/>
        </w:rPr>
        <w:lastRenderedPageBreak/>
        <w:t>3. عشر أفكار تحسينية (Improvement Ideas)</w:t>
      </w:r>
    </w:p>
    <w:p w14:paraId="63922B00" w14:textId="77777777" w:rsidR="001255DB" w:rsidRDefault="00000000">
      <w:pPr>
        <w:spacing w:after="200" w:line="300" w:lineRule="auto"/>
        <w:jc w:val="both"/>
      </w:pPr>
      <w:r>
        <w:rPr>
          <w:rFonts w:ascii="Arial" w:eastAsia="Arial" w:hAnsi="Arial" w:cs="Arial"/>
          <w:sz w:val="22"/>
          <w:szCs w:val="22"/>
          <w:rtl/>
        </w:rPr>
        <w:t>هذه الأفكار مرتبة من الأكثر جوهرية للأطروحة (وتشكّل نواة الخوارزمية الأولى المقترحة) إلى الأكثر امتدادًا وتوسعًا (وتُبنى عليها الخوارزميات 2–6 لاحقًا). كل فكرة مرتبطة بفجوة محددة من المراجعة أعلاه.</w:t>
      </w:r>
    </w:p>
    <w:p w14:paraId="798887D2" w14:textId="77777777" w:rsidR="001255DB" w:rsidRDefault="00000000">
      <w:pPr>
        <w:pStyle w:val="3"/>
        <w:bidi/>
        <w:spacing w:before="200" w:after="100"/>
        <w:jc w:val="right"/>
      </w:pPr>
      <w:r>
        <w:rPr>
          <w:rFonts w:ascii="Arial" w:eastAsia="Arial" w:hAnsi="Arial" w:cs="Arial"/>
          <w:b/>
          <w:bCs/>
          <w:sz w:val="23"/>
          <w:szCs w:val="23"/>
          <w:rtl/>
        </w:rPr>
        <w:t>الفكرة 1: جدولة ديناميكية لبعد فضاء كريلوف مبنية على نظرية CG/تشيبيشيف</w:t>
      </w:r>
    </w:p>
    <w:p w14:paraId="05CF87EB" w14:textId="77777777" w:rsidR="001255DB" w:rsidRDefault="00000000">
      <w:pPr>
        <w:spacing w:after="200" w:line="300" w:lineRule="auto"/>
        <w:jc w:val="both"/>
      </w:pPr>
      <w:r>
        <w:rPr>
          <w:rFonts w:ascii="Arial" w:eastAsia="Arial" w:hAnsi="Arial" w:cs="Arial"/>
          <w:sz w:val="22"/>
          <w:szCs w:val="22"/>
          <w:rtl/>
        </w:rPr>
        <w:t>بدل بعد ثابت m كما في Jiang et al. (2024)، يُقترح ربط m_k بمقياس محسوب فعليًا (لا مفترض) لمدى قرب التكرار الحالي من الحل: نسبة تناقص معيار التدرّج r_k=‖g_k‖/‖g_0‖. بالاستناد لحد تقارب CG الكلاسيكي ولـ Lemma 2/5 في Jiang et al. (2024)، يُشتق قانون نمو m_k لوغاريتمي (لا كثير حدود كما في المحاولة الأولية) في 1/‖g_k‖، بما يضمن الحفاظ على رتبة التقارب المطلوبة بأقل بعد ممكن عند كل تكرار.</w:t>
      </w:r>
    </w:p>
    <w:p w14:paraId="059DE2F8" w14:textId="77777777" w:rsidR="001255DB" w:rsidRDefault="00000000">
      <w:pPr>
        <w:bidi w:val="0"/>
        <w:spacing w:before="100" w:after="200"/>
        <w:jc w:val="center"/>
      </w:pPr>
      <w:r>
        <w:rPr>
          <w:rFonts w:ascii="Consolas" w:eastAsia="Consolas" w:hAnsi="Consolas" w:cs="Consolas"/>
          <w:sz w:val="22"/>
          <w:szCs w:val="22"/>
        </w:rPr>
        <w:t>m_k = m_min + ⌈α · log(1 + ‖g_0‖ / ‖g_k‖)⌉ ,  مقيدة بـ m_max</w:t>
      </w:r>
    </w:p>
    <w:p w14:paraId="1518F819" w14:textId="77777777" w:rsidR="001255DB" w:rsidRDefault="00000000">
      <w:pPr>
        <w:pStyle w:val="3"/>
        <w:bidi/>
        <w:spacing w:before="200" w:after="100"/>
        <w:jc w:val="right"/>
      </w:pPr>
      <w:r>
        <w:rPr>
          <w:rFonts w:ascii="Arial" w:eastAsia="Arial" w:hAnsi="Arial" w:cs="Arial"/>
          <w:b/>
          <w:bCs/>
          <w:sz w:val="23"/>
          <w:szCs w:val="23"/>
          <w:rtl/>
        </w:rPr>
        <w:t>الفكرة 2: دمج تصحيح الانحناء السالب داخل التنظيم التكعيبي المقيَّد بكريلوف</w:t>
      </w:r>
    </w:p>
    <w:p w14:paraId="79F28CCD" w14:textId="77777777" w:rsidR="001255DB" w:rsidRDefault="00000000">
      <w:pPr>
        <w:spacing w:after="200" w:line="300" w:lineRule="auto"/>
        <w:jc w:val="both"/>
      </w:pPr>
      <w:r>
        <w:rPr>
          <w:rFonts w:ascii="Arial" w:eastAsia="Arial" w:hAnsi="Arial" w:cs="Arial"/>
          <w:sz w:val="22"/>
          <w:szCs w:val="22"/>
          <w:rtl/>
        </w:rPr>
        <w:t>تعميم فكرة Dauphin et al. (2014) — استبدال القيم الذاتية بقيمها المطلقة — لتُطبَّق داخل المصفوفة المصغّرة ثلاثية القطر الناتجة عن Lanczos (وليس على الهيسيان الكامل)، ثم حل المسألة التكعيبية الفرعية على هذا التقريب المصحَّح. هذا يحوّل إطار Jiang et al. المحدب إلى إطار صالح للحالات غير المحدبة دون فقدان بنية المسألة الفرعية أحادية البعد القابلة للحل عبر معادلة سكانتية (secular equation).</w:t>
      </w:r>
    </w:p>
    <w:p w14:paraId="69109DBD" w14:textId="77777777" w:rsidR="001255DB" w:rsidRDefault="00000000">
      <w:pPr>
        <w:pStyle w:val="3"/>
        <w:bidi/>
        <w:spacing w:before="200" w:after="100"/>
        <w:jc w:val="right"/>
      </w:pPr>
      <w:r>
        <w:rPr>
          <w:rFonts w:ascii="Arial" w:eastAsia="Arial" w:hAnsi="Arial" w:cs="Arial"/>
          <w:b/>
          <w:bCs/>
          <w:sz w:val="23"/>
          <w:szCs w:val="23"/>
          <w:rtl/>
        </w:rPr>
        <w:t>الفكرة 3: مُقدِّرات مخفَّضة التباين لجداء هيسيان-متجه العشوائي</w:t>
      </w:r>
    </w:p>
    <w:p w14:paraId="3D8052DF" w14:textId="77777777" w:rsidR="001255DB" w:rsidRDefault="00000000">
      <w:pPr>
        <w:spacing w:after="200" w:line="300" w:lineRule="auto"/>
        <w:jc w:val="both"/>
      </w:pPr>
      <w:r>
        <w:rPr>
          <w:rFonts w:ascii="Arial" w:eastAsia="Arial" w:hAnsi="Arial" w:cs="Arial"/>
          <w:sz w:val="22"/>
          <w:szCs w:val="22"/>
          <w:rtl/>
        </w:rPr>
        <w:t>لمسائل المجموع المنتهي (finite-sum) في التعلّم الآلي، استبدال جداء هيسيان-متجه الدقيق بمُقدِّر SARAH/EMA مخفَّض التباين (كما في Pasechnyuk-Vilensky et al., 2025) عند بناء فضاء كريلوف، مع تحليل كيف يتفاعل ضجيج التقدير مع الجدولة الديناميكية لـ m_k — إذ إن الضجيج العشوائي قد يُبطل فرضية التناقص الأحادي لـ ‖g_k‖ التي تُبنى عليها الفكرة 1.</w:t>
      </w:r>
    </w:p>
    <w:p w14:paraId="7EF80E79" w14:textId="77777777" w:rsidR="001255DB" w:rsidRDefault="00000000">
      <w:pPr>
        <w:pStyle w:val="3"/>
        <w:bidi/>
        <w:spacing w:before="200" w:after="100"/>
        <w:jc w:val="right"/>
      </w:pPr>
      <w:r>
        <w:rPr>
          <w:rFonts w:ascii="Arial" w:eastAsia="Arial" w:hAnsi="Arial" w:cs="Arial"/>
          <w:b/>
          <w:bCs/>
          <w:sz w:val="23"/>
          <w:szCs w:val="23"/>
          <w:rtl/>
        </w:rPr>
        <w:t>الفكرة 4: إعادة استخدام الهيسيان الكسول (Lazy Hessian) عبر التكرارات</w:t>
      </w:r>
    </w:p>
    <w:p w14:paraId="0D503384" w14:textId="77777777" w:rsidR="001255DB" w:rsidRDefault="00000000">
      <w:pPr>
        <w:spacing w:after="200" w:line="300" w:lineRule="auto"/>
        <w:jc w:val="both"/>
      </w:pPr>
      <w:r>
        <w:rPr>
          <w:rFonts w:ascii="Arial" w:eastAsia="Arial" w:hAnsi="Arial" w:cs="Arial"/>
          <w:sz w:val="22"/>
          <w:szCs w:val="22"/>
          <w:rtl/>
        </w:rPr>
        <w:t>استلهامًا من Doikov, Chayti &amp; Jaggi (2023)، إعادة استخدام نفس تحليل Lanczos (أو تحديثه جزئيًا فقط) لعدة تكرارات متتالية بدل إعادة بنائه من الصفر، مع تحليل الخطأ الناتج σ=L_2‖x_k−x_t‖ وربطه بجدولة m_k — الفرضية هي أن جدولة m_k الديناميكية تسمح بفترات "كسل" أطول عندما نكون بعيدين عن الحل (حيث الدقة المطلوبة أصلًا منخفضة).</w:t>
      </w:r>
    </w:p>
    <w:p w14:paraId="58D516A9" w14:textId="77777777" w:rsidR="001255DB" w:rsidRDefault="00000000">
      <w:pPr>
        <w:pStyle w:val="3"/>
        <w:bidi/>
        <w:spacing w:before="200" w:after="100"/>
        <w:jc w:val="right"/>
      </w:pPr>
      <w:r>
        <w:rPr>
          <w:rFonts w:ascii="Arial" w:eastAsia="Arial" w:hAnsi="Arial" w:cs="Arial"/>
          <w:b/>
          <w:bCs/>
          <w:sz w:val="23"/>
          <w:szCs w:val="23"/>
          <w:rtl/>
        </w:rPr>
        <w:t>الفكرة 5: الإحماء عبر اتجاهات شبه-نيوتن (Quasi-Newton Warm-Start)</w:t>
      </w:r>
    </w:p>
    <w:p w14:paraId="01D324B8" w14:textId="77777777" w:rsidR="001255DB" w:rsidRDefault="00000000">
      <w:pPr>
        <w:spacing w:after="200" w:line="300" w:lineRule="auto"/>
        <w:jc w:val="both"/>
      </w:pPr>
      <w:r>
        <w:rPr>
          <w:rFonts w:ascii="Arial" w:eastAsia="Arial" w:hAnsi="Arial" w:cs="Arial"/>
          <w:sz w:val="22"/>
          <w:szCs w:val="22"/>
          <w:rtl/>
        </w:rPr>
        <w:t>استخدام آخر عدد صغير من أزواج (s_i, y_i) المخزَّنة من L-BFGS كمتجهات بداية إضافية لفضاء كريلوف (بدل الاكتفاء بمتجه التدرّج فقط)، بهدف تقليل m_min اللازم للوصول لنفس الدقة، مستفيدين من المعلومة التاريخية التي تراكمت مجانًا تقريبًا.</w:t>
      </w:r>
    </w:p>
    <w:p w14:paraId="1C3459B9" w14:textId="77777777" w:rsidR="001255DB" w:rsidRDefault="00000000">
      <w:pPr>
        <w:pStyle w:val="3"/>
        <w:bidi/>
        <w:spacing w:before="200" w:after="100"/>
        <w:jc w:val="right"/>
      </w:pPr>
      <w:r>
        <w:rPr>
          <w:rFonts w:ascii="Arial" w:eastAsia="Arial" w:hAnsi="Arial" w:cs="Arial"/>
          <w:b/>
          <w:bCs/>
          <w:sz w:val="23"/>
          <w:szCs w:val="23"/>
          <w:rtl/>
        </w:rPr>
        <w:t>الفكرة 6: فضاء هجين: كريلوف + سكتش عشوائي مكمِّل</w:t>
      </w:r>
    </w:p>
    <w:p w14:paraId="1F62CE80" w14:textId="77777777" w:rsidR="001255DB" w:rsidRDefault="00000000">
      <w:pPr>
        <w:spacing w:after="200" w:line="300" w:lineRule="auto"/>
        <w:jc w:val="both"/>
      </w:pPr>
      <w:r>
        <w:rPr>
          <w:rFonts w:ascii="Arial" w:eastAsia="Arial" w:hAnsi="Arial" w:cs="Arial"/>
          <w:sz w:val="22"/>
          <w:szCs w:val="22"/>
          <w:rtl/>
        </w:rPr>
        <w:t>عندما تكون تكلفة جداء هيسيان-متجه نفسها باهظة (كما في بعض نماذج الرسم البياني الضخمة)، دمج بضعة متجهات كريلوف (لالتقاط الاتجاهات المهيمنة) مع متجهات سكتش عشوائي إضافية (لضمان تغطية احتمالية لبقية الطيف)، موازنةً بين الدقة الموجَّهة والتغطية العشوائية العامة.</w:t>
      </w:r>
    </w:p>
    <w:p w14:paraId="2C98C923" w14:textId="77777777" w:rsidR="001255DB" w:rsidRDefault="00000000">
      <w:pPr>
        <w:pStyle w:val="3"/>
        <w:bidi/>
        <w:spacing w:before="200" w:after="100"/>
        <w:jc w:val="right"/>
      </w:pPr>
      <w:r>
        <w:rPr>
          <w:rFonts w:ascii="Arial" w:eastAsia="Arial" w:hAnsi="Arial" w:cs="Arial"/>
          <w:b/>
          <w:bCs/>
          <w:sz w:val="23"/>
          <w:szCs w:val="23"/>
          <w:rtl/>
        </w:rPr>
        <w:t>الفكرة 7: مشاركة موزَّعة لقواعد كريلوف المضغوطة (لا الهيسيان الكامل)</w:t>
      </w:r>
    </w:p>
    <w:p w14:paraId="7C6905E0" w14:textId="77777777" w:rsidR="001255DB" w:rsidRDefault="00000000">
      <w:pPr>
        <w:spacing w:after="200" w:line="300" w:lineRule="auto"/>
        <w:jc w:val="both"/>
      </w:pPr>
      <w:r>
        <w:rPr>
          <w:rFonts w:ascii="Arial" w:eastAsia="Arial" w:hAnsi="Arial" w:cs="Arial"/>
          <w:sz w:val="22"/>
          <w:szCs w:val="22"/>
          <w:rtl/>
        </w:rPr>
        <w:t>في سياق التعلّم الفيدرالي، تبادل العملاء لقواعد Lanczos المصغّرة (مصفوفة V_k بحجم n×m_k فقط) بدل الهيسيان الكامل أو حتى بدل بعده الكامل، بما يقلل تكلفة الاتصال إلى O(n·m_k) لكل عميل — استلهامًا من أطر SHED وFedNL لكن بجدولة m_k ديناميكية موزَّعة تراعي تفاوت العملاء (heterogeneity).</w:t>
      </w:r>
    </w:p>
    <w:p w14:paraId="64134B1F" w14:textId="77777777" w:rsidR="001255DB" w:rsidRDefault="00000000">
      <w:pPr>
        <w:pStyle w:val="3"/>
        <w:bidi/>
        <w:spacing w:before="200" w:after="100"/>
        <w:jc w:val="right"/>
      </w:pPr>
      <w:r>
        <w:rPr>
          <w:rFonts w:ascii="Arial" w:eastAsia="Arial" w:hAnsi="Arial" w:cs="Arial"/>
          <w:b/>
          <w:bCs/>
          <w:sz w:val="23"/>
          <w:szCs w:val="23"/>
          <w:rtl/>
        </w:rPr>
        <w:lastRenderedPageBreak/>
        <w:t>الفكرة 8: إحماء بتقريب قطري رخيص (Sophia-style) قبل بناء كريلوف</w:t>
      </w:r>
    </w:p>
    <w:p w14:paraId="5335E211" w14:textId="77777777" w:rsidR="001255DB" w:rsidRDefault="00000000">
      <w:pPr>
        <w:spacing w:after="200" w:line="300" w:lineRule="auto"/>
        <w:jc w:val="both"/>
      </w:pPr>
      <w:r>
        <w:rPr>
          <w:rFonts w:ascii="Arial" w:eastAsia="Arial" w:hAnsi="Arial" w:cs="Arial"/>
          <w:sz w:val="22"/>
          <w:szCs w:val="22"/>
          <w:rtl/>
        </w:rPr>
        <w:t>استخدام تقدير قطري رخيص للهيسيان (كما في Sophia) كخطوة أولى "مجانية تقريبًا" لكل تكرار، ثم بناء فضاء كريلوف فقط لتصحيح الاتجاهات التي يفشل التقريب القطري في التقاطها (أي عندما يكون الهيسيان بعيدًا عن القطرية)، مما قد يقلص m_min الفعلي أكثر.</w:t>
      </w:r>
    </w:p>
    <w:p w14:paraId="552E7F0A" w14:textId="77777777" w:rsidR="001255DB" w:rsidRDefault="00000000">
      <w:pPr>
        <w:pStyle w:val="3"/>
        <w:bidi/>
        <w:spacing w:before="200" w:after="100"/>
        <w:jc w:val="right"/>
      </w:pPr>
      <w:r>
        <w:rPr>
          <w:rFonts w:ascii="Arial" w:eastAsia="Arial" w:hAnsi="Arial" w:cs="Arial"/>
          <w:b/>
          <w:bCs/>
          <w:sz w:val="23"/>
          <w:szCs w:val="23"/>
          <w:rtl/>
        </w:rPr>
        <w:t>الفكرة 9: جدولة مشتركة لمعامل التنظيم M_k وبعد الفضاء m_k</w:t>
      </w:r>
    </w:p>
    <w:p w14:paraId="73CC8CCE" w14:textId="77777777" w:rsidR="001255DB" w:rsidRDefault="00000000">
      <w:pPr>
        <w:spacing w:after="200" w:line="300" w:lineRule="auto"/>
        <w:jc w:val="both"/>
      </w:pPr>
      <w:r>
        <w:rPr>
          <w:rFonts w:ascii="Arial" w:eastAsia="Arial" w:hAnsi="Arial" w:cs="Arial"/>
          <w:sz w:val="22"/>
          <w:szCs w:val="22"/>
          <w:rtl/>
        </w:rPr>
        <w:t>بدل معاملة M_k وm_k كمتغيرين منفصلين، اشتقاق جدولة مشتركة تربط بينهما عبر حدود الخطأ σ الناتجة عن التقريب غير الدقيق للهيسيان (بالمعنى الذي صاغه Bellavia, Gurioli &amp; Morini 2021 لـ ARC ذات المعلومات غير الدقيقة)، بحيث يُختار M_k تلقائيًا كدالة في m_k بدل البحث الخطي المنفصل عنه.</w:t>
      </w:r>
    </w:p>
    <w:p w14:paraId="0942A371" w14:textId="77777777" w:rsidR="001255DB" w:rsidRDefault="00000000">
      <w:pPr>
        <w:pStyle w:val="3"/>
        <w:bidi/>
        <w:spacing w:before="200" w:after="100"/>
        <w:jc w:val="right"/>
      </w:pPr>
      <w:r>
        <w:rPr>
          <w:rFonts w:ascii="Arial" w:eastAsia="Arial" w:hAnsi="Arial" w:cs="Arial"/>
          <w:b/>
          <w:bCs/>
          <w:sz w:val="23"/>
          <w:szCs w:val="23"/>
          <w:rtl/>
        </w:rPr>
        <w:t>الفكرة 10: شهادة الانحلال الطيفي (Spectral Degeneracy Certificate) للتوقف المبكر</w:t>
      </w:r>
    </w:p>
    <w:p w14:paraId="5C84C90A" w14:textId="77777777" w:rsidR="001255DB" w:rsidRDefault="00000000">
      <w:pPr>
        <w:spacing w:after="200" w:line="300" w:lineRule="auto"/>
        <w:jc w:val="both"/>
      </w:pPr>
      <w:r>
        <w:rPr>
          <w:rFonts w:ascii="Arial" w:eastAsia="Arial" w:hAnsi="Arial" w:cs="Arial"/>
          <w:sz w:val="22"/>
          <w:szCs w:val="22"/>
          <w:rtl/>
        </w:rPr>
        <w:t>استغلال نتيجة Jiang et al. (2024, Lemma 5): إذا كان لهيسيان H_k عدد قيم ذاتية مميزة ≤ m، فإن خطأ التقريب صفر تمامًا. تصميم اختبار رخيص (عبر فحص تقارب القيم الذاتية لمصفوفة Lanczos ثلاثية القطر عبر عدة تكرارات متتالية من m) يكتشف هذا الانحلال الطيفي في الوقت الفعلي، ويصدر "شهادة" توقف مبكر لبناء الفضاء بمجرد اكتشاف أن الزيادة في m لن تحسّن الدقة — موفرًا حسابات Lanczos غير الضرورية.</w:t>
      </w:r>
    </w:p>
    <w:p w14:paraId="6D217E2A" w14:textId="77777777" w:rsidR="001255DB" w:rsidRDefault="00000000">
      <w:r>
        <w:br w:type="page"/>
      </w:r>
    </w:p>
    <w:p w14:paraId="38F202ED" w14:textId="77777777" w:rsidR="001255DB" w:rsidRDefault="00000000">
      <w:pPr>
        <w:pStyle w:val="1"/>
        <w:bidi/>
        <w:spacing w:before="400" w:after="200"/>
        <w:jc w:val="right"/>
      </w:pPr>
      <w:r>
        <w:rPr>
          <w:rFonts w:ascii="Arial" w:eastAsia="Arial" w:hAnsi="Arial" w:cs="Arial"/>
          <w:b/>
          <w:bCs/>
          <w:sz w:val="30"/>
          <w:szCs w:val="30"/>
          <w:rtl/>
        </w:rPr>
        <w:lastRenderedPageBreak/>
        <w:t>4. ست خوارزميات بحثية مقترحة (Proposed Algorithms)</w:t>
      </w:r>
    </w:p>
    <w:p w14:paraId="376706B4" w14:textId="77777777" w:rsidR="001255DB" w:rsidRDefault="00000000">
      <w:pPr>
        <w:spacing w:after="200" w:line="300" w:lineRule="auto"/>
        <w:jc w:val="both"/>
      </w:pPr>
      <w:r>
        <w:rPr>
          <w:rFonts w:ascii="Arial" w:eastAsia="Arial" w:hAnsi="Arial" w:cs="Arial"/>
          <w:sz w:val="22"/>
          <w:szCs w:val="22"/>
          <w:rtl/>
        </w:rPr>
        <w:t>تُبنى الخوارزميات الست تصاعديًا: الخوارزمية الأولى (DA-SFCN) هي القلب النظري للأطروحة وتُثبت لها نتائج التقارب الكاملة (الفصل 5)؛ والخوارزميات 2–6 امتدادات متخصصة تُبنى فوقها لسياقات مختلفة (عشوائي، موزَّع، هجين)، وتُدرَّج زمنيًا في خطة العمل بحسب الأولوية والمخاطرة (الفصل 7).</w:t>
      </w:r>
    </w:p>
    <w:p w14:paraId="0679019C" w14:textId="77777777" w:rsidR="001255DB" w:rsidRDefault="00000000">
      <w:pPr>
        <w:pStyle w:val="2"/>
        <w:bidi/>
        <w:spacing w:before="300" w:after="150"/>
        <w:jc w:val="right"/>
      </w:pPr>
      <w:r>
        <w:rPr>
          <w:rFonts w:ascii="Arial" w:eastAsia="Arial" w:hAnsi="Arial" w:cs="Arial"/>
          <w:b/>
          <w:bCs/>
          <w:rtl/>
        </w:rPr>
        <w:t>4.1 الخوارزمية 1: DA-SFCN</w:t>
      </w:r>
    </w:p>
    <w:p w14:paraId="6B3F6575" w14:textId="77777777" w:rsidR="001255DB" w:rsidRDefault="00000000">
      <w:pPr>
        <w:spacing w:after="200" w:line="300" w:lineRule="auto"/>
        <w:jc w:val="right"/>
      </w:pPr>
      <w:r>
        <w:rPr>
          <w:rFonts w:ascii="Arial" w:eastAsia="Arial" w:hAnsi="Arial" w:cs="Arial"/>
          <w:b/>
          <w:bCs/>
          <w:sz w:val="22"/>
          <w:szCs w:val="22"/>
          <w:rtl/>
        </w:rPr>
        <w:t>الاسم الكامل: Dynamically-Adaptive Saddle-Free Cubic Newton   |   الأفكار المُدمَجة: 1 + 2</w:t>
      </w:r>
    </w:p>
    <w:p w14:paraId="7A2424A6" w14:textId="77777777" w:rsidR="001255DB" w:rsidRDefault="00000000">
      <w:pPr>
        <w:pStyle w:val="3"/>
        <w:bidi/>
        <w:spacing w:before="200" w:after="100"/>
        <w:jc w:val="right"/>
      </w:pPr>
      <w:r>
        <w:rPr>
          <w:rFonts w:ascii="Arial" w:eastAsia="Arial" w:hAnsi="Arial" w:cs="Arial"/>
          <w:b/>
          <w:bCs/>
          <w:sz w:val="23"/>
          <w:szCs w:val="23"/>
          <w:rtl/>
        </w:rPr>
        <w:t>الدافع</w:t>
      </w:r>
    </w:p>
    <w:p w14:paraId="579EEAEA" w14:textId="77777777" w:rsidR="001255DB" w:rsidRDefault="00000000">
      <w:pPr>
        <w:spacing w:after="200" w:line="300" w:lineRule="auto"/>
        <w:jc w:val="both"/>
      </w:pPr>
      <w:r>
        <w:rPr>
          <w:rFonts w:ascii="Arial" w:eastAsia="Arial" w:hAnsi="Arial" w:cs="Arial"/>
          <w:sz w:val="22"/>
          <w:szCs w:val="22"/>
          <w:rtl/>
        </w:rPr>
        <w:t>الخوارزمية الأساسية التي تُشكّل نواة الأطروحة: تعميم Krylov CRN (Jiang et al., 2024) من الحالة المحدبة إلى غير المحدبة عبر تصحيح الانحناء السالب، مع استبدال بعد كريلوف الثابت m بجدولة ديناميكية مثبتة نظريًا.</w:t>
      </w:r>
    </w:p>
    <w:p w14:paraId="06A70188" w14:textId="77777777" w:rsidR="001255DB" w:rsidRDefault="00000000">
      <w:pPr>
        <w:pStyle w:val="3"/>
        <w:bidi/>
        <w:spacing w:before="200" w:after="100"/>
        <w:jc w:val="right"/>
      </w:pPr>
      <w:r>
        <w:rPr>
          <w:rFonts w:ascii="Arial" w:eastAsia="Arial" w:hAnsi="Arial" w:cs="Arial"/>
          <w:b/>
          <w:bCs/>
          <w:sz w:val="23"/>
          <w:szCs w:val="23"/>
          <w:rtl/>
        </w:rPr>
        <w:t>مخطط الخوارزمية</w:t>
      </w:r>
    </w:p>
    <w:p w14:paraId="4FF26ECF" w14:textId="77777777" w:rsidR="001255DB" w:rsidRDefault="00000000">
      <w:pPr>
        <w:bidi w:val="0"/>
        <w:spacing w:before="100" w:after="200"/>
        <w:jc w:val="center"/>
      </w:pPr>
      <w:r>
        <w:rPr>
          <w:rFonts w:ascii="Consolas" w:eastAsia="Consolas" w:hAnsi="Consolas" w:cs="Consolas"/>
          <w:sz w:val="22"/>
          <w:szCs w:val="22"/>
        </w:rPr>
        <w:t>المدخلات: x_0، m_min، m_max، دالة جداء هيسيان-متجه hvp(x,v)</w:t>
      </w:r>
    </w:p>
    <w:p w14:paraId="2291E214" w14:textId="77777777" w:rsidR="001255DB" w:rsidRDefault="00000000">
      <w:pPr>
        <w:bidi w:val="0"/>
        <w:spacing w:before="100" w:after="200"/>
        <w:jc w:val="center"/>
      </w:pPr>
      <w:r>
        <w:rPr>
          <w:rFonts w:ascii="Consolas" w:eastAsia="Consolas" w:hAnsi="Consolas" w:cs="Consolas"/>
          <w:sz w:val="22"/>
          <w:szCs w:val="22"/>
        </w:rPr>
        <w:t>لكل k: احسب g_k=∇f(x_k)؛  m_k ← m_min+⌈α·log(1+‖g_0‖/‖g_k‖)⌉ (مقيدة بـ m_max)</w:t>
      </w:r>
    </w:p>
    <w:p w14:paraId="519ADBCD" w14:textId="77777777" w:rsidR="001255DB" w:rsidRDefault="00000000">
      <w:pPr>
        <w:bidi w:val="0"/>
        <w:spacing w:before="100" w:after="200"/>
        <w:jc w:val="center"/>
      </w:pPr>
      <w:r>
        <w:rPr>
          <w:rFonts w:ascii="Consolas" w:eastAsia="Consolas" w:hAnsi="Consolas" w:cs="Consolas"/>
          <w:sz w:val="22"/>
          <w:szCs w:val="22"/>
        </w:rPr>
        <w:t>شغّل Lanczos(H_k, g_k, m_k) → (Q_k, α, β)  [ثلاثي القطر T_k]</w:t>
      </w:r>
    </w:p>
    <w:p w14:paraId="3CEF2CB4" w14:textId="77777777" w:rsidR="001255DB" w:rsidRDefault="00000000">
      <w:pPr>
        <w:bidi w:val="0"/>
        <w:spacing w:before="100" w:after="200"/>
        <w:jc w:val="center"/>
      </w:pPr>
      <w:r>
        <w:rPr>
          <w:rFonts w:ascii="Consolas" w:eastAsia="Consolas" w:hAnsi="Consolas" w:cs="Consolas"/>
          <w:sz w:val="22"/>
          <w:szCs w:val="22"/>
        </w:rPr>
        <w:t>حلّل T_k = U Λ Uᵀ ؛ ابنِ |T_k| = U|Λ|Uᵀ (تصحيح السرج)</w:t>
      </w:r>
    </w:p>
    <w:p w14:paraId="3E92B814" w14:textId="77777777" w:rsidR="001255DB" w:rsidRDefault="00000000">
      <w:pPr>
        <w:bidi w:val="0"/>
        <w:spacing w:before="100" w:after="200"/>
        <w:jc w:val="center"/>
      </w:pPr>
      <w:r>
        <w:rPr>
          <w:rFonts w:ascii="Consolas" w:eastAsia="Consolas" w:hAnsi="Consolas" w:cs="Consolas"/>
          <w:sz w:val="22"/>
          <w:szCs w:val="22"/>
        </w:rPr>
        <w:t>حل المسألة التكعيبية الفرعية أحادية البعد عبر معادلة سكانتية على σ</w:t>
      </w:r>
    </w:p>
    <w:p w14:paraId="1DACA412" w14:textId="77777777" w:rsidR="001255DB" w:rsidRDefault="00000000">
      <w:pPr>
        <w:bidi w:val="0"/>
        <w:spacing w:before="100" w:after="200"/>
        <w:jc w:val="center"/>
      </w:pPr>
      <w:r>
        <w:rPr>
          <w:rFonts w:ascii="Consolas" w:eastAsia="Consolas" w:hAnsi="Consolas" w:cs="Consolas"/>
          <w:sz w:val="22"/>
          <w:szCs w:val="22"/>
        </w:rPr>
        <w:t>x_{k+1} = x_k + Q_k·s_local</w:t>
      </w:r>
    </w:p>
    <w:p w14:paraId="031F00FD" w14:textId="77777777" w:rsidR="001255DB" w:rsidRDefault="00000000">
      <w:pPr>
        <w:pStyle w:val="3"/>
        <w:bidi/>
        <w:spacing w:before="200" w:after="100"/>
        <w:jc w:val="right"/>
      </w:pPr>
      <w:r>
        <w:rPr>
          <w:rFonts w:ascii="Arial" w:eastAsia="Arial" w:hAnsi="Arial" w:cs="Arial"/>
          <w:b/>
          <w:bCs/>
          <w:sz w:val="23"/>
          <w:szCs w:val="23"/>
          <w:rtl/>
        </w:rPr>
        <w:t>نظرية التقارب المستهدفة (Target Theorem)</w:t>
      </w:r>
    </w:p>
    <w:p w14:paraId="57759119" w14:textId="77777777" w:rsidR="001255DB" w:rsidRDefault="00000000">
      <w:pPr>
        <w:spacing w:after="200" w:line="300" w:lineRule="auto"/>
        <w:jc w:val="both"/>
      </w:pPr>
      <w:r>
        <w:rPr>
          <w:rFonts w:ascii="Arial" w:eastAsia="Arial" w:hAnsi="Arial" w:cs="Arial"/>
          <w:sz w:val="22"/>
          <w:szCs w:val="22"/>
          <w:rtl/>
        </w:rPr>
        <w:t>الهدف: إثبات أن DA-SFCN تحقق (أ) معدلًا عالميًا min_i‖∇f(x_i)‖=O(k^(−2/3)) لأي جدولة m_k≥1 (بالاستناد لحجة نقطة كوشي في Cartis-Gould-Toint 2011، مستقلة عن اختيار m_k)، و(ب) بمجرد دخول المرحلة المحلية (H_k≻0)، تقاربًا تربيعيًا ‖x_{k+1}−x*‖≤(L_2/2γ)‖x_k−x*‖²(1+ε_k) حيث ε_k→0، شريطة أن تحقق m_k الحد المشتق من نظرية CG/تشيبيشيف (توسيع مباشر لـ Lemma 2/3 في Jiang et al. 2024 لتشمل حدًّا صريحًا بدلالة k بدل قيمة ثابتة).</w:t>
      </w:r>
    </w:p>
    <w:p w14:paraId="544C45D9" w14:textId="77777777" w:rsidR="001255DB" w:rsidRDefault="00000000">
      <w:pPr>
        <w:pStyle w:val="3"/>
        <w:bidi/>
        <w:spacing w:before="200" w:after="100"/>
        <w:jc w:val="right"/>
      </w:pPr>
      <w:r>
        <w:rPr>
          <w:rFonts w:ascii="Arial" w:eastAsia="Arial" w:hAnsi="Arial" w:cs="Arial"/>
          <w:b/>
          <w:bCs/>
          <w:sz w:val="23"/>
          <w:szCs w:val="23"/>
          <w:rtl/>
        </w:rPr>
        <w:t>العلاقة بالأعمال السابقة</w:t>
      </w:r>
    </w:p>
    <w:p w14:paraId="0D20778B" w14:textId="77777777" w:rsidR="001255DB" w:rsidRDefault="00000000">
      <w:pPr>
        <w:spacing w:after="200" w:line="300" w:lineRule="auto"/>
        <w:jc w:val="both"/>
      </w:pPr>
      <w:r>
        <w:rPr>
          <w:rFonts w:ascii="Arial" w:eastAsia="Arial" w:hAnsi="Arial" w:cs="Arial"/>
          <w:sz w:val="22"/>
          <w:szCs w:val="22"/>
          <w:rtl/>
        </w:rPr>
        <w:t>تُعمِّم Jiang et al. (2024) إلى اللامحدب (عبر تصحيح |Λ| الذي طوّره أصلاً Dauphin et al. 2014)، وتُعمِّم Zhao et al. (2025) من الفضاء الإحداثي العشوائي إلى فضاء كريلوف الموجَّه طيفيًا، وتستبدل الجدولة الثابتة لـ m في كليهما بجدولة ديناميكية مشتقة لا مفترضة.</w:t>
      </w:r>
    </w:p>
    <w:p w14:paraId="3196BD94" w14:textId="77777777" w:rsidR="001255DB" w:rsidRDefault="00000000">
      <w:pPr>
        <w:pStyle w:val="3"/>
        <w:bidi/>
        <w:spacing w:before="200" w:after="100"/>
        <w:jc w:val="right"/>
      </w:pPr>
      <w:r>
        <w:rPr>
          <w:rFonts w:ascii="Arial" w:eastAsia="Arial" w:hAnsi="Arial" w:cs="Arial"/>
          <w:b/>
          <w:bCs/>
          <w:sz w:val="23"/>
          <w:szCs w:val="23"/>
          <w:rtl/>
        </w:rPr>
        <w:t>خطة التجريب</w:t>
      </w:r>
    </w:p>
    <w:p w14:paraId="7EF3A570" w14:textId="77777777" w:rsidR="001255DB" w:rsidRDefault="00000000">
      <w:pPr>
        <w:spacing w:after="200" w:line="300" w:lineRule="auto"/>
        <w:jc w:val="both"/>
      </w:pPr>
      <w:r>
        <w:rPr>
          <w:rFonts w:ascii="Arial" w:eastAsia="Arial" w:hAnsi="Arial" w:cs="Arial"/>
          <w:sz w:val="22"/>
          <w:szCs w:val="22"/>
          <w:rtl/>
        </w:rPr>
        <w:t>دوال سرج معروفة تحليليًا (رباعية، ونماذج تحليل مصفوفات Ge-Lee-Ma 2016)، ومسائل انحدار لوجستي غير محدب على مجموعات LIBSVM (gisette, madelon, rcv1) لمقارنة مباشرة مع أرقام Zhao et al. (2025) وJiang et al. (2024) المنشورة.</w:t>
      </w:r>
    </w:p>
    <w:p w14:paraId="641EAF40" w14:textId="77777777" w:rsidR="001255DB" w:rsidRDefault="00000000">
      <w:pPr>
        <w:pStyle w:val="2"/>
        <w:bidi/>
        <w:spacing w:before="300" w:after="150"/>
        <w:jc w:val="right"/>
      </w:pPr>
      <w:r>
        <w:rPr>
          <w:rFonts w:ascii="Arial" w:eastAsia="Arial" w:hAnsi="Arial" w:cs="Arial"/>
          <w:b/>
          <w:bCs/>
          <w:rtl/>
        </w:rPr>
        <w:t>4.2 الخوارزمية 2: VR-DA-SFCN</w:t>
      </w:r>
    </w:p>
    <w:p w14:paraId="083603F1" w14:textId="77777777" w:rsidR="001255DB" w:rsidRDefault="00000000">
      <w:pPr>
        <w:spacing w:after="200" w:line="300" w:lineRule="auto"/>
        <w:jc w:val="right"/>
      </w:pPr>
      <w:r>
        <w:rPr>
          <w:rFonts w:ascii="Arial" w:eastAsia="Arial" w:hAnsi="Arial" w:cs="Arial"/>
          <w:b/>
          <w:bCs/>
          <w:sz w:val="22"/>
          <w:szCs w:val="22"/>
          <w:rtl/>
        </w:rPr>
        <w:t>الاسم الكامل: Variance-Reduced Dynamically-Adaptive SFCN   |   الأفكار المُدمَجة: 3 + 1</w:t>
      </w:r>
    </w:p>
    <w:p w14:paraId="1B41F84A" w14:textId="77777777" w:rsidR="001255DB" w:rsidRDefault="00000000">
      <w:pPr>
        <w:pStyle w:val="3"/>
        <w:bidi/>
        <w:spacing w:before="200" w:after="100"/>
        <w:jc w:val="right"/>
      </w:pPr>
      <w:r>
        <w:rPr>
          <w:rFonts w:ascii="Arial" w:eastAsia="Arial" w:hAnsi="Arial" w:cs="Arial"/>
          <w:b/>
          <w:bCs/>
          <w:sz w:val="23"/>
          <w:szCs w:val="23"/>
          <w:rtl/>
        </w:rPr>
        <w:lastRenderedPageBreak/>
        <w:t>الدافع</w:t>
      </w:r>
    </w:p>
    <w:p w14:paraId="4CDEEA27" w14:textId="77777777" w:rsidR="001255DB" w:rsidRDefault="00000000">
      <w:pPr>
        <w:spacing w:after="200" w:line="300" w:lineRule="auto"/>
        <w:jc w:val="both"/>
      </w:pPr>
      <w:r>
        <w:rPr>
          <w:rFonts w:ascii="Arial" w:eastAsia="Arial" w:hAnsi="Arial" w:cs="Arial"/>
          <w:sz w:val="22"/>
          <w:szCs w:val="22"/>
          <w:rtl/>
        </w:rPr>
        <w:t>توسيع DA-SFCN للسياق العشوائي (mini-batch) في تدريب نماذج التعلم الآلي، حيث جداء هيسيان-متجه نفسه مُقدَّر من عيّنة بيانات لا محسوب بدقة.</w:t>
      </w:r>
    </w:p>
    <w:p w14:paraId="1EC9A7A5" w14:textId="77777777" w:rsidR="001255DB" w:rsidRDefault="00000000">
      <w:pPr>
        <w:pStyle w:val="3"/>
        <w:bidi/>
        <w:spacing w:before="200" w:after="100"/>
        <w:jc w:val="right"/>
      </w:pPr>
      <w:r>
        <w:rPr>
          <w:rFonts w:ascii="Arial" w:eastAsia="Arial" w:hAnsi="Arial" w:cs="Arial"/>
          <w:b/>
          <w:bCs/>
          <w:sz w:val="23"/>
          <w:szCs w:val="23"/>
          <w:rtl/>
        </w:rPr>
        <w:t>مخطط الخوارزمية</w:t>
      </w:r>
    </w:p>
    <w:p w14:paraId="393137BD" w14:textId="77777777" w:rsidR="001255DB" w:rsidRDefault="00000000">
      <w:pPr>
        <w:bidi w:val="0"/>
        <w:spacing w:before="100" w:after="200"/>
        <w:jc w:val="center"/>
      </w:pPr>
      <w:r>
        <w:rPr>
          <w:rFonts w:ascii="Consolas" w:eastAsia="Consolas" w:hAnsi="Consolas" w:cs="Consolas"/>
          <w:sz w:val="22"/>
          <w:szCs w:val="22"/>
        </w:rPr>
        <w:t>كما في DA-SFCN، لكن hvp_k(v) يُستبدل بمُقدِّر SARAH/EMA مخفَّض التباين hvp̃_k(v)</w:t>
      </w:r>
    </w:p>
    <w:p w14:paraId="30341C7C" w14:textId="77777777" w:rsidR="001255DB" w:rsidRDefault="00000000">
      <w:pPr>
        <w:bidi w:val="0"/>
        <w:spacing w:before="100" w:after="200"/>
        <w:jc w:val="center"/>
      </w:pPr>
      <w:r>
        <w:rPr>
          <w:rFonts w:ascii="Consolas" w:eastAsia="Consolas" w:hAnsi="Consolas" w:cs="Consolas"/>
          <w:sz w:val="22"/>
          <w:szCs w:val="22"/>
        </w:rPr>
        <w:t>تحديث تراكمي لتباين المُقدِّر، وربط m_k ليس فقط بـ ‖g_k‖ بل بحد ثقة إحصائي على دقة hvp̃_k</w:t>
      </w:r>
    </w:p>
    <w:p w14:paraId="5A359E2E" w14:textId="77777777" w:rsidR="001255DB" w:rsidRDefault="00000000">
      <w:pPr>
        <w:pStyle w:val="3"/>
        <w:bidi/>
        <w:spacing w:before="200" w:after="100"/>
        <w:jc w:val="right"/>
      </w:pPr>
      <w:r>
        <w:rPr>
          <w:rFonts w:ascii="Arial" w:eastAsia="Arial" w:hAnsi="Arial" w:cs="Arial"/>
          <w:b/>
          <w:bCs/>
          <w:sz w:val="23"/>
          <w:szCs w:val="23"/>
          <w:rtl/>
        </w:rPr>
        <w:t>نظرية التقارب المستهدفة (Target Theorem)</w:t>
      </w:r>
    </w:p>
    <w:p w14:paraId="56024272" w14:textId="77777777" w:rsidR="001255DB" w:rsidRDefault="00000000">
      <w:pPr>
        <w:spacing w:after="200" w:line="300" w:lineRule="auto"/>
        <w:jc w:val="both"/>
      </w:pPr>
      <w:r>
        <w:rPr>
          <w:rFonts w:ascii="Arial" w:eastAsia="Arial" w:hAnsi="Arial" w:cs="Arial"/>
          <w:sz w:val="22"/>
          <w:szCs w:val="22"/>
          <w:rtl/>
        </w:rPr>
        <w:t>الهدف: توسيع تحليل المرحلة المحلية ليشمل حدًّا احتماليًا (بدل حتمي) على ‖x_{k+1}−x*‖، تحت افتراضات تباين قياسية (bounded variance)، مع الحفاظ على نفس رتبة التعقيد الكلي O(ε^(−3.5)) المعروفة لأفضل طرق التنظيم التكعيبي العشوائي (Tripuraneni et al. 2018؛ Pasechnyuk-Vilensky et al. 2025).</w:t>
      </w:r>
    </w:p>
    <w:p w14:paraId="2FBBF34B" w14:textId="77777777" w:rsidR="001255DB" w:rsidRDefault="00000000">
      <w:pPr>
        <w:pStyle w:val="3"/>
        <w:bidi/>
        <w:spacing w:before="200" w:after="100"/>
        <w:jc w:val="right"/>
      </w:pPr>
      <w:r>
        <w:rPr>
          <w:rFonts w:ascii="Arial" w:eastAsia="Arial" w:hAnsi="Arial" w:cs="Arial"/>
          <w:b/>
          <w:bCs/>
          <w:sz w:val="23"/>
          <w:szCs w:val="23"/>
          <w:rtl/>
        </w:rPr>
        <w:t>العلاقة بالأعمال السابقة</w:t>
      </w:r>
    </w:p>
    <w:p w14:paraId="587162F4" w14:textId="77777777" w:rsidR="001255DB" w:rsidRDefault="00000000">
      <w:pPr>
        <w:spacing w:after="200" w:line="300" w:lineRule="auto"/>
        <w:jc w:val="both"/>
      </w:pPr>
      <w:r>
        <w:rPr>
          <w:rFonts w:ascii="Arial" w:eastAsia="Arial" w:hAnsi="Arial" w:cs="Arial"/>
          <w:sz w:val="22"/>
          <w:szCs w:val="22"/>
          <w:rtl/>
        </w:rPr>
        <w:t>امتداد مباشر لعمل Pasechnyuk-Vilensky et al. (2025) بإضافة تصحيح السرج والجدولة الديناميكية لـ m_k التي لا يتضمنها عملهم.</w:t>
      </w:r>
    </w:p>
    <w:p w14:paraId="10EE1B43" w14:textId="77777777" w:rsidR="001255DB" w:rsidRDefault="00000000">
      <w:pPr>
        <w:pStyle w:val="3"/>
        <w:bidi/>
        <w:spacing w:before="200" w:after="100"/>
        <w:jc w:val="right"/>
      </w:pPr>
      <w:r>
        <w:rPr>
          <w:rFonts w:ascii="Arial" w:eastAsia="Arial" w:hAnsi="Arial" w:cs="Arial"/>
          <w:b/>
          <w:bCs/>
          <w:sz w:val="23"/>
          <w:szCs w:val="23"/>
          <w:rtl/>
        </w:rPr>
        <w:t>خطة التجريب</w:t>
      </w:r>
    </w:p>
    <w:p w14:paraId="19988D0B" w14:textId="77777777" w:rsidR="001255DB" w:rsidRDefault="00000000">
      <w:pPr>
        <w:spacing w:after="200" w:line="300" w:lineRule="auto"/>
        <w:jc w:val="both"/>
      </w:pPr>
      <w:r>
        <w:rPr>
          <w:rFonts w:ascii="Arial" w:eastAsia="Arial" w:hAnsi="Arial" w:cs="Arial"/>
          <w:sz w:val="22"/>
          <w:szCs w:val="22"/>
          <w:rtl/>
        </w:rPr>
        <w:t>تدريب مُصنِّفات محدَّبة-تقريبًا (logistic regression بمُنظِّم غير محدب كما في Zhao et al. 2025) ثم شبكة تلقيم أمامي صغيرة (MLP) على MNIST، بمقارنة الزمن الكلي (لا فقط عدد التكرارات) ضد SGD وAdam وSophia.</w:t>
      </w:r>
    </w:p>
    <w:p w14:paraId="0C679F37" w14:textId="77777777" w:rsidR="001255DB" w:rsidRDefault="00000000">
      <w:pPr>
        <w:pStyle w:val="2"/>
        <w:bidi/>
        <w:spacing w:before="300" w:after="150"/>
        <w:jc w:val="right"/>
      </w:pPr>
      <w:r>
        <w:rPr>
          <w:rFonts w:ascii="Arial" w:eastAsia="Arial" w:hAnsi="Arial" w:cs="Arial"/>
          <w:b/>
          <w:bCs/>
          <w:rtl/>
        </w:rPr>
        <w:t>4.3 الخوارزمية 3: LK-Newton</w:t>
      </w:r>
    </w:p>
    <w:p w14:paraId="7E53A7A4" w14:textId="77777777" w:rsidR="001255DB" w:rsidRDefault="00000000">
      <w:pPr>
        <w:spacing w:after="200" w:line="300" w:lineRule="auto"/>
        <w:jc w:val="right"/>
      </w:pPr>
      <w:r>
        <w:rPr>
          <w:rFonts w:ascii="Arial" w:eastAsia="Arial" w:hAnsi="Arial" w:cs="Arial"/>
          <w:b/>
          <w:bCs/>
          <w:sz w:val="22"/>
          <w:szCs w:val="22"/>
          <w:rtl/>
        </w:rPr>
        <w:t>الاسم الكامل: Lazy-Krylov Newton   |   الأفكار المُدمَجة: 4 + 9</w:t>
      </w:r>
    </w:p>
    <w:p w14:paraId="6A53344A" w14:textId="77777777" w:rsidR="001255DB" w:rsidRDefault="00000000">
      <w:pPr>
        <w:pStyle w:val="3"/>
        <w:bidi/>
        <w:spacing w:before="200" w:after="100"/>
        <w:jc w:val="right"/>
      </w:pPr>
      <w:r>
        <w:rPr>
          <w:rFonts w:ascii="Arial" w:eastAsia="Arial" w:hAnsi="Arial" w:cs="Arial"/>
          <w:b/>
          <w:bCs/>
          <w:sz w:val="23"/>
          <w:szCs w:val="23"/>
          <w:rtl/>
        </w:rPr>
        <w:t>الدافع</w:t>
      </w:r>
    </w:p>
    <w:p w14:paraId="1509E283" w14:textId="77777777" w:rsidR="001255DB" w:rsidRDefault="00000000">
      <w:pPr>
        <w:spacing w:after="200" w:line="300" w:lineRule="auto"/>
        <w:jc w:val="both"/>
      </w:pPr>
      <w:r>
        <w:rPr>
          <w:rFonts w:ascii="Arial" w:eastAsia="Arial" w:hAnsi="Arial" w:cs="Arial"/>
          <w:sz w:val="22"/>
          <w:szCs w:val="22"/>
          <w:rtl/>
        </w:rPr>
        <w:t>خفض تكلفة إعادة بناء Lanczos عند كل تكرار عبر إعادة استخدام قواعد كريلوف السابقة لعدة خطوات، مع جدولة مشتركة لـ (m_k, M_k, فترة إعادة البناء).</w:t>
      </w:r>
    </w:p>
    <w:p w14:paraId="37437715" w14:textId="77777777" w:rsidR="001255DB" w:rsidRDefault="00000000">
      <w:pPr>
        <w:pStyle w:val="3"/>
        <w:bidi/>
        <w:spacing w:before="200" w:after="100"/>
        <w:jc w:val="right"/>
      </w:pPr>
      <w:r>
        <w:rPr>
          <w:rFonts w:ascii="Arial" w:eastAsia="Arial" w:hAnsi="Arial" w:cs="Arial"/>
          <w:b/>
          <w:bCs/>
          <w:sz w:val="23"/>
          <w:szCs w:val="23"/>
          <w:rtl/>
        </w:rPr>
        <w:t>مخطط الخوارزمية</w:t>
      </w:r>
    </w:p>
    <w:p w14:paraId="323C4303" w14:textId="77777777" w:rsidR="001255DB" w:rsidRDefault="00000000">
      <w:pPr>
        <w:bidi w:val="0"/>
        <w:spacing w:before="100" w:after="200"/>
        <w:jc w:val="center"/>
      </w:pPr>
      <w:r>
        <w:rPr>
          <w:rFonts w:ascii="Consolas" w:eastAsia="Consolas" w:hAnsi="Consolas" w:cs="Consolas"/>
          <w:sz w:val="22"/>
          <w:szCs w:val="22"/>
        </w:rPr>
        <w:t>احتفظ بآخر قاعدة (Q_t, T_t) من التكرار t≤k</w:t>
      </w:r>
    </w:p>
    <w:p w14:paraId="4CE39086" w14:textId="77777777" w:rsidR="001255DB" w:rsidRDefault="00000000">
      <w:pPr>
        <w:bidi w:val="0"/>
        <w:spacing w:before="100" w:after="200"/>
        <w:jc w:val="center"/>
      </w:pPr>
      <w:r>
        <w:rPr>
          <w:rFonts w:ascii="Consolas" w:eastAsia="Consolas" w:hAnsi="Consolas" w:cs="Consolas"/>
          <w:sz w:val="22"/>
          <w:szCs w:val="22"/>
        </w:rPr>
        <w:t>إذا L_2‖x_k−x_t‖ ≤ عتبة (دالة في m_k الحالية): أعد استخدام (Q_t,T_t) دون Lanczos جديد</w:t>
      </w:r>
    </w:p>
    <w:p w14:paraId="512C34A1" w14:textId="77777777" w:rsidR="001255DB" w:rsidRDefault="00000000">
      <w:pPr>
        <w:bidi w:val="0"/>
        <w:spacing w:before="100" w:after="200"/>
        <w:jc w:val="center"/>
      </w:pPr>
      <w:r>
        <w:rPr>
          <w:rFonts w:ascii="Consolas" w:eastAsia="Consolas" w:hAnsi="Consolas" w:cs="Consolas"/>
          <w:sz w:val="22"/>
          <w:szCs w:val="22"/>
        </w:rPr>
        <w:t>وإلا: أعد البناء بجدولة m_k المعتادة، وحدّث t←k</w:t>
      </w:r>
    </w:p>
    <w:p w14:paraId="27EBD710" w14:textId="77777777" w:rsidR="001255DB" w:rsidRDefault="00000000">
      <w:pPr>
        <w:pStyle w:val="3"/>
        <w:bidi/>
        <w:spacing w:before="200" w:after="100"/>
        <w:jc w:val="right"/>
      </w:pPr>
      <w:r>
        <w:rPr>
          <w:rFonts w:ascii="Arial" w:eastAsia="Arial" w:hAnsi="Arial" w:cs="Arial"/>
          <w:b/>
          <w:bCs/>
          <w:sz w:val="23"/>
          <w:szCs w:val="23"/>
          <w:rtl/>
        </w:rPr>
        <w:t>نظرية التقارب المستهدفة (Target Theorem)</w:t>
      </w:r>
    </w:p>
    <w:p w14:paraId="1DA63ABC" w14:textId="77777777" w:rsidR="001255DB" w:rsidRDefault="00000000">
      <w:pPr>
        <w:spacing w:after="200" w:line="300" w:lineRule="auto"/>
        <w:jc w:val="both"/>
      </w:pPr>
      <w:r>
        <w:rPr>
          <w:rFonts w:ascii="Arial" w:eastAsia="Arial" w:hAnsi="Arial" w:cs="Arial"/>
          <w:sz w:val="22"/>
          <w:szCs w:val="22"/>
          <w:rtl/>
        </w:rPr>
        <w:t>الهدف: إثبات أن متوسط عدد استدعاءات hvp لكل تكرار يتناقص إلى O(1) عند الاقتراب من الحل (حيث فترات إعادة الاستخدام تطول)، مع الحفاظ على نفس رتبة تقارب DA-SFCN، بربط عتبة إعادة البناء بحد الخطأ σ في تحليل Doikov et al. (2023) لكن مُدمجًا مع تحليل اللِمّة الخاصة بجدولة m_k.</w:t>
      </w:r>
    </w:p>
    <w:p w14:paraId="0D280170" w14:textId="77777777" w:rsidR="001255DB" w:rsidRDefault="00000000">
      <w:pPr>
        <w:pStyle w:val="3"/>
        <w:bidi/>
        <w:spacing w:before="200" w:after="100"/>
        <w:jc w:val="right"/>
      </w:pPr>
      <w:r>
        <w:rPr>
          <w:rFonts w:ascii="Arial" w:eastAsia="Arial" w:hAnsi="Arial" w:cs="Arial"/>
          <w:b/>
          <w:bCs/>
          <w:sz w:val="23"/>
          <w:szCs w:val="23"/>
          <w:rtl/>
        </w:rPr>
        <w:t>العلاقة بالأعمال السابقة</w:t>
      </w:r>
    </w:p>
    <w:p w14:paraId="52CBCF92" w14:textId="77777777" w:rsidR="001255DB" w:rsidRDefault="00000000">
      <w:pPr>
        <w:spacing w:after="200" w:line="300" w:lineRule="auto"/>
        <w:jc w:val="both"/>
      </w:pPr>
      <w:r>
        <w:rPr>
          <w:rFonts w:ascii="Arial" w:eastAsia="Arial" w:hAnsi="Arial" w:cs="Arial"/>
          <w:sz w:val="22"/>
          <w:szCs w:val="22"/>
          <w:rtl/>
        </w:rPr>
        <w:t>امتداد لـ Doikov, Chayti &amp; Jaggi (2023) لـ 'Second-order optimization with lazy Hessians'، بربطه لأول مرة بجدولة بعد ديناميكي بدل هيسيان كامل كسول.</w:t>
      </w:r>
    </w:p>
    <w:p w14:paraId="6FE7027B" w14:textId="77777777" w:rsidR="001255DB" w:rsidRDefault="00000000">
      <w:pPr>
        <w:pStyle w:val="3"/>
        <w:bidi/>
        <w:spacing w:before="200" w:after="100"/>
        <w:jc w:val="right"/>
      </w:pPr>
      <w:r>
        <w:rPr>
          <w:rFonts w:ascii="Arial" w:eastAsia="Arial" w:hAnsi="Arial" w:cs="Arial"/>
          <w:b/>
          <w:bCs/>
          <w:sz w:val="23"/>
          <w:szCs w:val="23"/>
          <w:rtl/>
        </w:rPr>
        <w:lastRenderedPageBreak/>
        <w:t>خطة التجريب</w:t>
      </w:r>
    </w:p>
    <w:p w14:paraId="0C571ED9" w14:textId="77777777" w:rsidR="001255DB" w:rsidRDefault="00000000">
      <w:pPr>
        <w:spacing w:after="200" w:line="300" w:lineRule="auto"/>
        <w:jc w:val="both"/>
      </w:pPr>
      <w:r>
        <w:rPr>
          <w:rFonts w:ascii="Arial" w:eastAsia="Arial" w:hAnsi="Arial" w:cs="Arial"/>
          <w:sz w:val="22"/>
          <w:szCs w:val="22"/>
          <w:rtl/>
        </w:rPr>
        <w:t>قياس التكلفة الحاسوبية الفعلية (زمن التنفيذ، عدد استدعاءات hvp الكلي) على شبكة تلافيفية صغيرة (CNN) مقارنة بـ DA-SFCN بلا كسل، وبـ K-FAC كمرجع صناعي.</w:t>
      </w:r>
    </w:p>
    <w:p w14:paraId="05472F8C" w14:textId="77777777" w:rsidR="001255DB" w:rsidRDefault="00000000">
      <w:pPr>
        <w:pStyle w:val="2"/>
        <w:bidi/>
        <w:spacing w:before="300" w:after="150"/>
        <w:jc w:val="right"/>
      </w:pPr>
      <w:r>
        <w:rPr>
          <w:rFonts w:ascii="Arial" w:eastAsia="Arial" w:hAnsi="Arial" w:cs="Arial"/>
          <w:b/>
          <w:bCs/>
          <w:rtl/>
        </w:rPr>
        <w:t>4.4 الخوارزمية 4: WQK-Newton</w:t>
      </w:r>
    </w:p>
    <w:p w14:paraId="16F7B0A1" w14:textId="77777777" w:rsidR="001255DB" w:rsidRDefault="00000000">
      <w:pPr>
        <w:spacing w:after="200" w:line="300" w:lineRule="auto"/>
        <w:jc w:val="right"/>
      </w:pPr>
      <w:r>
        <w:rPr>
          <w:rFonts w:ascii="Arial" w:eastAsia="Arial" w:hAnsi="Arial" w:cs="Arial"/>
          <w:b/>
          <w:bCs/>
          <w:sz w:val="22"/>
          <w:szCs w:val="22"/>
          <w:rtl/>
        </w:rPr>
        <w:t>الاسم الكامل: Warm-started Quasi-Krylov Newton   |   الأفكار المُدمَجة: 5 + 6</w:t>
      </w:r>
    </w:p>
    <w:p w14:paraId="373FCEC1" w14:textId="77777777" w:rsidR="001255DB" w:rsidRDefault="00000000">
      <w:pPr>
        <w:pStyle w:val="3"/>
        <w:bidi/>
        <w:spacing w:before="200" w:after="100"/>
        <w:jc w:val="right"/>
      </w:pPr>
      <w:r>
        <w:rPr>
          <w:rFonts w:ascii="Arial" w:eastAsia="Arial" w:hAnsi="Arial" w:cs="Arial"/>
          <w:b/>
          <w:bCs/>
          <w:sz w:val="23"/>
          <w:szCs w:val="23"/>
          <w:rtl/>
        </w:rPr>
        <w:t>الدافع</w:t>
      </w:r>
    </w:p>
    <w:p w14:paraId="25EB99C8" w14:textId="77777777" w:rsidR="001255DB" w:rsidRDefault="00000000">
      <w:pPr>
        <w:spacing w:after="200" w:line="300" w:lineRule="auto"/>
        <w:jc w:val="both"/>
      </w:pPr>
      <w:r>
        <w:rPr>
          <w:rFonts w:ascii="Arial" w:eastAsia="Arial" w:hAnsi="Arial" w:cs="Arial"/>
          <w:sz w:val="22"/>
          <w:szCs w:val="22"/>
          <w:rtl/>
        </w:rPr>
        <w:t>دمج ذاكرة شبه-نيوتن (L-BFGS) مع فضاء كريلوف لتقليل m_min الفعلي المطلوب، عبر إحماء الفضاء الجزئي باتجاهات تاريخية مجانية تقريبًا.</w:t>
      </w:r>
    </w:p>
    <w:p w14:paraId="5A775510" w14:textId="77777777" w:rsidR="001255DB" w:rsidRDefault="00000000">
      <w:pPr>
        <w:pStyle w:val="3"/>
        <w:bidi/>
        <w:spacing w:before="200" w:after="100"/>
        <w:jc w:val="right"/>
      </w:pPr>
      <w:r>
        <w:rPr>
          <w:rFonts w:ascii="Arial" w:eastAsia="Arial" w:hAnsi="Arial" w:cs="Arial"/>
          <w:b/>
          <w:bCs/>
          <w:sz w:val="23"/>
          <w:szCs w:val="23"/>
          <w:rtl/>
        </w:rPr>
        <w:t>مخطط الخوارزمية</w:t>
      </w:r>
    </w:p>
    <w:p w14:paraId="2F0724A0" w14:textId="77777777" w:rsidR="001255DB" w:rsidRDefault="00000000">
      <w:pPr>
        <w:bidi w:val="0"/>
        <w:spacing w:before="100" w:after="200"/>
        <w:jc w:val="center"/>
      </w:pPr>
      <w:r>
        <w:rPr>
          <w:rFonts w:ascii="Consolas" w:eastAsia="Consolas" w:hAnsi="Consolas" w:cs="Consolas"/>
          <w:sz w:val="22"/>
          <w:szCs w:val="22"/>
        </w:rPr>
        <w:t>احتفظ بآخر p زوجًا (s_i,y_i) من L-BFGS</w:t>
      </w:r>
    </w:p>
    <w:p w14:paraId="4014D17C" w14:textId="77777777" w:rsidR="001255DB" w:rsidRDefault="00000000">
      <w:pPr>
        <w:bidi w:val="0"/>
        <w:spacing w:before="100" w:after="200"/>
        <w:jc w:val="center"/>
      </w:pPr>
      <w:r>
        <w:rPr>
          <w:rFonts w:ascii="Consolas" w:eastAsia="Consolas" w:hAnsi="Consolas" w:cs="Consolas"/>
          <w:sz w:val="22"/>
          <w:szCs w:val="22"/>
        </w:rPr>
        <w:t>ابنِ فضاء البداية Ṽ_0 = orth({s_i}) ثم وسّعه عبر Lanczos ابتداءً من g_k داخل الفضاء المتعامد على Ṽ_0</w:t>
      </w:r>
    </w:p>
    <w:p w14:paraId="79B56732" w14:textId="77777777" w:rsidR="001255DB" w:rsidRDefault="00000000">
      <w:pPr>
        <w:bidi w:val="0"/>
        <w:spacing w:before="100" w:after="200"/>
        <w:jc w:val="center"/>
      </w:pPr>
      <w:r>
        <w:rPr>
          <w:rFonts w:ascii="Consolas" w:eastAsia="Consolas" w:hAnsi="Consolas" w:cs="Consolas"/>
          <w:sz w:val="22"/>
          <w:szCs w:val="22"/>
        </w:rPr>
        <w:t>حل المسألة التكعيبية على الفضاء المُدمَج Ṽ_0 ⊕ K_{m_k}(H_k,g_k^⊥)</w:t>
      </w:r>
    </w:p>
    <w:p w14:paraId="3F44F19C" w14:textId="77777777" w:rsidR="001255DB" w:rsidRDefault="00000000">
      <w:pPr>
        <w:pStyle w:val="3"/>
        <w:bidi/>
        <w:spacing w:before="200" w:after="100"/>
        <w:jc w:val="right"/>
      </w:pPr>
      <w:r>
        <w:rPr>
          <w:rFonts w:ascii="Arial" w:eastAsia="Arial" w:hAnsi="Arial" w:cs="Arial"/>
          <w:b/>
          <w:bCs/>
          <w:sz w:val="23"/>
          <w:szCs w:val="23"/>
          <w:rtl/>
        </w:rPr>
        <w:t>نظرية التقارب المستهدفة (Target Theorem)</w:t>
      </w:r>
    </w:p>
    <w:p w14:paraId="52F5BEAB" w14:textId="77777777" w:rsidR="001255DB" w:rsidRDefault="00000000">
      <w:pPr>
        <w:spacing w:after="200" w:line="300" w:lineRule="auto"/>
        <w:jc w:val="both"/>
      </w:pPr>
      <w:r>
        <w:rPr>
          <w:rFonts w:ascii="Arial" w:eastAsia="Arial" w:hAnsi="Arial" w:cs="Arial"/>
          <w:sz w:val="22"/>
          <w:szCs w:val="22"/>
          <w:rtl/>
        </w:rPr>
        <w:t>الهدف: دراسة تجريبية (بدرجة أولى، مع محاولة تحليل نظري تحت افتراض دقة تقريب شبه-نيوتن) لمدى تقليل m_min اللازم للوصول لنفس الدقة، مقارنة بـ DA-SFCN بلا إحماء.</w:t>
      </w:r>
    </w:p>
    <w:p w14:paraId="38A08D86" w14:textId="77777777" w:rsidR="001255DB" w:rsidRDefault="00000000">
      <w:pPr>
        <w:pStyle w:val="3"/>
        <w:bidi/>
        <w:spacing w:before="200" w:after="100"/>
        <w:jc w:val="right"/>
      </w:pPr>
      <w:r>
        <w:rPr>
          <w:rFonts w:ascii="Arial" w:eastAsia="Arial" w:hAnsi="Arial" w:cs="Arial"/>
          <w:b/>
          <w:bCs/>
          <w:sz w:val="23"/>
          <w:szCs w:val="23"/>
          <w:rtl/>
        </w:rPr>
        <w:t>العلاقة بالأعمال السابقة</w:t>
      </w:r>
    </w:p>
    <w:p w14:paraId="02621AA3" w14:textId="77777777" w:rsidR="001255DB" w:rsidRDefault="00000000">
      <w:pPr>
        <w:spacing w:after="200" w:line="300" w:lineRule="auto"/>
        <w:jc w:val="both"/>
      </w:pPr>
      <w:r>
        <w:rPr>
          <w:rFonts w:ascii="Arial" w:eastAsia="Arial" w:hAnsi="Arial" w:cs="Arial"/>
          <w:sz w:val="22"/>
          <w:szCs w:val="22"/>
          <w:rtl/>
        </w:rPr>
        <w:t>لا يوجد عمل سابق يدمج ذاكرة L-BFGS كبذرة لفضاء Lanczos في سياق تنظيم تكعيبي؛ أقرب عمل هو Kamzolov, Ziu, Agafonov &amp; Takáč (2023) 'Cubic regularized quasi-Newton methods' لكنه لا يستخدم كريلوف إطلاقًا.</w:t>
      </w:r>
    </w:p>
    <w:p w14:paraId="08A4813C" w14:textId="77777777" w:rsidR="001255DB" w:rsidRDefault="00000000">
      <w:pPr>
        <w:pStyle w:val="3"/>
        <w:bidi/>
        <w:spacing w:before="200" w:after="100"/>
        <w:jc w:val="right"/>
      </w:pPr>
      <w:r>
        <w:rPr>
          <w:rFonts w:ascii="Arial" w:eastAsia="Arial" w:hAnsi="Arial" w:cs="Arial"/>
          <w:b/>
          <w:bCs/>
          <w:sz w:val="23"/>
          <w:szCs w:val="23"/>
          <w:rtl/>
        </w:rPr>
        <w:t>خطة التجريب</w:t>
      </w:r>
    </w:p>
    <w:p w14:paraId="29FEA01C" w14:textId="77777777" w:rsidR="001255DB" w:rsidRDefault="00000000">
      <w:pPr>
        <w:spacing w:after="200" w:line="300" w:lineRule="auto"/>
        <w:jc w:val="both"/>
      </w:pPr>
      <w:r>
        <w:rPr>
          <w:rFonts w:ascii="Arial" w:eastAsia="Arial" w:hAnsi="Arial" w:cs="Arial"/>
          <w:sz w:val="22"/>
          <w:szCs w:val="22"/>
          <w:rtl/>
        </w:rPr>
        <w:t>مقارنة عدد استدعاءات hvp اللازمة للوصول لدقة محددة، على نفس مسائل الانحدار اللوجستي، مع وبدون الإحماء.</w:t>
      </w:r>
    </w:p>
    <w:p w14:paraId="28511D51" w14:textId="77777777" w:rsidR="001255DB" w:rsidRDefault="00000000">
      <w:pPr>
        <w:pStyle w:val="2"/>
        <w:bidi/>
        <w:spacing w:before="300" w:after="150"/>
        <w:jc w:val="right"/>
      </w:pPr>
      <w:r>
        <w:rPr>
          <w:rFonts w:ascii="Arial" w:eastAsia="Arial" w:hAnsi="Arial" w:cs="Arial"/>
          <w:b/>
          <w:bCs/>
          <w:rtl/>
        </w:rPr>
        <w:t>4.5 الخوارزمية 5: Fed-DA-SFCN</w:t>
      </w:r>
    </w:p>
    <w:p w14:paraId="4ADE7E22" w14:textId="77777777" w:rsidR="001255DB" w:rsidRDefault="00000000">
      <w:pPr>
        <w:spacing w:after="200" w:line="300" w:lineRule="auto"/>
        <w:jc w:val="right"/>
      </w:pPr>
      <w:r>
        <w:rPr>
          <w:rFonts w:ascii="Arial" w:eastAsia="Arial" w:hAnsi="Arial" w:cs="Arial"/>
          <w:b/>
          <w:bCs/>
          <w:sz w:val="22"/>
          <w:szCs w:val="22"/>
          <w:rtl/>
        </w:rPr>
        <w:t>الاسم الكامل: Federated Dynamically-Adaptive SFCN   |   الأفكار المُدمَجة: 7</w:t>
      </w:r>
    </w:p>
    <w:p w14:paraId="5499CE68" w14:textId="77777777" w:rsidR="001255DB" w:rsidRDefault="00000000">
      <w:pPr>
        <w:pStyle w:val="3"/>
        <w:bidi/>
        <w:spacing w:before="200" w:after="100"/>
        <w:jc w:val="right"/>
      </w:pPr>
      <w:r>
        <w:rPr>
          <w:rFonts w:ascii="Arial" w:eastAsia="Arial" w:hAnsi="Arial" w:cs="Arial"/>
          <w:b/>
          <w:bCs/>
          <w:sz w:val="23"/>
          <w:szCs w:val="23"/>
          <w:rtl/>
        </w:rPr>
        <w:t>الدافع</w:t>
      </w:r>
    </w:p>
    <w:p w14:paraId="2B904B17" w14:textId="77777777" w:rsidR="001255DB" w:rsidRDefault="00000000">
      <w:pPr>
        <w:spacing w:after="200" w:line="300" w:lineRule="auto"/>
        <w:jc w:val="both"/>
      </w:pPr>
      <w:r>
        <w:rPr>
          <w:rFonts w:ascii="Arial" w:eastAsia="Arial" w:hAnsi="Arial" w:cs="Arial"/>
          <w:sz w:val="22"/>
          <w:szCs w:val="22"/>
          <w:rtl/>
        </w:rPr>
        <w:t>امتداد موزَّع لـ DA-SFCN لسياق التعلّم الفيدرالي، حيث تُبنى فضاءات كريلوف محليًا لدى كل عميل وتُشارَك مضغوطة مع الخادم.</w:t>
      </w:r>
    </w:p>
    <w:p w14:paraId="599D8CFE" w14:textId="77777777" w:rsidR="001255DB" w:rsidRDefault="00000000">
      <w:pPr>
        <w:pStyle w:val="3"/>
        <w:bidi/>
        <w:spacing w:before="200" w:after="100"/>
        <w:jc w:val="right"/>
      </w:pPr>
      <w:r>
        <w:rPr>
          <w:rFonts w:ascii="Arial" w:eastAsia="Arial" w:hAnsi="Arial" w:cs="Arial"/>
          <w:b/>
          <w:bCs/>
          <w:sz w:val="23"/>
          <w:szCs w:val="23"/>
          <w:rtl/>
        </w:rPr>
        <w:t>مخطط الخوارزمية</w:t>
      </w:r>
    </w:p>
    <w:p w14:paraId="0C36CBBC" w14:textId="77777777" w:rsidR="001255DB" w:rsidRDefault="00000000">
      <w:pPr>
        <w:bidi w:val="0"/>
        <w:spacing w:before="100" w:after="200"/>
        <w:jc w:val="center"/>
      </w:pPr>
      <w:r>
        <w:rPr>
          <w:rFonts w:ascii="Consolas" w:eastAsia="Consolas" w:hAnsi="Consolas" w:cs="Consolas"/>
          <w:sz w:val="22"/>
          <w:szCs w:val="22"/>
        </w:rPr>
        <w:t>كل عميل i يبني (Q_k^i, T_k^i) محليًا من بياناته الخاصة</w:t>
      </w:r>
    </w:p>
    <w:p w14:paraId="2D32AE82" w14:textId="77777777" w:rsidR="001255DB" w:rsidRDefault="00000000">
      <w:pPr>
        <w:bidi w:val="0"/>
        <w:spacing w:before="100" w:after="200"/>
        <w:jc w:val="center"/>
      </w:pPr>
      <w:r>
        <w:rPr>
          <w:rFonts w:ascii="Consolas" w:eastAsia="Consolas" w:hAnsi="Consolas" w:cs="Consolas"/>
          <w:sz w:val="22"/>
          <w:szCs w:val="22"/>
        </w:rPr>
        <w:t>يُرسِل العميل Q_k^i مضغوطة (أو إسقاطها فقط) للخادم بكلفة اتصال O(n·m_k)</w:t>
      </w:r>
    </w:p>
    <w:p w14:paraId="0C5D8872" w14:textId="77777777" w:rsidR="001255DB" w:rsidRDefault="00000000">
      <w:pPr>
        <w:bidi w:val="0"/>
        <w:spacing w:before="100" w:after="200"/>
        <w:jc w:val="center"/>
      </w:pPr>
      <w:r>
        <w:rPr>
          <w:rFonts w:ascii="Consolas" w:eastAsia="Consolas" w:hAnsi="Consolas" w:cs="Consolas"/>
          <w:sz w:val="22"/>
          <w:szCs w:val="22"/>
        </w:rPr>
        <w:t>الخادم يدمج الفضاءات الجزئية (عبر QR مشترك أو تجميع) ويحل المسألة التكعيبية المجمّعة</w:t>
      </w:r>
    </w:p>
    <w:p w14:paraId="7B48415F" w14:textId="77777777" w:rsidR="001255DB" w:rsidRDefault="00000000">
      <w:pPr>
        <w:pStyle w:val="3"/>
        <w:bidi/>
        <w:spacing w:before="200" w:after="100"/>
        <w:jc w:val="right"/>
      </w:pPr>
      <w:r>
        <w:rPr>
          <w:rFonts w:ascii="Arial" w:eastAsia="Arial" w:hAnsi="Arial" w:cs="Arial"/>
          <w:b/>
          <w:bCs/>
          <w:sz w:val="23"/>
          <w:szCs w:val="23"/>
          <w:rtl/>
        </w:rPr>
        <w:t>نظرية التقارب المستهدفة (Target Theorem)</w:t>
      </w:r>
    </w:p>
    <w:p w14:paraId="1E00D00D" w14:textId="77777777" w:rsidR="001255DB" w:rsidRDefault="00000000">
      <w:pPr>
        <w:spacing w:after="200" w:line="300" w:lineRule="auto"/>
        <w:jc w:val="both"/>
      </w:pPr>
      <w:r>
        <w:rPr>
          <w:rFonts w:ascii="Arial" w:eastAsia="Arial" w:hAnsi="Arial" w:cs="Arial"/>
          <w:sz w:val="22"/>
          <w:szCs w:val="22"/>
          <w:rtl/>
        </w:rPr>
        <w:lastRenderedPageBreak/>
        <w:t>الهدف: تحليل تكلفة الاتصال الكلية O(n·Σm_k) عبر الجولات، وإثبات تقارب تحت تفاوت العملاء (client heterogeneity) بمعنى مشابه لما استُخدم في تحليل FedNL وSHED.</w:t>
      </w:r>
    </w:p>
    <w:p w14:paraId="203A43FD" w14:textId="77777777" w:rsidR="001255DB" w:rsidRDefault="00000000">
      <w:pPr>
        <w:pStyle w:val="3"/>
        <w:bidi/>
        <w:spacing w:before="200" w:after="100"/>
        <w:jc w:val="right"/>
      </w:pPr>
      <w:r>
        <w:rPr>
          <w:rFonts w:ascii="Arial" w:eastAsia="Arial" w:hAnsi="Arial" w:cs="Arial"/>
          <w:b/>
          <w:bCs/>
          <w:sz w:val="23"/>
          <w:szCs w:val="23"/>
          <w:rtl/>
        </w:rPr>
        <w:t>العلاقة بالأعمال السابقة</w:t>
      </w:r>
    </w:p>
    <w:p w14:paraId="764EFC66" w14:textId="77777777" w:rsidR="001255DB" w:rsidRDefault="00000000">
      <w:pPr>
        <w:spacing w:after="200" w:line="300" w:lineRule="auto"/>
        <w:jc w:val="both"/>
      </w:pPr>
      <w:r>
        <w:rPr>
          <w:rFonts w:ascii="Arial" w:eastAsia="Arial" w:hAnsi="Arial" w:cs="Arial"/>
          <w:sz w:val="22"/>
          <w:szCs w:val="22"/>
          <w:rtl/>
        </w:rPr>
        <w:t>يبني مباشرة على أطر SHED (Dal Fabbro et al., 2024) وFedNL (Safaryan et al., 2021)، بإضافة جدولة m_k الديناميكية التي تراعي تفاوت العملاء (عملاء ببيانات أصعب قد يحتاجون m_k أكبر).</w:t>
      </w:r>
    </w:p>
    <w:p w14:paraId="4F35DDCC" w14:textId="77777777" w:rsidR="001255DB" w:rsidRDefault="00000000">
      <w:pPr>
        <w:pStyle w:val="3"/>
        <w:bidi/>
        <w:spacing w:before="200" w:after="100"/>
        <w:jc w:val="right"/>
      </w:pPr>
      <w:r>
        <w:rPr>
          <w:rFonts w:ascii="Arial" w:eastAsia="Arial" w:hAnsi="Arial" w:cs="Arial"/>
          <w:b/>
          <w:bCs/>
          <w:sz w:val="23"/>
          <w:szCs w:val="23"/>
          <w:rtl/>
        </w:rPr>
        <w:t>خطة التجريب</w:t>
      </w:r>
    </w:p>
    <w:p w14:paraId="608AC7FB" w14:textId="77777777" w:rsidR="001255DB" w:rsidRDefault="00000000">
      <w:pPr>
        <w:spacing w:after="200" w:line="300" w:lineRule="auto"/>
        <w:jc w:val="both"/>
      </w:pPr>
      <w:r>
        <w:rPr>
          <w:rFonts w:ascii="Arial" w:eastAsia="Arial" w:hAnsi="Arial" w:cs="Arial"/>
          <w:sz w:val="22"/>
          <w:szCs w:val="22"/>
          <w:rtl/>
        </w:rPr>
        <w:t>محاكاة فيدرالية قياسية (FEMNIST أو تقسيم غير متجانس لـ CIFAR-10 صغير) بمقارنة عدد جولات الاتصال اللازمة ضد FedAvg وFedNL.</w:t>
      </w:r>
    </w:p>
    <w:p w14:paraId="4726BF1A" w14:textId="77777777" w:rsidR="001255DB" w:rsidRDefault="00000000">
      <w:pPr>
        <w:pStyle w:val="2"/>
        <w:bidi/>
        <w:spacing w:before="300" w:after="150"/>
        <w:jc w:val="right"/>
      </w:pPr>
      <w:r>
        <w:rPr>
          <w:rFonts w:ascii="Arial" w:eastAsia="Arial" w:hAnsi="Arial" w:cs="Arial"/>
          <w:b/>
          <w:bCs/>
          <w:rtl/>
        </w:rPr>
        <w:t>4.6 الخوارزمية 6: SC-Newton</w:t>
      </w:r>
    </w:p>
    <w:p w14:paraId="347E16E5" w14:textId="77777777" w:rsidR="001255DB" w:rsidRDefault="00000000">
      <w:pPr>
        <w:spacing w:after="200" w:line="300" w:lineRule="auto"/>
        <w:jc w:val="right"/>
      </w:pPr>
      <w:r>
        <w:rPr>
          <w:rFonts w:ascii="Arial" w:eastAsia="Arial" w:hAnsi="Arial" w:cs="Arial"/>
          <w:b/>
          <w:bCs/>
          <w:sz w:val="22"/>
          <w:szCs w:val="22"/>
          <w:rtl/>
        </w:rPr>
        <w:t>الاسم الكامل: Spectral-Certificate Newton   |   الأفكار المُدمَجة: 10 + 8</w:t>
      </w:r>
    </w:p>
    <w:p w14:paraId="64412FD9" w14:textId="77777777" w:rsidR="001255DB" w:rsidRDefault="00000000">
      <w:pPr>
        <w:pStyle w:val="3"/>
        <w:bidi/>
        <w:spacing w:before="200" w:after="100"/>
        <w:jc w:val="right"/>
      </w:pPr>
      <w:r>
        <w:rPr>
          <w:rFonts w:ascii="Arial" w:eastAsia="Arial" w:hAnsi="Arial" w:cs="Arial"/>
          <w:b/>
          <w:bCs/>
          <w:sz w:val="23"/>
          <w:szCs w:val="23"/>
          <w:rtl/>
        </w:rPr>
        <w:t>الدافع</w:t>
      </w:r>
    </w:p>
    <w:p w14:paraId="33D57DCF" w14:textId="77777777" w:rsidR="001255DB" w:rsidRDefault="00000000">
      <w:pPr>
        <w:spacing w:after="200" w:line="300" w:lineRule="auto"/>
        <w:jc w:val="both"/>
      </w:pPr>
      <w:r>
        <w:rPr>
          <w:rFonts w:ascii="Arial" w:eastAsia="Arial" w:hAnsi="Arial" w:cs="Arial"/>
          <w:sz w:val="22"/>
          <w:szCs w:val="22"/>
          <w:rtl/>
        </w:rPr>
        <w:t>خوارزمية استكشافية (أعلى مخاطرة، مرحلة متأخرة من الأطروحة) تستغل انحلال الطيف الفعلي للمسألة (تكرار القيم الذاتية) لإيقاف نمو m_k مبكرًا عبر شهادة رياضية بدل حد أعلى تحفظي.</w:t>
      </w:r>
    </w:p>
    <w:p w14:paraId="20485035" w14:textId="77777777" w:rsidR="001255DB" w:rsidRDefault="00000000">
      <w:pPr>
        <w:pStyle w:val="3"/>
        <w:bidi/>
        <w:spacing w:before="200" w:after="100"/>
        <w:jc w:val="right"/>
      </w:pPr>
      <w:r>
        <w:rPr>
          <w:rFonts w:ascii="Arial" w:eastAsia="Arial" w:hAnsi="Arial" w:cs="Arial"/>
          <w:b/>
          <w:bCs/>
          <w:sz w:val="23"/>
          <w:szCs w:val="23"/>
          <w:rtl/>
        </w:rPr>
        <w:t>مخطط الخوارزمية</w:t>
      </w:r>
    </w:p>
    <w:p w14:paraId="1139CB36" w14:textId="77777777" w:rsidR="001255DB" w:rsidRDefault="00000000">
      <w:pPr>
        <w:bidi w:val="0"/>
        <w:spacing w:before="100" w:after="200"/>
        <w:jc w:val="center"/>
      </w:pPr>
      <w:r>
        <w:rPr>
          <w:rFonts w:ascii="Consolas" w:eastAsia="Consolas" w:hAnsi="Consolas" w:cs="Consolas"/>
          <w:sz w:val="22"/>
          <w:szCs w:val="22"/>
        </w:rPr>
        <w:t>أثناء بناء Lanczos، راقب تقارب أصغر/أكبر قيمة ذاتية لـ T_j عبر j متتالية</w:t>
      </w:r>
    </w:p>
    <w:p w14:paraId="713594CE" w14:textId="77777777" w:rsidR="001255DB" w:rsidRDefault="00000000">
      <w:pPr>
        <w:bidi w:val="0"/>
        <w:spacing w:before="100" w:after="200"/>
        <w:jc w:val="center"/>
      </w:pPr>
      <w:r>
        <w:rPr>
          <w:rFonts w:ascii="Consolas" w:eastAsia="Consolas" w:hAnsi="Consolas" w:cs="Consolas"/>
          <w:sz w:val="22"/>
          <w:szCs w:val="22"/>
        </w:rPr>
        <w:t>إذا استقرت القيم الذاتية المتطرفة (تغيّر أقل من عتبة) قبل بلوغ m_max: أصدر 'شهادة توقف' وتوقف عند m_j&lt;m_k المخطط</w:t>
      </w:r>
    </w:p>
    <w:p w14:paraId="2F9A99E6" w14:textId="77777777" w:rsidR="001255DB" w:rsidRDefault="00000000">
      <w:pPr>
        <w:bidi w:val="0"/>
        <w:spacing w:before="100" w:after="200"/>
        <w:jc w:val="center"/>
      </w:pPr>
      <w:r>
        <w:rPr>
          <w:rFonts w:ascii="Consolas" w:eastAsia="Consolas" w:hAnsi="Consolas" w:cs="Consolas"/>
          <w:sz w:val="22"/>
          <w:szCs w:val="22"/>
        </w:rPr>
        <w:t>ادمج تقريب قطري أولي (Sophia-style) كنقطة انطلاق لتقليل m_min الأساسي أكثر</w:t>
      </w:r>
    </w:p>
    <w:p w14:paraId="590ED828" w14:textId="77777777" w:rsidR="001255DB" w:rsidRDefault="00000000">
      <w:pPr>
        <w:pStyle w:val="3"/>
        <w:bidi/>
        <w:spacing w:before="200" w:after="100"/>
        <w:jc w:val="right"/>
      </w:pPr>
      <w:r>
        <w:rPr>
          <w:rFonts w:ascii="Arial" w:eastAsia="Arial" w:hAnsi="Arial" w:cs="Arial"/>
          <w:b/>
          <w:bCs/>
          <w:sz w:val="23"/>
          <w:szCs w:val="23"/>
          <w:rtl/>
        </w:rPr>
        <w:t>نظرية التقارب المستهدفة (Target Theorem)</w:t>
      </w:r>
    </w:p>
    <w:p w14:paraId="29875AF0" w14:textId="77777777" w:rsidR="001255DB" w:rsidRDefault="00000000">
      <w:pPr>
        <w:spacing w:after="200" w:line="300" w:lineRule="auto"/>
        <w:jc w:val="both"/>
      </w:pPr>
      <w:r>
        <w:rPr>
          <w:rFonts w:ascii="Arial" w:eastAsia="Arial" w:hAnsi="Arial" w:cs="Arial"/>
          <w:sz w:val="22"/>
          <w:szCs w:val="22"/>
          <w:rtl/>
        </w:rPr>
        <w:t>الهدف: دراسة تجريبية بالدرجة الأولى لمدى تكرار حدوث انحلال طيفي فعلي في مسائل حقيقية (شبكات عصبية)، مع تحليل نظري جزئي مبني مباشرة على Lemma 5 في Jiang et al. (2024) (الخطأ صفر عند عدد قيم ذاتية مميزة ≤m).</w:t>
      </w:r>
    </w:p>
    <w:p w14:paraId="48B86BF3" w14:textId="77777777" w:rsidR="001255DB" w:rsidRDefault="00000000">
      <w:pPr>
        <w:pStyle w:val="3"/>
        <w:bidi/>
        <w:spacing w:before="200" w:after="100"/>
        <w:jc w:val="right"/>
      </w:pPr>
      <w:r>
        <w:rPr>
          <w:rFonts w:ascii="Arial" w:eastAsia="Arial" w:hAnsi="Arial" w:cs="Arial"/>
          <w:b/>
          <w:bCs/>
          <w:sz w:val="23"/>
          <w:szCs w:val="23"/>
          <w:rtl/>
        </w:rPr>
        <w:t>العلاقة بالأعمال السابقة</w:t>
      </w:r>
    </w:p>
    <w:p w14:paraId="66121D0C" w14:textId="77777777" w:rsidR="001255DB" w:rsidRDefault="00000000">
      <w:pPr>
        <w:spacing w:after="200" w:line="300" w:lineRule="auto"/>
        <w:jc w:val="both"/>
      </w:pPr>
      <w:r>
        <w:rPr>
          <w:rFonts w:ascii="Arial" w:eastAsia="Arial" w:hAnsi="Arial" w:cs="Arial"/>
          <w:sz w:val="22"/>
          <w:szCs w:val="22"/>
          <w:rtl/>
        </w:rPr>
        <w:t>يستثمر نتيجة نظرية موجودة (Jiang et al. 2024) لم تُستغل عمليًا بعد كآلية توقف مبكر تكيفية، بدل استخدامها فقط كحد أعلى نظري كما في الورقة الأصلية.</w:t>
      </w:r>
    </w:p>
    <w:p w14:paraId="5FF1320B" w14:textId="77777777" w:rsidR="001255DB" w:rsidRDefault="00000000">
      <w:pPr>
        <w:pStyle w:val="3"/>
        <w:bidi/>
        <w:spacing w:before="200" w:after="100"/>
        <w:jc w:val="right"/>
      </w:pPr>
      <w:r>
        <w:rPr>
          <w:rFonts w:ascii="Arial" w:eastAsia="Arial" w:hAnsi="Arial" w:cs="Arial"/>
          <w:b/>
          <w:bCs/>
          <w:sz w:val="23"/>
          <w:szCs w:val="23"/>
          <w:rtl/>
        </w:rPr>
        <w:t>خطة التجريب</w:t>
      </w:r>
    </w:p>
    <w:p w14:paraId="4319C449" w14:textId="77777777" w:rsidR="001255DB" w:rsidRDefault="00000000">
      <w:pPr>
        <w:spacing w:after="200" w:line="300" w:lineRule="auto"/>
        <w:jc w:val="both"/>
      </w:pPr>
      <w:r>
        <w:rPr>
          <w:rFonts w:ascii="Arial" w:eastAsia="Arial" w:hAnsi="Arial" w:cs="Arial"/>
          <w:sz w:val="22"/>
          <w:szCs w:val="22"/>
          <w:rtl/>
        </w:rPr>
        <w:t>دراسة تجريبية لتوزيع القيم الذاتية للهيسيان أثناء تدريب شبكات عصبية صغيرة إلى متوسطة الحجم، لتحديد مدى واقعية افتراض الانحلال الطيفي في التطبيقات العملية.</w:t>
      </w:r>
    </w:p>
    <w:p w14:paraId="4E8BFAC3" w14:textId="77777777" w:rsidR="001255DB" w:rsidRDefault="00000000">
      <w:r>
        <w:br w:type="page"/>
      </w:r>
    </w:p>
    <w:p w14:paraId="6B1FE74D" w14:textId="77777777" w:rsidR="001255DB" w:rsidRDefault="00000000">
      <w:pPr>
        <w:pStyle w:val="1"/>
        <w:bidi/>
        <w:spacing w:before="400" w:after="200"/>
        <w:jc w:val="right"/>
      </w:pPr>
      <w:r>
        <w:rPr>
          <w:rFonts w:ascii="Arial" w:eastAsia="Arial" w:hAnsi="Arial" w:cs="Arial"/>
          <w:b/>
          <w:bCs/>
          <w:sz w:val="30"/>
          <w:szCs w:val="30"/>
          <w:rtl/>
        </w:rPr>
        <w:lastRenderedPageBreak/>
        <w:t>5. خطة الإثبات النظري التفصيلية (للخوارزمية الأولى DA-SFCN)</w:t>
      </w:r>
    </w:p>
    <w:p w14:paraId="41F9545B" w14:textId="77777777" w:rsidR="001255DB" w:rsidRDefault="00000000">
      <w:pPr>
        <w:spacing w:after="200" w:line="300" w:lineRule="auto"/>
        <w:jc w:val="both"/>
      </w:pPr>
      <w:r>
        <w:rPr>
          <w:rFonts w:ascii="Arial" w:eastAsia="Arial" w:hAnsi="Arial" w:cs="Arial"/>
          <w:sz w:val="22"/>
          <w:szCs w:val="22"/>
          <w:rtl/>
        </w:rPr>
        <w:t>يُبنى الإثبات على مرحلتين، بالاستفادة القصوى من الأدوات الموجودة في الأدبيات بدل اشتقاقها من الصفر حيثما أمكن:</w:t>
      </w:r>
    </w:p>
    <w:p w14:paraId="152609BE" w14:textId="77777777" w:rsidR="001255DB" w:rsidRDefault="00000000">
      <w:pPr>
        <w:pStyle w:val="2"/>
        <w:bidi/>
        <w:spacing w:before="300" w:after="150"/>
        <w:jc w:val="right"/>
      </w:pPr>
      <w:r>
        <w:rPr>
          <w:rFonts w:ascii="Arial" w:eastAsia="Arial" w:hAnsi="Arial" w:cs="Arial"/>
          <w:b/>
          <w:bCs/>
          <w:rtl/>
        </w:rPr>
        <w:t>5.1 المرحلة العالمية</w:t>
      </w:r>
    </w:p>
    <w:p w14:paraId="6F5079F7" w14:textId="77777777" w:rsidR="001255DB" w:rsidRDefault="00000000">
      <w:pPr>
        <w:spacing w:after="200" w:line="300" w:lineRule="auto"/>
        <w:jc w:val="both"/>
      </w:pPr>
      <w:r>
        <w:rPr>
          <w:rFonts w:ascii="Arial" w:eastAsia="Arial" w:hAnsi="Arial" w:cs="Arial"/>
          <w:sz w:val="22"/>
          <w:szCs w:val="22"/>
          <w:rtl/>
        </w:rPr>
        <w:t>تُستورد حجة 'نقطة كوشي' من Cartis, Gould &amp; Toint (2011) وCarmon &amp; Duchi (2019): أي حل تقريبي للمسألة التكعيبية الفرعية يحقق تنازلًا لا يقل عمّا يحققه اتجاه التدرّج المحض (المتاح دائمًا عند m_k=1 لأن q_1=g_k/‖g_k‖ في بناء Lanczos). بما أن هذا لا يعتمد على حجم الفضاء الجزئي، فإن معدل O(k^(−2/3)) يصمد لأي جدولة m_k≥1 — وهذا يعني أن مخاطرة الجدولة الديناميكية على الضمان العالمي معدومة عمليًا، وكل ما تبقى هو إثبات أنها لا تُبطئ المرحلة المحلية.</w:t>
      </w:r>
    </w:p>
    <w:p w14:paraId="7D63DE8E" w14:textId="77777777" w:rsidR="001255DB" w:rsidRDefault="00000000">
      <w:pPr>
        <w:pStyle w:val="2"/>
        <w:bidi/>
        <w:spacing w:before="300" w:after="150"/>
        <w:jc w:val="right"/>
      </w:pPr>
      <w:r>
        <w:rPr>
          <w:rFonts w:ascii="Arial" w:eastAsia="Arial" w:hAnsi="Arial" w:cs="Arial"/>
          <w:b/>
          <w:bCs/>
          <w:rtl/>
        </w:rPr>
        <w:t>5.2 المرحلة المحلية: دمج نتيجتين موجودتين</w:t>
      </w:r>
    </w:p>
    <w:p w14:paraId="7B5DE817" w14:textId="77777777" w:rsidR="001255DB" w:rsidRDefault="00000000">
      <w:pPr>
        <w:spacing w:after="200" w:line="300" w:lineRule="auto"/>
        <w:jc w:val="both"/>
      </w:pPr>
      <w:r>
        <w:rPr>
          <w:rFonts w:ascii="Arial" w:eastAsia="Arial" w:hAnsi="Arial" w:cs="Arial"/>
          <w:sz w:val="22"/>
          <w:szCs w:val="22"/>
          <w:rtl/>
        </w:rPr>
        <w:t>هنا تكمن نقطة الالتقاء الدقيقة بين إطارين موجودين يجب دمجهما رياضيًا لأول مرة: (أ) حد الخطأ الطيفي الدقيق ρ^(m)(H,g) من Jiang et al. (2024)، المرتبط بمتعددات حدود تشيبيشيف على طيف الهيسيان، و(ب) شرط التقارب التربيعي المحلي القياسي لنيوتن (Nocedal &amp; Wright). المطلوب إثباته: أن اختيار m_k وفق الجدولة اللوغاريتمية المقترحة (الفكرة 1) يضمن ρ^(m_k)(H_k,g_k)=O(‖e_k‖) — أي أن خطأ التقريب الطيفي يتناقص بنفس رتبة معيار الخطأ، مما يحافظ على رتبة التقارب التربيعي الكلية دون فرض m_k=Θ(n) أو حتى m_k=Θ(1) ثابتة.</w:t>
      </w:r>
    </w:p>
    <w:p w14:paraId="5C9DB9F5" w14:textId="77777777" w:rsidR="001255DB" w:rsidRDefault="00000000">
      <w:pPr>
        <w:pStyle w:val="2"/>
        <w:bidi/>
        <w:spacing w:before="300" w:after="150"/>
        <w:jc w:val="right"/>
      </w:pPr>
      <w:r>
        <w:rPr>
          <w:rFonts w:ascii="Arial" w:eastAsia="Arial" w:hAnsi="Arial" w:cs="Arial"/>
          <w:b/>
          <w:bCs/>
          <w:rtl/>
        </w:rPr>
        <w:t>5.3 معالجة تصحيح السرج ضمن التحليل</w:t>
      </w:r>
    </w:p>
    <w:p w14:paraId="29F3D2BB" w14:textId="77777777" w:rsidR="001255DB" w:rsidRDefault="00000000">
      <w:pPr>
        <w:spacing w:after="200" w:line="300" w:lineRule="auto"/>
        <w:jc w:val="both"/>
      </w:pPr>
      <w:r>
        <w:rPr>
          <w:rFonts w:ascii="Arial" w:eastAsia="Arial" w:hAnsi="Arial" w:cs="Arial"/>
          <w:sz w:val="22"/>
          <w:szCs w:val="22"/>
          <w:rtl/>
        </w:rPr>
        <w:t>يُستخدم Lemma 2 الكلاسيكي في أدبيات saddle-free (|xᵀAx|≤xᵀ|A|x) لإثبات أن استبدال Λ بـ|Λ| داخل الفضاء الجزئي المصغّر لا يُخلّ بضمان التنازل الأساسي للمسألة التكعيبية (الذي يعتمد فقط على كون |Λ|⪰0، وهو محقق تلقائيًا)، بينما يضيف الضمان الإضافي بأن أي اتجاه انحناء سالب داخل الفضاء الجزئي يُترجَم لخطوة هروب صريحة بدل الانجذاب.</w:t>
      </w:r>
    </w:p>
    <w:p w14:paraId="09E82AE6" w14:textId="77777777" w:rsidR="001255DB" w:rsidRDefault="00000000">
      <w:pPr>
        <w:pStyle w:val="2"/>
        <w:bidi/>
        <w:spacing w:before="300" w:after="150"/>
        <w:jc w:val="right"/>
      </w:pPr>
      <w:r>
        <w:rPr>
          <w:rFonts w:ascii="Arial" w:eastAsia="Arial" w:hAnsi="Arial" w:cs="Arial"/>
          <w:b/>
          <w:bCs/>
          <w:rtl/>
        </w:rPr>
        <w:t>5.4 الفجوة المتبقية المعلَنة بصراحة</w:t>
      </w:r>
    </w:p>
    <w:p w14:paraId="2AC280AA" w14:textId="77777777" w:rsidR="001255DB" w:rsidRDefault="00000000">
      <w:pPr>
        <w:spacing w:after="200" w:line="300" w:lineRule="auto"/>
        <w:jc w:val="both"/>
      </w:pPr>
      <w:r>
        <w:rPr>
          <w:rFonts w:ascii="Arial" w:eastAsia="Arial" w:hAnsi="Arial" w:cs="Arial"/>
          <w:sz w:val="22"/>
          <w:szCs w:val="22"/>
          <w:rtl/>
        </w:rPr>
        <w:t>كما في أي عمل نظري صادق، تبقى نقطة واحدة غير مغلقة بالكامل عند نهاية السنة الأولى المخطط لها (القسم 7): إثبات حد أعلى صريح K على عدد التكرارات اللازمة لبلوغ 'المرحلة المحلية' (حيث H_k≻0 نهائيًا، أي لا مزيد من السروج القريبة)، لا مجرد افتراض الوصول إليها. الاستراتيجية المقترحة لمعالجتها: الاستعانة بحجج Perturbed Gradient Descent (Jin et al., 2017) التي تثبت زمن هروب من السروج بحد أعلى باحتمال عالٍ، وتكييفها لسياق الخطوة التكعيبية المصحَّحة.</w:t>
      </w:r>
    </w:p>
    <w:p w14:paraId="02CEBBB3" w14:textId="77777777" w:rsidR="001255DB" w:rsidRDefault="00000000">
      <w:pPr>
        <w:pStyle w:val="1"/>
        <w:bidi/>
        <w:spacing w:before="400" w:after="200"/>
        <w:jc w:val="right"/>
      </w:pPr>
      <w:r>
        <w:rPr>
          <w:rFonts w:ascii="Arial" w:eastAsia="Arial" w:hAnsi="Arial" w:cs="Arial"/>
          <w:b/>
          <w:bCs/>
          <w:sz w:val="30"/>
          <w:szCs w:val="30"/>
          <w:rtl/>
        </w:rPr>
        <w:t>6. خطة التحقق التجريبي الشاملة</w:t>
      </w:r>
    </w:p>
    <w:p w14:paraId="50036F82" w14:textId="77777777" w:rsidR="001255DB" w:rsidRDefault="00000000">
      <w:pPr>
        <w:spacing w:after="200" w:line="300" w:lineRule="auto"/>
        <w:jc w:val="both"/>
      </w:pPr>
      <w:r>
        <w:rPr>
          <w:rFonts w:ascii="Arial" w:eastAsia="Arial" w:hAnsi="Arial" w:cs="Arial"/>
          <w:sz w:val="22"/>
          <w:szCs w:val="22"/>
          <w:rtl/>
        </w:rPr>
        <w:t>تُصمَّم التجارب على مستويات متدرجة الصعوبة والحجم، بحيث يمكن مقارنة كل خوارزمية مقترحة مباشرة بالأرقام المنشورة في الأدبيات المرجعية (لا فقط بخوارزميات أُعيد تنفيذها داخليًا، لتفادي تحيز إعادة التنفيذ):</w:t>
      </w:r>
    </w:p>
    <w:p w14:paraId="2ED9B1E3" w14:textId="77777777" w:rsidR="001255DB" w:rsidRDefault="00000000">
      <w:pPr>
        <w:pStyle w:val="a4"/>
        <w:numPr>
          <w:ilvl w:val="0"/>
          <w:numId w:val="1"/>
        </w:numPr>
        <w:bidi/>
        <w:spacing w:after="120" w:line="300" w:lineRule="auto"/>
        <w:jc w:val="right"/>
      </w:pPr>
      <w:r>
        <w:rPr>
          <w:rFonts w:ascii="Arial" w:eastAsia="Arial" w:hAnsi="Arial" w:cs="Arial"/>
          <w:sz w:val="22"/>
          <w:szCs w:val="22"/>
          <w:rtl/>
        </w:rPr>
        <w:t>المستوى 1 — دوال اختبار تحليلية: دوال سرج معروفة الحل تحليليًا (رباعية بسيطة، ودوال Rosenbrock المعمَّمة)، لفحص صحة الاشتقاقات النظرية عدديًا (رتبة التقارب، سلوك m_k).</w:t>
      </w:r>
    </w:p>
    <w:p w14:paraId="708A0BE8" w14:textId="77777777" w:rsidR="001255DB" w:rsidRDefault="00000000">
      <w:pPr>
        <w:pStyle w:val="a4"/>
        <w:numPr>
          <w:ilvl w:val="0"/>
          <w:numId w:val="1"/>
        </w:numPr>
        <w:bidi/>
        <w:spacing w:after="120" w:line="300" w:lineRule="auto"/>
        <w:jc w:val="right"/>
      </w:pPr>
      <w:r>
        <w:rPr>
          <w:rFonts w:ascii="Arial" w:eastAsia="Arial" w:hAnsi="Arial" w:cs="Arial"/>
          <w:sz w:val="22"/>
          <w:szCs w:val="22"/>
          <w:rtl/>
        </w:rPr>
        <w:t>المستوى 2 — تحليل مصفوفات (Matrix Factorization): مسائل min‖X−UVᵀ‖_F² التي أثبت Ge, Lee &amp; Ma (2016) أن كل نقاطها الحرجة إما دنيا عامة أو سروج معروفة الموقع تحليليًا — معيار نظيف لقياس زمن الهروب من السرج بدقة.</w:t>
      </w:r>
    </w:p>
    <w:p w14:paraId="7AF7B731" w14:textId="77777777" w:rsidR="001255DB" w:rsidRDefault="00000000">
      <w:pPr>
        <w:pStyle w:val="a4"/>
        <w:numPr>
          <w:ilvl w:val="0"/>
          <w:numId w:val="1"/>
        </w:numPr>
        <w:bidi/>
        <w:spacing w:after="120" w:line="300" w:lineRule="auto"/>
        <w:jc w:val="right"/>
      </w:pPr>
      <w:r>
        <w:rPr>
          <w:rFonts w:ascii="Arial" w:eastAsia="Arial" w:hAnsi="Arial" w:cs="Arial"/>
          <w:sz w:val="22"/>
          <w:szCs w:val="22"/>
          <w:rtl/>
        </w:rPr>
        <w:lastRenderedPageBreak/>
        <w:t>المستوى 3 — انحدار لوجستي على LIBSVM: نفس مجموعات البيانات (gisette, madelon, duke, rcv1, news20, realsim) المستخدمة في Zhao et al. (2025) وJiang et al. (2024)، لمقارنة مباشرة مع أرقامهم المنشورة دون إعادة تنفيذ طرقهم من الصفر (تقليل مخاطر التحيز).</w:t>
      </w:r>
    </w:p>
    <w:p w14:paraId="0C3BD302" w14:textId="77777777" w:rsidR="001255DB" w:rsidRDefault="00000000">
      <w:pPr>
        <w:pStyle w:val="a4"/>
        <w:numPr>
          <w:ilvl w:val="0"/>
          <w:numId w:val="1"/>
        </w:numPr>
        <w:bidi/>
        <w:spacing w:after="120" w:line="300" w:lineRule="auto"/>
        <w:jc w:val="right"/>
      </w:pPr>
      <w:r>
        <w:rPr>
          <w:rFonts w:ascii="Arial" w:eastAsia="Arial" w:hAnsi="Arial" w:cs="Arial"/>
          <w:sz w:val="22"/>
          <w:szCs w:val="22"/>
          <w:rtl/>
        </w:rPr>
        <w:t>المستوى 4 — شبكات عصبية صغيرة إلى متوسطة: مُشفِّر تلقائي عميق (autoencoder) على MNIST (كما في Dauphin et al. 2014) وCNN صغيرة على CIFAR-10، لقياس السلوك في بيئة تدريب واقعية بها ضجيج عشوائي حقيقي (السياق الذي تستهدفه الخوارزمية VR-DA-SFCN).</w:t>
      </w:r>
    </w:p>
    <w:p w14:paraId="6E1A9F1C" w14:textId="77777777" w:rsidR="001255DB" w:rsidRDefault="00000000">
      <w:pPr>
        <w:pStyle w:val="a4"/>
        <w:numPr>
          <w:ilvl w:val="0"/>
          <w:numId w:val="1"/>
        </w:numPr>
        <w:bidi/>
        <w:spacing w:after="120" w:line="300" w:lineRule="auto"/>
        <w:jc w:val="right"/>
      </w:pPr>
      <w:r>
        <w:rPr>
          <w:rFonts w:ascii="Arial" w:eastAsia="Arial" w:hAnsi="Arial" w:cs="Arial"/>
          <w:sz w:val="22"/>
          <w:szCs w:val="22"/>
          <w:rtl/>
        </w:rPr>
        <w:t>المستوى 5 (طموح، مرهون بالموارد الحاسوبية): ضبط دقيق (fine-tuning) لنموذج لغوي صغير إلى متوسط الحجم، بمقارنة مباشرة مع Sophia وAdamW من حيث الزمن الفعلي للوصول لخسارة تحقق مستهدفة — يمثل الاختبار الأكثر إقناعًا عمليًا إن نجح، لكنه يحمل أكبر مخاطرة تقنية وحاسوبية.</w:t>
      </w:r>
    </w:p>
    <w:p w14:paraId="0E56D588" w14:textId="77777777" w:rsidR="001255DB" w:rsidRDefault="00000000">
      <w:pPr>
        <w:spacing w:after="200" w:line="300" w:lineRule="auto"/>
        <w:jc w:val="both"/>
      </w:pPr>
      <w:r>
        <w:rPr>
          <w:rFonts w:ascii="Arial" w:eastAsia="Arial" w:hAnsi="Arial" w:cs="Arial"/>
          <w:sz w:val="22"/>
          <w:szCs w:val="22"/>
          <w:rtl/>
        </w:rPr>
        <w:t>مقاييس التقييم في جميع المستويات: (1) عدد التكرارات للوصول لدقة معيّنة، (2) العدد الكلي التراكمي لاستدعاءات جداء هيسيان-متجه (مقياس الكلفة الحقيقي المستقل عن تفاصيل التنفيذ)، (3) الزمن الفعلي (wall-clock)، (4) معدل النجاح في تجاوز نقاط السرج (للمستويين 1 و2)، (5) للمستوى 4–5: دقة/خسارة التحقق النهائية.</w:t>
      </w:r>
    </w:p>
    <w:p w14:paraId="344A8CA9" w14:textId="77777777" w:rsidR="001255DB" w:rsidRDefault="00000000">
      <w:pPr>
        <w:pStyle w:val="1"/>
        <w:bidi/>
        <w:spacing w:before="400" w:after="200"/>
        <w:jc w:val="right"/>
      </w:pPr>
      <w:r>
        <w:rPr>
          <w:rFonts w:ascii="Arial" w:eastAsia="Arial" w:hAnsi="Arial" w:cs="Arial"/>
          <w:b/>
          <w:bCs/>
          <w:sz w:val="30"/>
          <w:szCs w:val="30"/>
          <w:rtl/>
        </w:rPr>
        <w:t>7. الجدول الزمني المقترح (أربع سنوات)</w:t>
      </w:r>
    </w:p>
    <w:p w14:paraId="2B030976" w14:textId="77777777" w:rsidR="001255DB" w:rsidRDefault="00000000">
      <w:pPr>
        <w:spacing w:after="200" w:line="300" w:lineRule="auto"/>
        <w:jc w:val="both"/>
      </w:pPr>
      <w:r>
        <w:rPr>
          <w:rFonts w:ascii="Arial" w:eastAsia="Arial" w:hAnsi="Arial" w:cs="Arial"/>
          <w:sz w:val="22"/>
          <w:szCs w:val="22"/>
          <w:rtl/>
        </w:rPr>
        <w:t>يوزَّع العمل على ثمانية فصول دراسية، بترتيب يضمن إنتاج نتيجة قابلة للنشر مبكرًا (نهاية السنة الثانية على الأقل) قبل الانتقال للامتدادات الأكثر استكشافية وارتفاعًا في المخاطرة:</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4200"/>
        <w:gridCol w:w="3400"/>
      </w:tblGrid>
      <w:tr w:rsidR="001255DB" w14:paraId="6FE882C9" w14:textId="77777777">
        <w:tblPrEx>
          <w:tblCellMar>
            <w:top w:w="0" w:type="dxa"/>
            <w:bottom w:w="0" w:type="dxa"/>
          </w:tblCellMar>
        </w:tblPrEx>
        <w:trPr>
          <w:tblHeader/>
        </w:trPr>
        <w:tc>
          <w:tcPr>
            <w:tcW w:w="1800" w:type="dxa"/>
            <w:shd w:val="clear" w:color="auto" w:fill="D9E2F3"/>
            <w:tcMar>
              <w:top w:w="80" w:type="dxa"/>
              <w:left w:w="100" w:type="dxa"/>
              <w:bottom w:w="80" w:type="dxa"/>
              <w:right w:w="100" w:type="dxa"/>
            </w:tcMar>
          </w:tcPr>
          <w:p w14:paraId="2E8EB415" w14:textId="77777777" w:rsidR="001255DB" w:rsidRDefault="00000000">
            <w:pPr>
              <w:jc w:val="center"/>
            </w:pPr>
            <w:r>
              <w:rPr>
                <w:rFonts w:ascii="Arial" w:eastAsia="Arial" w:hAnsi="Arial" w:cs="Arial"/>
                <w:b/>
                <w:bCs/>
                <w:rtl/>
              </w:rPr>
              <w:t>الفترة</w:t>
            </w:r>
          </w:p>
        </w:tc>
        <w:tc>
          <w:tcPr>
            <w:tcW w:w="4200" w:type="dxa"/>
            <w:shd w:val="clear" w:color="auto" w:fill="D9E2F3"/>
            <w:tcMar>
              <w:top w:w="80" w:type="dxa"/>
              <w:left w:w="100" w:type="dxa"/>
              <w:bottom w:w="80" w:type="dxa"/>
              <w:right w:w="100" w:type="dxa"/>
            </w:tcMar>
          </w:tcPr>
          <w:p w14:paraId="339F56A8" w14:textId="77777777" w:rsidR="001255DB" w:rsidRDefault="00000000">
            <w:pPr>
              <w:jc w:val="center"/>
            </w:pPr>
            <w:r>
              <w:rPr>
                <w:rFonts w:ascii="Arial" w:eastAsia="Arial" w:hAnsi="Arial" w:cs="Arial"/>
                <w:b/>
                <w:bCs/>
                <w:rtl/>
              </w:rPr>
              <w:t>المهمة الرئيسية</w:t>
            </w:r>
          </w:p>
        </w:tc>
        <w:tc>
          <w:tcPr>
            <w:tcW w:w="3400" w:type="dxa"/>
            <w:shd w:val="clear" w:color="auto" w:fill="D9E2F3"/>
            <w:tcMar>
              <w:top w:w="80" w:type="dxa"/>
              <w:left w:w="100" w:type="dxa"/>
              <w:bottom w:w="80" w:type="dxa"/>
              <w:right w:w="100" w:type="dxa"/>
            </w:tcMar>
          </w:tcPr>
          <w:p w14:paraId="02CC3A62" w14:textId="77777777" w:rsidR="001255DB" w:rsidRDefault="00000000">
            <w:pPr>
              <w:jc w:val="center"/>
            </w:pPr>
            <w:r>
              <w:rPr>
                <w:rFonts w:ascii="Arial" w:eastAsia="Arial" w:hAnsi="Arial" w:cs="Arial"/>
                <w:b/>
                <w:bCs/>
                <w:rtl/>
              </w:rPr>
              <w:t>المخرج المتوقع</w:t>
            </w:r>
          </w:p>
        </w:tc>
      </w:tr>
      <w:tr w:rsidR="001255DB" w14:paraId="0C21E0FD" w14:textId="77777777">
        <w:tblPrEx>
          <w:tblCellMar>
            <w:top w:w="0" w:type="dxa"/>
            <w:bottom w:w="0" w:type="dxa"/>
          </w:tblCellMar>
        </w:tblPrEx>
        <w:tc>
          <w:tcPr>
            <w:tcW w:w="1800" w:type="dxa"/>
            <w:tcMar>
              <w:top w:w="80" w:type="dxa"/>
              <w:left w:w="100" w:type="dxa"/>
              <w:bottom w:w="80" w:type="dxa"/>
              <w:right w:w="100" w:type="dxa"/>
            </w:tcMar>
          </w:tcPr>
          <w:p w14:paraId="45EE5A46" w14:textId="08B08E62" w:rsidR="001255DB" w:rsidRDefault="00000000">
            <w:pPr>
              <w:jc w:val="right"/>
            </w:pPr>
            <w:r>
              <w:rPr>
                <w:rFonts w:ascii="Arial" w:eastAsia="Arial" w:hAnsi="Arial" w:cs="Arial"/>
                <w:sz w:val="18"/>
                <w:szCs w:val="18"/>
                <w:rtl/>
              </w:rPr>
              <w:t>ا  – الفصل 1</w:t>
            </w:r>
          </w:p>
        </w:tc>
        <w:tc>
          <w:tcPr>
            <w:tcW w:w="4200" w:type="dxa"/>
            <w:tcMar>
              <w:top w:w="80" w:type="dxa"/>
              <w:left w:w="100" w:type="dxa"/>
              <w:bottom w:w="80" w:type="dxa"/>
              <w:right w:w="100" w:type="dxa"/>
            </w:tcMar>
          </w:tcPr>
          <w:p w14:paraId="640A0692" w14:textId="77777777" w:rsidR="001255DB" w:rsidRDefault="00000000">
            <w:pPr>
              <w:jc w:val="right"/>
            </w:pPr>
            <w:r>
              <w:rPr>
                <w:rFonts w:ascii="Arial" w:eastAsia="Arial" w:hAnsi="Arial" w:cs="Arial"/>
                <w:sz w:val="18"/>
                <w:szCs w:val="18"/>
                <w:rtl/>
              </w:rPr>
              <w:t>مراجعة أدبيات معمّقة + إتقان أدوات Lanczos/ARC/SSCN + إعادة تنفيذ Jiang et al. وZhao et al. كخط أساس</w:t>
            </w:r>
          </w:p>
        </w:tc>
        <w:tc>
          <w:tcPr>
            <w:tcW w:w="3400" w:type="dxa"/>
            <w:tcMar>
              <w:top w:w="80" w:type="dxa"/>
              <w:left w:w="100" w:type="dxa"/>
              <w:bottom w:w="80" w:type="dxa"/>
              <w:right w:w="100" w:type="dxa"/>
            </w:tcMar>
          </w:tcPr>
          <w:p w14:paraId="6FAAF264" w14:textId="77777777" w:rsidR="001255DB" w:rsidRDefault="00000000">
            <w:pPr>
              <w:jc w:val="right"/>
            </w:pPr>
            <w:r>
              <w:rPr>
                <w:rFonts w:ascii="Arial" w:eastAsia="Arial" w:hAnsi="Arial" w:cs="Arial"/>
                <w:sz w:val="18"/>
                <w:szCs w:val="18"/>
                <w:rtl/>
              </w:rPr>
              <w:t>تقرير مراجعة أدبيات + كود خطوط أساس مُتحقَّق منه</w:t>
            </w:r>
          </w:p>
        </w:tc>
      </w:tr>
      <w:tr w:rsidR="001255DB" w14:paraId="19904AA1" w14:textId="77777777">
        <w:tblPrEx>
          <w:tblCellMar>
            <w:top w:w="0" w:type="dxa"/>
            <w:bottom w:w="0" w:type="dxa"/>
          </w:tblCellMar>
        </w:tblPrEx>
        <w:tc>
          <w:tcPr>
            <w:tcW w:w="1800" w:type="dxa"/>
            <w:tcMar>
              <w:top w:w="80" w:type="dxa"/>
              <w:left w:w="100" w:type="dxa"/>
              <w:bottom w:w="80" w:type="dxa"/>
              <w:right w:w="100" w:type="dxa"/>
            </w:tcMar>
          </w:tcPr>
          <w:p w14:paraId="0AC10ABA" w14:textId="78530E21" w:rsidR="001255DB" w:rsidRDefault="00000000">
            <w:pPr>
              <w:jc w:val="right"/>
            </w:pPr>
            <w:r>
              <w:rPr>
                <w:rFonts w:ascii="Arial" w:eastAsia="Arial" w:hAnsi="Arial" w:cs="Arial"/>
                <w:sz w:val="18"/>
                <w:szCs w:val="18"/>
                <w:rtl/>
              </w:rPr>
              <w:t>1 – الفصل 2</w:t>
            </w:r>
          </w:p>
        </w:tc>
        <w:tc>
          <w:tcPr>
            <w:tcW w:w="4200" w:type="dxa"/>
            <w:tcMar>
              <w:top w:w="80" w:type="dxa"/>
              <w:left w:w="100" w:type="dxa"/>
              <w:bottom w:w="80" w:type="dxa"/>
              <w:right w:w="100" w:type="dxa"/>
            </w:tcMar>
          </w:tcPr>
          <w:p w14:paraId="2AC5399E" w14:textId="77777777" w:rsidR="001255DB" w:rsidRDefault="00000000">
            <w:pPr>
              <w:jc w:val="right"/>
            </w:pPr>
            <w:r>
              <w:rPr>
                <w:rFonts w:ascii="Arial" w:eastAsia="Arial" w:hAnsi="Arial" w:cs="Arial"/>
                <w:sz w:val="18"/>
                <w:szCs w:val="18"/>
                <w:rtl/>
              </w:rPr>
              <w:t>إثبات نظرية المرحلة العالمية والمحلية لـ DA-SFCN (الفصل 5) + المستويان التجريبيان 1–2</w:t>
            </w:r>
          </w:p>
        </w:tc>
        <w:tc>
          <w:tcPr>
            <w:tcW w:w="3400" w:type="dxa"/>
            <w:tcMar>
              <w:top w:w="80" w:type="dxa"/>
              <w:left w:w="100" w:type="dxa"/>
              <w:bottom w:w="80" w:type="dxa"/>
              <w:right w:w="100" w:type="dxa"/>
            </w:tcMar>
          </w:tcPr>
          <w:p w14:paraId="6B403724" w14:textId="77777777" w:rsidR="001255DB" w:rsidRDefault="00000000">
            <w:pPr>
              <w:jc w:val="right"/>
            </w:pPr>
            <w:r>
              <w:rPr>
                <w:rFonts w:ascii="Arial" w:eastAsia="Arial" w:hAnsi="Arial" w:cs="Arial"/>
                <w:sz w:val="18"/>
                <w:szCs w:val="18"/>
                <w:rtl/>
              </w:rPr>
              <w:t>مسودة برهان + نتائج أولية قابلة للنشر في ورشة عمل (workshop)</w:t>
            </w:r>
          </w:p>
        </w:tc>
      </w:tr>
      <w:tr w:rsidR="001255DB" w14:paraId="0DF56040" w14:textId="77777777">
        <w:tblPrEx>
          <w:tblCellMar>
            <w:top w:w="0" w:type="dxa"/>
            <w:bottom w:w="0" w:type="dxa"/>
          </w:tblCellMar>
        </w:tblPrEx>
        <w:tc>
          <w:tcPr>
            <w:tcW w:w="1800" w:type="dxa"/>
            <w:tcMar>
              <w:top w:w="80" w:type="dxa"/>
              <w:left w:w="100" w:type="dxa"/>
              <w:bottom w:w="80" w:type="dxa"/>
              <w:right w:w="100" w:type="dxa"/>
            </w:tcMar>
          </w:tcPr>
          <w:p w14:paraId="4F8BC15A" w14:textId="25520199" w:rsidR="001255DB" w:rsidRDefault="00000000">
            <w:pPr>
              <w:jc w:val="right"/>
            </w:pPr>
            <w:r>
              <w:rPr>
                <w:rFonts w:ascii="Arial" w:eastAsia="Arial" w:hAnsi="Arial" w:cs="Arial"/>
                <w:sz w:val="18"/>
                <w:szCs w:val="18"/>
                <w:rtl/>
              </w:rPr>
              <w:t>2 – الفصل 1</w:t>
            </w:r>
          </w:p>
        </w:tc>
        <w:tc>
          <w:tcPr>
            <w:tcW w:w="4200" w:type="dxa"/>
            <w:tcMar>
              <w:top w:w="80" w:type="dxa"/>
              <w:left w:w="100" w:type="dxa"/>
              <w:bottom w:w="80" w:type="dxa"/>
              <w:right w:w="100" w:type="dxa"/>
            </w:tcMar>
          </w:tcPr>
          <w:p w14:paraId="3F8582BF" w14:textId="77777777" w:rsidR="001255DB" w:rsidRDefault="00000000">
            <w:pPr>
              <w:jc w:val="right"/>
            </w:pPr>
            <w:r>
              <w:rPr>
                <w:rFonts w:ascii="Arial" w:eastAsia="Arial" w:hAnsi="Arial" w:cs="Arial"/>
                <w:sz w:val="18"/>
                <w:szCs w:val="18"/>
                <w:rtl/>
              </w:rPr>
              <w:t>إغلاق فجوة زمن الهروب من السرج (Perturbed GD) + المستوى التجريبي 3 (LIBSVM)</w:t>
            </w:r>
          </w:p>
        </w:tc>
        <w:tc>
          <w:tcPr>
            <w:tcW w:w="3400" w:type="dxa"/>
            <w:tcMar>
              <w:top w:w="80" w:type="dxa"/>
              <w:left w:w="100" w:type="dxa"/>
              <w:bottom w:w="80" w:type="dxa"/>
              <w:right w:w="100" w:type="dxa"/>
            </w:tcMar>
          </w:tcPr>
          <w:p w14:paraId="7FF5A62F" w14:textId="77777777" w:rsidR="001255DB" w:rsidRDefault="00000000">
            <w:pPr>
              <w:jc w:val="right"/>
            </w:pPr>
            <w:r>
              <w:rPr>
                <w:rFonts w:ascii="Arial" w:eastAsia="Arial" w:hAnsi="Arial" w:cs="Arial"/>
                <w:sz w:val="18"/>
                <w:szCs w:val="18"/>
                <w:rtl/>
              </w:rPr>
              <w:t>ورقة بحثية أولى (مؤتمر من الدرجة الأولى: AISTATS/ICML/NeurIPS)</w:t>
            </w:r>
          </w:p>
        </w:tc>
      </w:tr>
      <w:tr w:rsidR="001255DB" w14:paraId="195C000F" w14:textId="77777777">
        <w:tblPrEx>
          <w:tblCellMar>
            <w:top w:w="0" w:type="dxa"/>
            <w:bottom w:w="0" w:type="dxa"/>
          </w:tblCellMar>
        </w:tblPrEx>
        <w:tc>
          <w:tcPr>
            <w:tcW w:w="1800" w:type="dxa"/>
            <w:tcMar>
              <w:top w:w="80" w:type="dxa"/>
              <w:left w:w="100" w:type="dxa"/>
              <w:bottom w:w="80" w:type="dxa"/>
              <w:right w:w="100" w:type="dxa"/>
            </w:tcMar>
          </w:tcPr>
          <w:p w14:paraId="197A1E71" w14:textId="56141CED" w:rsidR="001255DB" w:rsidRDefault="00000000">
            <w:pPr>
              <w:jc w:val="right"/>
            </w:pPr>
            <w:r>
              <w:rPr>
                <w:rFonts w:ascii="Arial" w:eastAsia="Arial" w:hAnsi="Arial" w:cs="Arial"/>
                <w:sz w:val="18"/>
                <w:szCs w:val="18"/>
                <w:rtl/>
              </w:rPr>
              <w:t>2 – الفصل 2</w:t>
            </w:r>
          </w:p>
        </w:tc>
        <w:tc>
          <w:tcPr>
            <w:tcW w:w="4200" w:type="dxa"/>
            <w:tcMar>
              <w:top w:w="80" w:type="dxa"/>
              <w:left w:w="100" w:type="dxa"/>
              <w:bottom w:w="80" w:type="dxa"/>
              <w:right w:w="100" w:type="dxa"/>
            </w:tcMar>
          </w:tcPr>
          <w:p w14:paraId="7CEE8873" w14:textId="77777777" w:rsidR="001255DB" w:rsidRDefault="00000000">
            <w:pPr>
              <w:jc w:val="right"/>
            </w:pPr>
            <w:r>
              <w:rPr>
                <w:rFonts w:ascii="Arial" w:eastAsia="Arial" w:hAnsi="Arial" w:cs="Arial"/>
                <w:sz w:val="18"/>
                <w:szCs w:val="18"/>
                <w:rtl/>
              </w:rPr>
              <w:t>تطوير VR-DA-SFCN (الخوارزمية 2) + تحليل التباين + المستوى 4 (MNIST/CIFAR)</w:t>
            </w:r>
          </w:p>
        </w:tc>
        <w:tc>
          <w:tcPr>
            <w:tcW w:w="3400" w:type="dxa"/>
            <w:tcMar>
              <w:top w:w="80" w:type="dxa"/>
              <w:left w:w="100" w:type="dxa"/>
              <w:bottom w:w="80" w:type="dxa"/>
              <w:right w:w="100" w:type="dxa"/>
            </w:tcMar>
          </w:tcPr>
          <w:p w14:paraId="65F594D8" w14:textId="77777777" w:rsidR="001255DB" w:rsidRDefault="00000000">
            <w:pPr>
              <w:jc w:val="right"/>
            </w:pPr>
            <w:r>
              <w:rPr>
                <w:rFonts w:ascii="Arial" w:eastAsia="Arial" w:hAnsi="Arial" w:cs="Arial"/>
                <w:sz w:val="18"/>
                <w:szCs w:val="18"/>
                <w:rtl/>
              </w:rPr>
              <w:t>ورقة بحثية ثانية</w:t>
            </w:r>
          </w:p>
        </w:tc>
      </w:tr>
      <w:tr w:rsidR="001255DB" w14:paraId="3BBE0497" w14:textId="77777777">
        <w:tblPrEx>
          <w:tblCellMar>
            <w:top w:w="0" w:type="dxa"/>
            <w:bottom w:w="0" w:type="dxa"/>
          </w:tblCellMar>
        </w:tblPrEx>
        <w:tc>
          <w:tcPr>
            <w:tcW w:w="1800" w:type="dxa"/>
            <w:tcMar>
              <w:top w:w="80" w:type="dxa"/>
              <w:left w:w="100" w:type="dxa"/>
              <w:bottom w:w="80" w:type="dxa"/>
              <w:right w:w="100" w:type="dxa"/>
            </w:tcMar>
          </w:tcPr>
          <w:p w14:paraId="797AEDE7" w14:textId="5CA6A1D6" w:rsidR="001255DB" w:rsidRDefault="00000000">
            <w:pPr>
              <w:jc w:val="right"/>
            </w:pPr>
            <w:r>
              <w:rPr>
                <w:rFonts w:ascii="Arial" w:eastAsia="Arial" w:hAnsi="Arial" w:cs="Arial"/>
                <w:sz w:val="18"/>
                <w:szCs w:val="18"/>
                <w:rtl/>
              </w:rPr>
              <w:t>3 – الفصل 1</w:t>
            </w:r>
          </w:p>
        </w:tc>
        <w:tc>
          <w:tcPr>
            <w:tcW w:w="4200" w:type="dxa"/>
            <w:tcMar>
              <w:top w:w="80" w:type="dxa"/>
              <w:left w:w="100" w:type="dxa"/>
              <w:bottom w:w="80" w:type="dxa"/>
              <w:right w:w="100" w:type="dxa"/>
            </w:tcMar>
          </w:tcPr>
          <w:p w14:paraId="7C05A86E" w14:textId="77777777" w:rsidR="001255DB" w:rsidRDefault="00000000">
            <w:pPr>
              <w:jc w:val="right"/>
            </w:pPr>
            <w:r>
              <w:rPr>
                <w:rFonts w:ascii="Arial" w:eastAsia="Arial" w:hAnsi="Arial" w:cs="Arial"/>
                <w:sz w:val="18"/>
                <w:szCs w:val="18"/>
                <w:rtl/>
              </w:rPr>
              <w:t>تطوير LK-Newton وWQK-Newton (الخوارزميتان 3–4) — تجريبي بالدرجة الأولى</w:t>
            </w:r>
          </w:p>
        </w:tc>
        <w:tc>
          <w:tcPr>
            <w:tcW w:w="3400" w:type="dxa"/>
            <w:tcMar>
              <w:top w:w="80" w:type="dxa"/>
              <w:left w:w="100" w:type="dxa"/>
              <w:bottom w:w="80" w:type="dxa"/>
              <w:right w:w="100" w:type="dxa"/>
            </w:tcMar>
          </w:tcPr>
          <w:p w14:paraId="001B8B5C" w14:textId="77777777" w:rsidR="001255DB" w:rsidRDefault="00000000">
            <w:pPr>
              <w:jc w:val="right"/>
            </w:pPr>
            <w:r>
              <w:rPr>
                <w:rFonts w:ascii="Arial" w:eastAsia="Arial" w:hAnsi="Arial" w:cs="Arial"/>
                <w:sz w:val="18"/>
                <w:szCs w:val="18"/>
                <w:rtl/>
              </w:rPr>
              <w:t>ورقة بحثية ثالثة (تركيز عملي/تطبيقي)</w:t>
            </w:r>
          </w:p>
        </w:tc>
      </w:tr>
      <w:tr w:rsidR="001255DB" w14:paraId="0C398149" w14:textId="77777777">
        <w:tblPrEx>
          <w:tblCellMar>
            <w:top w:w="0" w:type="dxa"/>
            <w:bottom w:w="0" w:type="dxa"/>
          </w:tblCellMar>
        </w:tblPrEx>
        <w:tc>
          <w:tcPr>
            <w:tcW w:w="1800" w:type="dxa"/>
            <w:tcMar>
              <w:top w:w="80" w:type="dxa"/>
              <w:left w:w="100" w:type="dxa"/>
              <w:bottom w:w="80" w:type="dxa"/>
              <w:right w:w="100" w:type="dxa"/>
            </w:tcMar>
          </w:tcPr>
          <w:p w14:paraId="03C2E93B" w14:textId="7F9B849A" w:rsidR="001255DB" w:rsidRDefault="00000000">
            <w:pPr>
              <w:jc w:val="right"/>
            </w:pPr>
            <w:r>
              <w:rPr>
                <w:rFonts w:ascii="Arial" w:eastAsia="Arial" w:hAnsi="Arial" w:cs="Arial"/>
                <w:sz w:val="18"/>
                <w:szCs w:val="18"/>
                <w:rtl/>
              </w:rPr>
              <w:t>3 – الفصل 2</w:t>
            </w:r>
          </w:p>
        </w:tc>
        <w:tc>
          <w:tcPr>
            <w:tcW w:w="4200" w:type="dxa"/>
            <w:tcMar>
              <w:top w:w="80" w:type="dxa"/>
              <w:left w:w="100" w:type="dxa"/>
              <w:bottom w:w="80" w:type="dxa"/>
              <w:right w:w="100" w:type="dxa"/>
            </w:tcMar>
          </w:tcPr>
          <w:p w14:paraId="677A2C29" w14:textId="77777777" w:rsidR="001255DB" w:rsidRDefault="00000000">
            <w:pPr>
              <w:jc w:val="right"/>
            </w:pPr>
            <w:r>
              <w:rPr>
                <w:rFonts w:ascii="Arial" w:eastAsia="Arial" w:hAnsi="Arial" w:cs="Arial"/>
                <w:sz w:val="18"/>
                <w:szCs w:val="18"/>
                <w:rtl/>
              </w:rPr>
              <w:t>تطوير Fed-DA-SFCN (الخوارزمية 5) بالتعاون مع مجموعة بحثية في التعلّم الفيدرالي إن أمكن</w:t>
            </w:r>
          </w:p>
        </w:tc>
        <w:tc>
          <w:tcPr>
            <w:tcW w:w="3400" w:type="dxa"/>
            <w:tcMar>
              <w:top w:w="80" w:type="dxa"/>
              <w:left w:w="100" w:type="dxa"/>
              <w:bottom w:w="80" w:type="dxa"/>
              <w:right w:w="100" w:type="dxa"/>
            </w:tcMar>
          </w:tcPr>
          <w:p w14:paraId="54FD15C8" w14:textId="77777777" w:rsidR="001255DB" w:rsidRDefault="00000000">
            <w:pPr>
              <w:jc w:val="right"/>
            </w:pPr>
            <w:r>
              <w:rPr>
                <w:rFonts w:ascii="Arial" w:eastAsia="Arial" w:hAnsi="Arial" w:cs="Arial"/>
                <w:sz w:val="18"/>
                <w:szCs w:val="18"/>
                <w:rtl/>
              </w:rPr>
              <w:t>ورقة بحثية رابعة أو فصل في مجلة</w:t>
            </w:r>
          </w:p>
        </w:tc>
      </w:tr>
      <w:tr w:rsidR="001255DB" w14:paraId="13AE7E48" w14:textId="77777777">
        <w:tblPrEx>
          <w:tblCellMar>
            <w:top w:w="0" w:type="dxa"/>
            <w:bottom w:w="0" w:type="dxa"/>
          </w:tblCellMar>
        </w:tblPrEx>
        <w:tc>
          <w:tcPr>
            <w:tcW w:w="1800" w:type="dxa"/>
            <w:tcMar>
              <w:top w:w="80" w:type="dxa"/>
              <w:left w:w="100" w:type="dxa"/>
              <w:bottom w:w="80" w:type="dxa"/>
              <w:right w:w="100" w:type="dxa"/>
            </w:tcMar>
          </w:tcPr>
          <w:p w14:paraId="15218904" w14:textId="0C3AFD70" w:rsidR="001255DB" w:rsidRDefault="00000000">
            <w:pPr>
              <w:jc w:val="right"/>
            </w:pPr>
            <w:r>
              <w:rPr>
                <w:rFonts w:ascii="Arial" w:eastAsia="Arial" w:hAnsi="Arial" w:cs="Arial"/>
                <w:sz w:val="18"/>
                <w:szCs w:val="18"/>
                <w:rtl/>
              </w:rPr>
              <w:t>4 – الفصل 1</w:t>
            </w:r>
          </w:p>
        </w:tc>
        <w:tc>
          <w:tcPr>
            <w:tcW w:w="4200" w:type="dxa"/>
            <w:tcMar>
              <w:top w:w="80" w:type="dxa"/>
              <w:left w:w="100" w:type="dxa"/>
              <w:bottom w:w="80" w:type="dxa"/>
              <w:right w:w="100" w:type="dxa"/>
            </w:tcMar>
          </w:tcPr>
          <w:p w14:paraId="42921A79" w14:textId="77777777" w:rsidR="001255DB" w:rsidRDefault="00000000">
            <w:pPr>
              <w:jc w:val="right"/>
            </w:pPr>
            <w:r>
              <w:rPr>
                <w:rFonts w:ascii="Arial" w:eastAsia="Arial" w:hAnsi="Arial" w:cs="Arial"/>
                <w:sz w:val="18"/>
                <w:szCs w:val="18"/>
                <w:rtl/>
              </w:rPr>
              <w:t>استكشاف SC-Newton (الخوارزمية 6، أعلى مخاطرة) + المستوى الطموح 5 (LLM صغير) إن سمحت الموارد</w:t>
            </w:r>
          </w:p>
        </w:tc>
        <w:tc>
          <w:tcPr>
            <w:tcW w:w="3400" w:type="dxa"/>
            <w:tcMar>
              <w:top w:w="80" w:type="dxa"/>
              <w:left w:w="100" w:type="dxa"/>
              <w:bottom w:w="80" w:type="dxa"/>
              <w:right w:w="100" w:type="dxa"/>
            </w:tcMar>
          </w:tcPr>
          <w:p w14:paraId="7A0E5A63" w14:textId="77777777" w:rsidR="001255DB" w:rsidRDefault="00000000">
            <w:pPr>
              <w:jc w:val="right"/>
            </w:pPr>
            <w:r>
              <w:rPr>
                <w:rFonts w:ascii="Arial" w:eastAsia="Arial" w:hAnsi="Arial" w:cs="Arial"/>
                <w:sz w:val="18"/>
                <w:szCs w:val="18"/>
                <w:rtl/>
              </w:rPr>
              <w:t>نتائج استكشافية + فصل أطروحة</w:t>
            </w:r>
          </w:p>
        </w:tc>
      </w:tr>
      <w:tr w:rsidR="001255DB" w14:paraId="25D80A4D" w14:textId="77777777">
        <w:tblPrEx>
          <w:tblCellMar>
            <w:top w:w="0" w:type="dxa"/>
            <w:bottom w:w="0" w:type="dxa"/>
          </w:tblCellMar>
        </w:tblPrEx>
        <w:tc>
          <w:tcPr>
            <w:tcW w:w="1800" w:type="dxa"/>
            <w:tcMar>
              <w:top w:w="80" w:type="dxa"/>
              <w:left w:w="100" w:type="dxa"/>
              <w:bottom w:w="80" w:type="dxa"/>
              <w:right w:w="100" w:type="dxa"/>
            </w:tcMar>
          </w:tcPr>
          <w:p w14:paraId="282F3C71" w14:textId="4E195DF8" w:rsidR="001255DB" w:rsidRDefault="00000000">
            <w:pPr>
              <w:jc w:val="right"/>
            </w:pPr>
            <w:r>
              <w:rPr>
                <w:rFonts w:ascii="Arial" w:eastAsia="Arial" w:hAnsi="Arial" w:cs="Arial"/>
                <w:sz w:val="18"/>
                <w:szCs w:val="18"/>
                <w:rtl/>
              </w:rPr>
              <w:t>4 – الفصل 2</w:t>
            </w:r>
          </w:p>
        </w:tc>
        <w:tc>
          <w:tcPr>
            <w:tcW w:w="4200" w:type="dxa"/>
            <w:tcMar>
              <w:top w:w="80" w:type="dxa"/>
              <w:left w:w="100" w:type="dxa"/>
              <w:bottom w:w="80" w:type="dxa"/>
              <w:right w:w="100" w:type="dxa"/>
            </w:tcMar>
          </w:tcPr>
          <w:p w14:paraId="372E7BF1" w14:textId="77777777" w:rsidR="001255DB" w:rsidRDefault="00000000">
            <w:pPr>
              <w:jc w:val="right"/>
            </w:pPr>
            <w:r>
              <w:rPr>
                <w:rFonts w:ascii="Arial" w:eastAsia="Arial" w:hAnsi="Arial" w:cs="Arial"/>
                <w:sz w:val="18"/>
                <w:szCs w:val="18"/>
                <w:rtl/>
              </w:rPr>
              <w:t>كتابة الأطروحة الكاملة، توحيد النتائج النظرية والتجريبية، المناقشة والدفاع</w:t>
            </w:r>
          </w:p>
        </w:tc>
        <w:tc>
          <w:tcPr>
            <w:tcW w:w="3400" w:type="dxa"/>
            <w:tcMar>
              <w:top w:w="80" w:type="dxa"/>
              <w:left w:w="100" w:type="dxa"/>
              <w:bottom w:w="80" w:type="dxa"/>
              <w:right w:w="100" w:type="dxa"/>
            </w:tcMar>
          </w:tcPr>
          <w:p w14:paraId="0D558B92" w14:textId="77777777" w:rsidR="001255DB" w:rsidRDefault="00000000">
            <w:pPr>
              <w:jc w:val="right"/>
            </w:pPr>
            <w:r>
              <w:rPr>
                <w:rFonts w:ascii="Arial" w:eastAsia="Arial" w:hAnsi="Arial" w:cs="Arial"/>
                <w:sz w:val="18"/>
                <w:szCs w:val="18"/>
                <w:rtl/>
              </w:rPr>
              <w:t>الأطروحة النهائية + مقال مجلة شامل (SIOPT / Mathematical Programming)</w:t>
            </w:r>
          </w:p>
        </w:tc>
      </w:tr>
    </w:tbl>
    <w:p w14:paraId="6C0FF088" w14:textId="77777777" w:rsidR="001255DB" w:rsidRDefault="001255DB">
      <w:pPr>
        <w:spacing w:before="300"/>
      </w:pPr>
    </w:p>
    <w:p w14:paraId="3A8B72F7" w14:textId="77777777" w:rsidR="001255DB" w:rsidRDefault="00000000">
      <w:pPr>
        <w:pStyle w:val="1"/>
        <w:bidi/>
        <w:spacing w:before="400" w:after="200"/>
        <w:jc w:val="right"/>
      </w:pPr>
      <w:r>
        <w:rPr>
          <w:rFonts w:ascii="Arial" w:eastAsia="Arial" w:hAnsi="Arial" w:cs="Arial"/>
          <w:b/>
          <w:bCs/>
          <w:sz w:val="30"/>
          <w:szCs w:val="30"/>
          <w:rtl/>
        </w:rPr>
        <w:t>8. المساهمات المتوقعة وخطة النشر</w:t>
      </w:r>
    </w:p>
    <w:p w14:paraId="12C63464" w14:textId="77777777" w:rsidR="001255DB" w:rsidRDefault="00000000">
      <w:pPr>
        <w:pStyle w:val="a4"/>
        <w:numPr>
          <w:ilvl w:val="0"/>
          <w:numId w:val="1"/>
        </w:numPr>
        <w:bidi/>
        <w:spacing w:after="120" w:line="300" w:lineRule="auto"/>
        <w:jc w:val="right"/>
      </w:pPr>
      <w:r>
        <w:rPr>
          <w:rFonts w:ascii="Arial" w:eastAsia="Arial" w:hAnsi="Arial" w:cs="Arial"/>
          <w:sz w:val="22"/>
          <w:szCs w:val="22"/>
          <w:rtl/>
        </w:rPr>
        <w:lastRenderedPageBreak/>
        <w:t>مساهمة نظرية أساسية: أول إثبات معدل تقارب صريح (عالمي ومحلي) لطريقة تنظيم تكعيبي مقيَّدة بفضاء كريلوف موجَّه طيفيًا، مزوَّدة بتصحيح انحناء سالب، وبعد ديناميكي مشتق نظريًا لا مفترضًا.</w:t>
      </w:r>
    </w:p>
    <w:p w14:paraId="58D49ED1" w14:textId="77777777" w:rsidR="001255DB" w:rsidRDefault="00000000">
      <w:pPr>
        <w:pStyle w:val="a4"/>
        <w:numPr>
          <w:ilvl w:val="0"/>
          <w:numId w:val="1"/>
        </w:numPr>
        <w:bidi/>
        <w:spacing w:after="120" w:line="300" w:lineRule="auto"/>
        <w:jc w:val="right"/>
      </w:pPr>
      <w:r>
        <w:rPr>
          <w:rFonts w:ascii="Arial" w:eastAsia="Arial" w:hAnsi="Arial" w:cs="Arial"/>
          <w:sz w:val="22"/>
          <w:szCs w:val="22"/>
          <w:rtl/>
        </w:rPr>
        <w:t>مساهمة تحليلية: ربط صريح بين كمية ρ^(m)(H,g) الطيفية (Jiang et al., 2024) ونظرية Perturbed Gradient Descent للهروب من السرج، وهو ربط غير موجود حاليًا في الأدبيات.</w:t>
      </w:r>
    </w:p>
    <w:p w14:paraId="6FDDA47F" w14:textId="77777777" w:rsidR="001255DB" w:rsidRDefault="00000000">
      <w:pPr>
        <w:pStyle w:val="a4"/>
        <w:numPr>
          <w:ilvl w:val="0"/>
          <w:numId w:val="1"/>
        </w:numPr>
        <w:bidi/>
        <w:spacing w:after="120" w:line="300" w:lineRule="auto"/>
        <w:jc w:val="right"/>
      </w:pPr>
      <w:r>
        <w:rPr>
          <w:rFonts w:ascii="Arial" w:eastAsia="Arial" w:hAnsi="Arial" w:cs="Arial"/>
          <w:sz w:val="22"/>
          <w:szCs w:val="22"/>
          <w:rtl/>
        </w:rPr>
        <w:t>مساهمة خوارزمية عملية: خوارزميات (VR-DA-SFCN, LK-Newton, Fed-DA-SFCN) صالحة للاستخدام المباشر في سياقات تعلّم آلي حقيقية (عشوائي، كسول الحساب، موزَّع).</w:t>
      </w:r>
    </w:p>
    <w:p w14:paraId="24FC7D8C" w14:textId="77777777" w:rsidR="001255DB" w:rsidRDefault="00000000">
      <w:pPr>
        <w:pStyle w:val="a4"/>
        <w:numPr>
          <w:ilvl w:val="0"/>
          <w:numId w:val="1"/>
        </w:numPr>
        <w:bidi/>
        <w:spacing w:after="120" w:line="300" w:lineRule="auto"/>
        <w:jc w:val="right"/>
      </w:pPr>
      <w:r>
        <w:rPr>
          <w:rFonts w:ascii="Arial" w:eastAsia="Arial" w:hAnsi="Arial" w:cs="Arial"/>
          <w:sz w:val="22"/>
          <w:szCs w:val="22"/>
          <w:rtl/>
        </w:rPr>
        <w:t>مساهمة تجريبية: مقارنة منهجية موحّدة بين ست عائلات خوارزميات (Krylov CRN، SSCN، SFN، RSN، Sophia/Shampoo، وDA-SFCN) على نفس مجموعات البيانات، تسد فجوة في الأدبيات حيث تُقارَن هذه الطرق عادة بمعزل عن بعضها.</w:t>
      </w:r>
    </w:p>
    <w:p w14:paraId="05691C6F" w14:textId="77777777" w:rsidR="001255DB" w:rsidRDefault="00000000">
      <w:pPr>
        <w:pStyle w:val="a4"/>
        <w:numPr>
          <w:ilvl w:val="0"/>
          <w:numId w:val="1"/>
        </w:numPr>
        <w:bidi/>
        <w:spacing w:after="120" w:line="300" w:lineRule="auto"/>
        <w:jc w:val="right"/>
      </w:pPr>
      <w:r>
        <w:rPr>
          <w:rFonts w:ascii="Arial" w:eastAsia="Arial" w:hAnsi="Arial" w:cs="Arial"/>
          <w:sz w:val="22"/>
          <w:szCs w:val="22"/>
          <w:rtl/>
        </w:rPr>
        <w:t>خطة نشر مستهدفة: 3–4 أوراق مؤتمرات من الدرجة الأولى (AISTATS, ICML, NeurIPS) بالتوازي مع الأطروحة، ومقال مجلة شامل واحد على الأقل (SIAM Journal on Optimization أو Mathematical Programming) يجمع النتائج النظرية الكاملة.</w:t>
      </w:r>
    </w:p>
    <w:p w14:paraId="2C74871F" w14:textId="77777777" w:rsidR="001255DB" w:rsidRDefault="00000000">
      <w:pPr>
        <w:pStyle w:val="1"/>
        <w:bidi/>
        <w:spacing w:before="400" w:after="200"/>
        <w:jc w:val="right"/>
      </w:pPr>
      <w:r>
        <w:rPr>
          <w:rFonts w:ascii="Arial" w:eastAsia="Arial" w:hAnsi="Arial" w:cs="Arial"/>
          <w:b/>
          <w:bCs/>
          <w:sz w:val="30"/>
          <w:szCs w:val="30"/>
          <w:rtl/>
        </w:rPr>
        <w:t>9. تقييم المخاطر والمسارات البديلة</w:t>
      </w:r>
    </w:p>
    <w:p w14:paraId="0D707DF7" w14:textId="77777777" w:rsidR="001255DB" w:rsidRDefault="00000000">
      <w:pPr>
        <w:pStyle w:val="a4"/>
        <w:numPr>
          <w:ilvl w:val="0"/>
          <w:numId w:val="1"/>
        </w:numPr>
        <w:bidi/>
        <w:spacing w:after="120" w:line="300" w:lineRule="auto"/>
        <w:jc w:val="right"/>
      </w:pPr>
      <w:r>
        <w:rPr>
          <w:rFonts w:ascii="Arial" w:eastAsia="Arial" w:hAnsi="Arial" w:cs="Arial"/>
          <w:sz w:val="22"/>
          <w:szCs w:val="22"/>
          <w:rtl/>
        </w:rPr>
        <w:t>مخاطرة عالية: قد لا يُغلَق إثبات زمن الهروب الصريح من كل السروج (القسم 5.4) بالكامل — المسار البديل: الاكتفاء بضمان احتمالي (باحتمال عالٍ 1−δ) بدل حتمي، وهو معيار مقبول علميًا (كما فعل Zhao et al. 2025 وGe et al. 2015).</w:t>
      </w:r>
    </w:p>
    <w:p w14:paraId="2F9D2E12" w14:textId="77777777" w:rsidR="001255DB" w:rsidRDefault="00000000">
      <w:pPr>
        <w:pStyle w:val="a4"/>
        <w:numPr>
          <w:ilvl w:val="0"/>
          <w:numId w:val="1"/>
        </w:numPr>
        <w:bidi/>
        <w:spacing w:after="120" w:line="300" w:lineRule="auto"/>
        <w:jc w:val="right"/>
      </w:pPr>
      <w:r>
        <w:rPr>
          <w:rFonts w:ascii="Arial" w:eastAsia="Arial" w:hAnsi="Arial" w:cs="Arial"/>
          <w:sz w:val="22"/>
          <w:szCs w:val="22"/>
          <w:rtl/>
        </w:rPr>
        <w:t>مخاطرة متوسطة: قد تكون فائدة الجدولة الديناميكية للبعد m_k هامشية عمليًا على مسائل ذات طيف عشوائي تمامًا (بلا انحلال أو تكتل) — المسار البديل: التركيز على النتيجة النظرية (خفض الكلفة المضمونة رياضيًا) حتى لو كان التحسن التجريبي متواضعًا في أسوأ الحالات، مع توثيق هذا بصراحة كما فعلنا في التجربة الأولية (القسم 2 من هذه الوثيقة).</w:t>
      </w:r>
    </w:p>
    <w:p w14:paraId="3BFD2B00" w14:textId="77777777" w:rsidR="001255DB" w:rsidRDefault="00000000">
      <w:pPr>
        <w:pStyle w:val="a4"/>
        <w:numPr>
          <w:ilvl w:val="0"/>
          <w:numId w:val="1"/>
        </w:numPr>
        <w:bidi/>
        <w:spacing w:after="120" w:line="300" w:lineRule="auto"/>
        <w:jc w:val="right"/>
      </w:pPr>
      <w:r>
        <w:rPr>
          <w:rFonts w:ascii="Arial" w:eastAsia="Arial" w:hAnsi="Arial" w:cs="Arial"/>
          <w:sz w:val="22"/>
          <w:szCs w:val="22"/>
          <w:rtl/>
        </w:rPr>
        <w:t>مخاطرة منخفضة إلى متوسطة: تجربة المستوى 5 (LLM) قد تتجاوز الموارد الحاسوبية المتاحة — المسار البديل: الاكتفاء بنموذج لغوي صغير جدًا (عشرات الملايين من المعاملات) كدليل مفهوم (proof of concept) بدل نموذج إنتاجي كامل.</w:t>
      </w:r>
    </w:p>
    <w:p w14:paraId="7A677D42" w14:textId="77777777" w:rsidR="001255DB" w:rsidRDefault="00000000">
      <w:pPr>
        <w:pStyle w:val="a4"/>
        <w:numPr>
          <w:ilvl w:val="0"/>
          <w:numId w:val="1"/>
        </w:numPr>
        <w:bidi/>
        <w:spacing w:after="120" w:line="300" w:lineRule="auto"/>
        <w:jc w:val="right"/>
      </w:pPr>
      <w:r>
        <w:rPr>
          <w:rFonts w:ascii="Arial" w:eastAsia="Arial" w:hAnsi="Arial" w:cs="Arial"/>
          <w:sz w:val="22"/>
          <w:szCs w:val="22"/>
          <w:rtl/>
        </w:rPr>
        <w:t>مخاطرة منخفضة: تعقيد التنسيق مع مجموعة بحثية خارجية لخوارزمية Fed-DA-SFCN — المسار البديل: تنفيذ محاكاة فيدرالية داخلية كاملة دون الحاجة لتعاون خارجي، مع الإشارة لفرص التعاون كامتداد مستقبلي بعد الأطروحة.</w:t>
      </w:r>
    </w:p>
    <w:p w14:paraId="6F3D3A25" w14:textId="77777777" w:rsidR="001255DB" w:rsidRDefault="00000000">
      <w:r>
        <w:br w:type="page"/>
      </w:r>
    </w:p>
    <w:p w14:paraId="1AEC904F" w14:textId="77777777" w:rsidR="001255DB" w:rsidRDefault="00000000">
      <w:pPr>
        <w:pStyle w:val="1"/>
        <w:bidi/>
        <w:spacing w:before="400" w:after="200"/>
        <w:jc w:val="right"/>
      </w:pPr>
      <w:r>
        <w:rPr>
          <w:rFonts w:ascii="Arial" w:eastAsia="Arial" w:hAnsi="Arial" w:cs="Arial"/>
          <w:b/>
          <w:bCs/>
          <w:sz w:val="30"/>
          <w:szCs w:val="30"/>
          <w:rtl/>
        </w:rPr>
        <w:lastRenderedPageBreak/>
        <w:t>10. قائمة المراجع (References)</w:t>
      </w:r>
    </w:p>
    <w:p w14:paraId="0068EBB6" w14:textId="77777777" w:rsidR="001255DB" w:rsidRDefault="00000000">
      <w:pPr>
        <w:bidi w:val="0"/>
        <w:spacing w:after="140" w:line="280" w:lineRule="auto"/>
        <w:ind w:left="360" w:hanging="360"/>
      </w:pPr>
      <w:r>
        <w:rPr>
          <w:rFonts w:ascii="Arial" w:eastAsia="Arial" w:hAnsi="Arial" w:cs="Arial"/>
        </w:rPr>
        <w:t>Bellavia, S., Gurioli, G., &amp; Morini, B. (2021). Adaptive cubic regularization methods with dynamic inexact Hessian information and applications to finite-sum minimization. IMA Journal of Numerical Analysis, 41(1), 764–799.</w:t>
      </w:r>
    </w:p>
    <w:p w14:paraId="542763C2" w14:textId="77777777" w:rsidR="001255DB" w:rsidRDefault="00000000">
      <w:pPr>
        <w:bidi w:val="0"/>
        <w:spacing w:after="140" w:line="280" w:lineRule="auto"/>
        <w:ind w:left="360" w:hanging="360"/>
      </w:pPr>
      <w:r>
        <w:rPr>
          <w:rFonts w:ascii="Arial" w:eastAsia="Arial" w:hAnsi="Arial" w:cs="Arial"/>
        </w:rPr>
        <w:t>Bellavia, S., Gurioli, G., Morini, B., &amp; Toint, Ph. L. (2019). Adaptive regularization algorithms with inexact evaluations for nonconvex optimization. SIAM Journal on Optimization, 29(4), 2881–2915.</w:t>
      </w:r>
    </w:p>
    <w:p w14:paraId="062ADDA0" w14:textId="77777777" w:rsidR="001255DB" w:rsidRDefault="00000000">
      <w:pPr>
        <w:bidi w:val="0"/>
        <w:spacing w:after="140" w:line="280" w:lineRule="auto"/>
        <w:ind w:left="360" w:hanging="360"/>
      </w:pPr>
      <w:r>
        <w:rPr>
          <w:rFonts w:ascii="Arial" w:eastAsia="Arial" w:hAnsi="Arial" w:cs="Arial"/>
        </w:rPr>
        <w:t>Carmon, Y., &amp; Duchi, J. C. (2018). Analysis of Krylov subspace solutions of regularized non-convex quadratic problems. Advances in Neural Information Processing Systems, 31.</w:t>
      </w:r>
    </w:p>
    <w:p w14:paraId="35850450" w14:textId="77777777" w:rsidR="001255DB" w:rsidRDefault="00000000">
      <w:pPr>
        <w:bidi w:val="0"/>
        <w:spacing w:after="140" w:line="280" w:lineRule="auto"/>
        <w:ind w:left="360" w:hanging="360"/>
      </w:pPr>
      <w:r>
        <w:rPr>
          <w:rFonts w:ascii="Arial" w:eastAsia="Arial" w:hAnsi="Arial" w:cs="Arial"/>
        </w:rPr>
        <w:t>Carmon, Y., &amp; Duchi, J. C. (2019). Gradient descent finds the cubic-regularized nonconvex Newton step. SIAM Journal on Optimization, 29(3), 2146–2178.</w:t>
      </w:r>
    </w:p>
    <w:p w14:paraId="4B034BF3" w14:textId="77777777" w:rsidR="001255DB" w:rsidRDefault="00000000">
      <w:pPr>
        <w:bidi w:val="0"/>
        <w:spacing w:after="140" w:line="280" w:lineRule="auto"/>
        <w:ind w:left="360" w:hanging="360"/>
      </w:pPr>
      <w:r>
        <w:rPr>
          <w:rFonts w:ascii="Arial" w:eastAsia="Arial" w:hAnsi="Arial" w:cs="Arial"/>
        </w:rPr>
        <w:t>Cartis, C., Fowkes, J., &amp; Shao, Z. (2022). Randomised subspace methods for non-convex optimization, with applications to nonlinear least-squares. arXiv:2211.09873.</w:t>
      </w:r>
    </w:p>
    <w:p w14:paraId="58858FC7" w14:textId="77777777" w:rsidR="001255DB" w:rsidRDefault="00000000">
      <w:pPr>
        <w:bidi w:val="0"/>
        <w:spacing w:after="140" w:line="280" w:lineRule="auto"/>
        <w:ind w:left="360" w:hanging="360"/>
      </w:pPr>
      <w:r w:rsidRPr="009712A8">
        <w:rPr>
          <w:rFonts w:ascii="Arial" w:eastAsia="Arial" w:hAnsi="Arial" w:cs="Arial"/>
          <w:lang w:val="fr-FR"/>
        </w:rPr>
        <w:t xml:space="preserve">Cartis, C., Gould, N. I. M., &amp; Toint, Ph. L. (2011). </w:t>
      </w:r>
      <w:r>
        <w:rPr>
          <w:rFonts w:ascii="Arial" w:eastAsia="Arial" w:hAnsi="Arial" w:cs="Arial"/>
        </w:rPr>
        <w:t>Adaptive cubic regularisation methods for unconstrained optimization. Part I: motivation, convergence and numerical results. Mathematical Programming, 127(2), 245–295.</w:t>
      </w:r>
    </w:p>
    <w:p w14:paraId="16E9B1B8" w14:textId="77777777" w:rsidR="001255DB" w:rsidRDefault="00000000">
      <w:pPr>
        <w:bidi w:val="0"/>
        <w:spacing w:after="140" w:line="280" w:lineRule="auto"/>
        <w:ind w:left="360" w:hanging="360"/>
      </w:pPr>
      <w:r>
        <w:rPr>
          <w:rFonts w:ascii="Arial" w:eastAsia="Arial" w:hAnsi="Arial" w:cs="Arial"/>
        </w:rPr>
        <w:t>Cartis, C., Gould, N. I. M., &amp; Toint, Ph. L. (2011). Adaptive cubic regularisation methods for unconstrained optimization. Part II: worst-case function- and derivative-evaluation complexity. Mathematical Programming, 130(2), 295–319.</w:t>
      </w:r>
    </w:p>
    <w:p w14:paraId="1E538CF4" w14:textId="77777777" w:rsidR="001255DB" w:rsidRDefault="00000000">
      <w:pPr>
        <w:bidi w:val="0"/>
        <w:spacing w:after="140" w:line="280" w:lineRule="auto"/>
        <w:ind w:left="360" w:hanging="360"/>
      </w:pPr>
      <w:r>
        <w:rPr>
          <w:rFonts w:ascii="Arial" w:eastAsia="Arial" w:hAnsi="Arial" w:cs="Arial"/>
        </w:rPr>
        <w:t>Cooper-Simpson, &amp; Becker, S. (2022). Regularized Saddle-Free Newton: Saddle Avoidance and Efficient Implementation. MA Thesis, University of Colorado Boulder.</w:t>
      </w:r>
    </w:p>
    <w:p w14:paraId="06532D75" w14:textId="77777777" w:rsidR="001255DB" w:rsidRDefault="00000000">
      <w:pPr>
        <w:bidi w:val="0"/>
        <w:spacing w:after="140" w:line="280" w:lineRule="auto"/>
        <w:ind w:left="360" w:hanging="360"/>
      </w:pPr>
      <w:r>
        <w:rPr>
          <w:rFonts w:ascii="Arial" w:eastAsia="Arial" w:hAnsi="Arial" w:cs="Arial"/>
        </w:rPr>
        <w:t>Crane, R., &amp; Roosta, F. (2019). DINGO: Distributed Newton-type method for gradient-norm optimization. Advances in Neural Information Processing Systems, 32.</w:t>
      </w:r>
    </w:p>
    <w:p w14:paraId="4003998D" w14:textId="77777777" w:rsidR="001255DB" w:rsidRDefault="00000000">
      <w:pPr>
        <w:bidi w:val="0"/>
        <w:spacing w:after="140" w:line="280" w:lineRule="auto"/>
        <w:ind w:left="360" w:hanging="360"/>
      </w:pPr>
      <w:r>
        <w:rPr>
          <w:rFonts w:ascii="Arial" w:eastAsia="Arial" w:hAnsi="Arial" w:cs="Arial"/>
        </w:rPr>
        <w:t>Crane, R., &amp; Roosta, F. (2020). DINO: Distributed Newton-type optimization method. International Conference on Machine Learning, 2174–2184.</w:t>
      </w:r>
    </w:p>
    <w:p w14:paraId="65268AF7" w14:textId="77777777" w:rsidR="001255DB" w:rsidRDefault="00000000">
      <w:pPr>
        <w:bidi w:val="0"/>
        <w:spacing w:after="140" w:line="280" w:lineRule="auto"/>
        <w:ind w:left="360" w:hanging="360"/>
      </w:pPr>
      <w:r>
        <w:rPr>
          <w:rFonts w:ascii="Arial" w:eastAsia="Arial" w:hAnsi="Arial" w:cs="Arial"/>
        </w:rPr>
        <w:t>Dal Fabbro, N., Dey, S., Rossi, M., &amp; Schenato, L. (2024). SHED: A Newton-type algorithm for federated learning based on incremental Hessian eigenvector sharing. Automatica, 160, 111460.</w:t>
      </w:r>
    </w:p>
    <w:p w14:paraId="12AE1048" w14:textId="77777777" w:rsidR="001255DB" w:rsidRDefault="00000000">
      <w:pPr>
        <w:bidi w:val="0"/>
        <w:spacing w:after="140" w:line="280" w:lineRule="auto"/>
        <w:ind w:left="360" w:hanging="360"/>
      </w:pPr>
      <w:r>
        <w:rPr>
          <w:rFonts w:ascii="Arial" w:eastAsia="Arial" w:hAnsi="Arial" w:cs="Arial"/>
        </w:rPr>
        <w:t>Dauphin, Y. N., Pascanu, R., Gulcehre, C., Cho, K., Ganguli, S., &amp; Bengio, Y. (2014). Identifying and attacking the saddle point problem in high-dimensional non-convex optimization. Advances in Neural Information Processing Systems, 27.</w:t>
      </w:r>
    </w:p>
    <w:p w14:paraId="3AB358DF" w14:textId="77777777" w:rsidR="001255DB" w:rsidRDefault="00000000">
      <w:pPr>
        <w:bidi w:val="0"/>
        <w:spacing w:after="140" w:line="280" w:lineRule="auto"/>
        <w:ind w:left="360" w:hanging="360"/>
      </w:pPr>
      <w:r>
        <w:rPr>
          <w:rFonts w:ascii="Arial" w:eastAsia="Arial" w:hAnsi="Arial" w:cs="Arial"/>
        </w:rPr>
        <w:t>Dembo, R. S., Eisenstat, S. C., &amp; Steihaug, T. (1982). Inexact Newton methods. SIAM Journal on Numerical Analysis, 19(2), 400–408.</w:t>
      </w:r>
    </w:p>
    <w:p w14:paraId="0D653E21" w14:textId="77777777" w:rsidR="001255DB" w:rsidRDefault="00000000">
      <w:pPr>
        <w:bidi w:val="0"/>
        <w:spacing w:after="140" w:line="280" w:lineRule="auto"/>
        <w:ind w:left="360" w:hanging="360"/>
      </w:pPr>
      <w:r>
        <w:rPr>
          <w:rFonts w:ascii="Arial" w:eastAsia="Arial" w:hAnsi="Arial" w:cs="Arial"/>
        </w:rPr>
        <w:t>Dereziński, M., &amp; Rebrova, E. (2024). Sharp analysis of sketch-and-project methods via a connection to randomized singular value decomposition. SIAM Journal on Mathematics of Data Science, 6(1), 127–153.</w:t>
      </w:r>
    </w:p>
    <w:p w14:paraId="000D26AC" w14:textId="77777777" w:rsidR="001255DB" w:rsidRDefault="00000000">
      <w:pPr>
        <w:bidi w:val="0"/>
        <w:spacing w:after="140" w:line="280" w:lineRule="auto"/>
        <w:ind w:left="360" w:hanging="360"/>
      </w:pPr>
      <w:r>
        <w:rPr>
          <w:rFonts w:ascii="Arial" w:eastAsia="Arial" w:hAnsi="Arial" w:cs="Arial"/>
        </w:rPr>
        <w:t>Doikov, N., &amp; Nesterov, Y. (2020). Inexact tensor methods with dynamic accuracies. International Conference on Machine Learning, 2577–2586.</w:t>
      </w:r>
    </w:p>
    <w:p w14:paraId="13914E2F" w14:textId="77777777" w:rsidR="001255DB" w:rsidRDefault="00000000">
      <w:pPr>
        <w:bidi w:val="0"/>
        <w:spacing w:after="140" w:line="280" w:lineRule="auto"/>
        <w:ind w:left="360" w:hanging="360"/>
      </w:pPr>
      <w:r>
        <w:rPr>
          <w:rFonts w:ascii="Arial" w:eastAsia="Arial" w:hAnsi="Arial" w:cs="Arial"/>
        </w:rPr>
        <w:t>Doikov, N., Chayti, E. M., &amp; Jaggi, M. (2023). Second-order optimization with lazy Hessians. International Conference on Machine Learning (PMLR).</w:t>
      </w:r>
    </w:p>
    <w:p w14:paraId="48710F4E" w14:textId="77777777" w:rsidR="001255DB" w:rsidRDefault="00000000">
      <w:pPr>
        <w:bidi w:val="0"/>
        <w:spacing w:after="140" w:line="280" w:lineRule="auto"/>
        <w:ind w:left="360" w:hanging="360"/>
      </w:pPr>
      <w:r>
        <w:rPr>
          <w:rFonts w:ascii="Arial" w:eastAsia="Arial" w:hAnsi="Arial" w:cs="Arial"/>
        </w:rPr>
        <w:lastRenderedPageBreak/>
        <w:t>Eisenstat, S. C., &amp; Walker, H. F. (1996). Choosing the forcing terms in an inexact Newton method. SIAM Journal on Scientific Computing, 17(1), 16–32.</w:t>
      </w:r>
    </w:p>
    <w:p w14:paraId="34650D9B" w14:textId="77777777" w:rsidR="001255DB" w:rsidRDefault="00000000">
      <w:pPr>
        <w:bidi w:val="0"/>
        <w:spacing w:after="140" w:line="280" w:lineRule="auto"/>
        <w:ind w:left="360" w:hanging="360"/>
      </w:pPr>
      <w:r>
        <w:rPr>
          <w:rFonts w:ascii="Arial" w:eastAsia="Arial" w:hAnsi="Arial" w:cs="Arial"/>
        </w:rPr>
        <w:t>Fuji, T., Poirion, P.-L., &amp; Takeda, A. (2022). Randomized subspace regularized Newton method for unconstrained non-convex optimization. arXiv:2209.04170.</w:t>
      </w:r>
    </w:p>
    <w:p w14:paraId="23C7B4A6" w14:textId="77777777" w:rsidR="001255DB" w:rsidRDefault="00000000">
      <w:pPr>
        <w:bidi w:val="0"/>
        <w:spacing w:after="140" w:line="280" w:lineRule="auto"/>
        <w:ind w:left="360" w:hanging="360"/>
      </w:pPr>
      <w:r w:rsidRPr="009712A8">
        <w:rPr>
          <w:rFonts w:ascii="Arial" w:eastAsia="Arial" w:hAnsi="Arial" w:cs="Arial"/>
          <w:lang w:val="fr-FR"/>
        </w:rPr>
        <w:t xml:space="preserve">Ge, R., Lee, J. D., &amp; Ma, T. (2016). </w:t>
      </w:r>
      <w:r>
        <w:rPr>
          <w:rFonts w:ascii="Arial" w:eastAsia="Arial" w:hAnsi="Arial" w:cs="Arial"/>
        </w:rPr>
        <w:t>Matrix completion has no spurious local minimum. Advances in Neural Information Processing Systems, 29.</w:t>
      </w:r>
    </w:p>
    <w:p w14:paraId="3F6A06C4" w14:textId="77777777" w:rsidR="001255DB" w:rsidRDefault="00000000">
      <w:pPr>
        <w:bidi w:val="0"/>
        <w:spacing w:after="140" w:line="280" w:lineRule="auto"/>
        <w:ind w:left="360" w:hanging="360"/>
      </w:pPr>
      <w:r>
        <w:rPr>
          <w:rFonts w:ascii="Arial" w:eastAsia="Arial" w:hAnsi="Arial" w:cs="Arial"/>
        </w:rPr>
        <w:t>Ghosh, D. (2025). Cubic Regularization Technique of the Newton Method for Vector Optimization. Journal of Optimization Theory and Applications, 207, 39.</w:t>
      </w:r>
    </w:p>
    <w:p w14:paraId="61926B76" w14:textId="77777777" w:rsidR="001255DB" w:rsidRDefault="00000000">
      <w:pPr>
        <w:bidi w:val="0"/>
        <w:spacing w:after="140" w:line="280" w:lineRule="auto"/>
        <w:ind w:left="360" w:hanging="360"/>
      </w:pPr>
      <w:r>
        <w:rPr>
          <w:rFonts w:ascii="Arial" w:eastAsia="Arial" w:hAnsi="Arial" w:cs="Arial"/>
        </w:rPr>
        <w:t>Gower, R., Kovalev, D., Lieder, F., &amp; Richtárik, P. (2019). RSN: Randomized Subspace Newton. Advances in Neural Information Processing Systems, 32.</w:t>
      </w:r>
    </w:p>
    <w:p w14:paraId="49317B0A" w14:textId="77777777" w:rsidR="001255DB" w:rsidRDefault="00000000">
      <w:pPr>
        <w:bidi w:val="0"/>
        <w:spacing w:after="140" w:line="280" w:lineRule="auto"/>
        <w:ind w:left="360" w:hanging="360"/>
      </w:pPr>
      <w:r>
        <w:rPr>
          <w:rFonts w:ascii="Arial" w:eastAsia="Arial" w:hAnsi="Arial" w:cs="Arial"/>
        </w:rPr>
        <w:t>Gupta, V., Koren, T., &amp; Singer, Y. (2018). Shampoo: Preconditioned stochastic tensor optimization. International Conference on Machine Learning, 1842–1850.</w:t>
      </w:r>
    </w:p>
    <w:p w14:paraId="0A49FB10" w14:textId="77777777" w:rsidR="001255DB" w:rsidRDefault="00000000">
      <w:pPr>
        <w:bidi w:val="0"/>
        <w:spacing w:after="140" w:line="280" w:lineRule="auto"/>
        <w:ind w:left="360" w:hanging="360"/>
      </w:pPr>
      <w:r>
        <w:rPr>
          <w:rFonts w:ascii="Arial" w:eastAsia="Arial" w:hAnsi="Arial" w:cs="Arial"/>
        </w:rPr>
        <w:t>Hamidi, S. M., &amp; Ye, L. Distributed Quasi-Newton Method for Fair and Fast Federated Learning (DQN-Fed). ICLR 2025 Conference Submission (2024).</w:t>
      </w:r>
    </w:p>
    <w:p w14:paraId="533152C7" w14:textId="77777777" w:rsidR="001255DB" w:rsidRDefault="00000000">
      <w:pPr>
        <w:bidi w:val="0"/>
        <w:spacing w:after="140" w:line="280" w:lineRule="auto"/>
        <w:ind w:left="360" w:hanging="360"/>
      </w:pPr>
      <w:r>
        <w:rPr>
          <w:rFonts w:ascii="Arial" w:eastAsia="Arial" w:hAnsi="Arial" w:cs="Arial"/>
        </w:rPr>
        <w:t>Hanzely, F., Doikov, N., Nesterov, Y., &amp; Richtárik, P. (2020). Stochastic subspace cubic Newton method. International Conference on Machine Learning, 4027–4038.</w:t>
      </w:r>
    </w:p>
    <w:p w14:paraId="26417E73" w14:textId="77777777" w:rsidR="001255DB" w:rsidRDefault="00000000">
      <w:pPr>
        <w:bidi w:val="0"/>
        <w:spacing w:after="140" w:line="280" w:lineRule="auto"/>
        <w:ind w:left="360" w:hanging="360"/>
      </w:pPr>
      <w:r>
        <w:rPr>
          <w:rFonts w:ascii="Arial" w:eastAsia="Arial" w:hAnsi="Arial" w:cs="Arial"/>
        </w:rPr>
        <w:t>Hanzely, S. (2023). Sketch-and-project meets Newton method: Global O(k^-2) convergence with low-rank updates. arXiv:2305.13082.</w:t>
      </w:r>
    </w:p>
    <w:p w14:paraId="399CD9AB" w14:textId="77777777" w:rsidR="001255DB" w:rsidRDefault="00000000">
      <w:pPr>
        <w:bidi w:val="0"/>
        <w:spacing w:after="140" w:line="280" w:lineRule="auto"/>
        <w:ind w:left="360" w:hanging="360"/>
      </w:pPr>
      <w:r>
        <w:rPr>
          <w:rFonts w:ascii="Arial" w:eastAsia="Arial" w:hAnsi="Arial" w:cs="Arial"/>
        </w:rPr>
        <w:t>Jiang, R., Raman, P., Sabach, S., Mokhtari, A., Hong, M., &amp; Cevher, V. (2024). Krylov Cubic Regularized Newton: A Subspace Second-Order Method with Dimension-Free Convergence Rate. Proceedings of the 27th International Conference on Artificial Intelligence and Statistics (AISTATS), PMLR 238, 4411–4419.</w:t>
      </w:r>
    </w:p>
    <w:p w14:paraId="5157516F" w14:textId="77777777" w:rsidR="001255DB" w:rsidRDefault="00000000">
      <w:pPr>
        <w:bidi w:val="0"/>
        <w:spacing w:after="140" w:line="280" w:lineRule="auto"/>
        <w:ind w:left="360" w:hanging="360"/>
      </w:pPr>
      <w:r w:rsidRPr="009712A8">
        <w:rPr>
          <w:rFonts w:ascii="Arial" w:eastAsia="Arial" w:hAnsi="Arial" w:cs="Arial"/>
          <w:lang w:val="fr-FR"/>
        </w:rPr>
        <w:t xml:space="preserve">Jin, C., Ge, R., Netrapalli, P., Kakade, S. M., &amp; Jordan, M. I. (2017). </w:t>
      </w:r>
      <w:r>
        <w:rPr>
          <w:rFonts w:ascii="Arial" w:eastAsia="Arial" w:hAnsi="Arial" w:cs="Arial"/>
        </w:rPr>
        <w:t>How to escape saddle points efficiently. International Conference on Machine Learning (PMLR).</w:t>
      </w:r>
    </w:p>
    <w:p w14:paraId="1DDBE0C6" w14:textId="77777777" w:rsidR="001255DB" w:rsidRDefault="00000000">
      <w:pPr>
        <w:bidi w:val="0"/>
        <w:spacing w:after="140" w:line="280" w:lineRule="auto"/>
        <w:ind w:left="360" w:hanging="360"/>
      </w:pPr>
      <w:r>
        <w:rPr>
          <w:rFonts w:ascii="Arial" w:eastAsia="Arial" w:hAnsi="Arial" w:cs="Arial"/>
        </w:rPr>
        <w:t>Jordan, K., Jin, Y., Boza, V., You, J., Cesista, F., Newhouse, L., &amp; Bernstein, J. (2024). Muon: An optimizer for hidden layers in neural networks.</w:t>
      </w:r>
    </w:p>
    <w:p w14:paraId="174AD06B" w14:textId="77777777" w:rsidR="001255DB" w:rsidRDefault="00000000">
      <w:pPr>
        <w:bidi w:val="0"/>
        <w:spacing w:after="140" w:line="280" w:lineRule="auto"/>
        <w:ind w:left="360" w:hanging="360"/>
      </w:pPr>
      <w:r>
        <w:rPr>
          <w:rFonts w:ascii="Arial" w:eastAsia="Arial" w:hAnsi="Arial" w:cs="Arial"/>
        </w:rPr>
        <w:t>Kamzolov, D., Ziu, K., Agafonov, A., &amp; Takáč, M. (2023). Cubic regularized quasi-Newton methods. arXiv:2302.04987.</w:t>
      </w:r>
    </w:p>
    <w:p w14:paraId="2C2A4D19" w14:textId="77777777" w:rsidR="001255DB" w:rsidRDefault="00000000">
      <w:pPr>
        <w:bidi w:val="0"/>
        <w:spacing w:after="140" w:line="280" w:lineRule="auto"/>
        <w:ind w:left="360" w:hanging="360"/>
      </w:pPr>
      <w:r>
        <w:rPr>
          <w:rFonts w:ascii="Arial" w:eastAsia="Arial" w:hAnsi="Arial" w:cs="Arial"/>
        </w:rPr>
        <w:t>Lacotte, J., Wang, Y., &amp; Pilanci, M. (2021). Adaptive Newton sketch: Linear-time optimization with quadratic convergence and effective Hessian dimensionality. International Conference on Machine Learning, 5926–5936.</w:t>
      </w:r>
    </w:p>
    <w:p w14:paraId="6DDC82B5" w14:textId="77777777" w:rsidR="001255DB" w:rsidRDefault="00000000">
      <w:pPr>
        <w:bidi w:val="0"/>
        <w:spacing w:after="140" w:line="280" w:lineRule="auto"/>
        <w:ind w:left="360" w:hanging="360"/>
      </w:pPr>
      <w:r>
        <w:rPr>
          <w:rFonts w:ascii="Arial" w:eastAsia="Arial" w:hAnsi="Arial" w:cs="Arial"/>
        </w:rPr>
        <w:t>Liu, H., Li, Z., Hall, D., Liang, P., &amp; Ma, T. (2023/2024). Sophia: A scalable stochastic second-order optimizer for language model pre-training. ICLR 2024.</w:t>
      </w:r>
    </w:p>
    <w:p w14:paraId="3F8F56A9" w14:textId="77777777" w:rsidR="001255DB" w:rsidRDefault="00000000">
      <w:pPr>
        <w:bidi w:val="0"/>
        <w:spacing w:after="140" w:line="280" w:lineRule="auto"/>
        <w:ind w:left="360" w:hanging="360"/>
      </w:pPr>
      <w:r>
        <w:rPr>
          <w:rFonts w:ascii="Arial" w:eastAsia="Arial" w:hAnsi="Arial" w:cs="Arial"/>
        </w:rPr>
        <w:t>Liu, R., Pan, S., &amp; Qian, Y. An inexact q-order regularized proximal Newton method for nonconvex composite optimization. arXiv:2311.06871.</w:t>
      </w:r>
    </w:p>
    <w:p w14:paraId="78FC6370" w14:textId="77777777" w:rsidR="001255DB" w:rsidRDefault="00000000">
      <w:pPr>
        <w:bidi w:val="0"/>
        <w:spacing w:after="140" w:line="280" w:lineRule="auto"/>
        <w:ind w:left="360" w:hanging="360"/>
      </w:pPr>
      <w:r>
        <w:rPr>
          <w:rFonts w:ascii="Arial" w:eastAsia="Arial" w:hAnsi="Arial" w:cs="Arial"/>
        </w:rPr>
        <w:t>Liu, Y., &amp; Roosta, F. (2021). Convergence of Newton-MR under inexact Hessian information. SIAM Journal on Optimization, 31(1), 59–90.</w:t>
      </w:r>
    </w:p>
    <w:p w14:paraId="057FBBEC" w14:textId="77777777" w:rsidR="001255DB" w:rsidRDefault="00000000">
      <w:pPr>
        <w:bidi w:val="0"/>
        <w:spacing w:after="140" w:line="280" w:lineRule="auto"/>
        <w:ind w:left="360" w:hanging="360"/>
      </w:pPr>
      <w:r>
        <w:rPr>
          <w:rFonts w:ascii="Arial" w:eastAsia="Arial" w:hAnsi="Arial" w:cs="Arial"/>
        </w:rPr>
        <w:t>Liu, Y., &amp; Roosta, F. (2022). MINRES: From negative curvature detection to monotonicity properties. SIAM Journal on Optimization.</w:t>
      </w:r>
    </w:p>
    <w:p w14:paraId="10590682" w14:textId="77777777" w:rsidR="001255DB" w:rsidRDefault="00000000">
      <w:pPr>
        <w:bidi w:val="0"/>
        <w:spacing w:after="140" w:line="280" w:lineRule="auto"/>
        <w:ind w:left="360" w:hanging="360"/>
      </w:pPr>
      <w:r>
        <w:rPr>
          <w:rFonts w:ascii="Arial" w:eastAsia="Arial" w:hAnsi="Arial" w:cs="Arial"/>
        </w:rPr>
        <w:lastRenderedPageBreak/>
        <w:t>Lucidi, S., Rinaldi, F., &amp; Vicente, L. N. A nonmonotone truncated Newton-Krylov method exploiting negative curvature directions, for large scale unconstrained optimization. Optimization Online.</w:t>
      </w:r>
    </w:p>
    <w:p w14:paraId="425B5E6D" w14:textId="77777777" w:rsidR="001255DB" w:rsidRDefault="00000000">
      <w:pPr>
        <w:bidi w:val="0"/>
        <w:spacing w:after="140" w:line="280" w:lineRule="auto"/>
        <w:ind w:left="360" w:hanging="360"/>
      </w:pPr>
      <w:r>
        <w:rPr>
          <w:rFonts w:ascii="Arial" w:eastAsia="Arial" w:hAnsi="Arial" w:cs="Arial"/>
        </w:rPr>
        <w:t>Martens, J. (2010). Deep learning via Hessian-free optimization. Proceedings of the 27th International Conference on Machine Learning (ICML), 735–742.</w:t>
      </w:r>
    </w:p>
    <w:p w14:paraId="46425417" w14:textId="77777777" w:rsidR="001255DB" w:rsidRDefault="00000000">
      <w:pPr>
        <w:bidi w:val="0"/>
        <w:spacing w:after="140" w:line="280" w:lineRule="auto"/>
        <w:ind w:left="360" w:hanging="360"/>
      </w:pPr>
      <w:r>
        <w:rPr>
          <w:rFonts w:ascii="Arial" w:eastAsia="Arial" w:hAnsi="Arial" w:cs="Arial"/>
        </w:rPr>
        <w:t>Nesterov, Y., &amp; Polyak, B. T. (2006). Cubic regularization of Newton method and its global performance. Mathematical Programming, 108(1), 177–205.</w:t>
      </w:r>
    </w:p>
    <w:p w14:paraId="79A0BDAF" w14:textId="77777777" w:rsidR="001255DB" w:rsidRDefault="00000000">
      <w:pPr>
        <w:bidi w:val="0"/>
        <w:spacing w:after="140" w:line="280" w:lineRule="auto"/>
        <w:ind w:left="360" w:hanging="360"/>
      </w:pPr>
      <w:r>
        <w:rPr>
          <w:rFonts w:ascii="Arial" w:eastAsia="Arial" w:hAnsi="Arial" w:cs="Arial"/>
        </w:rPr>
        <w:t>Nocedal, J., &amp; Wright, S. J. (2006). Numerical Optimization (2nd ed.). Springer.</w:t>
      </w:r>
    </w:p>
    <w:p w14:paraId="2699DFC8" w14:textId="77777777" w:rsidR="001255DB" w:rsidRDefault="00000000">
      <w:pPr>
        <w:bidi w:val="0"/>
        <w:spacing w:after="140" w:line="280" w:lineRule="auto"/>
        <w:ind w:left="360" w:hanging="360"/>
      </w:pPr>
      <w:r>
        <w:rPr>
          <w:rFonts w:ascii="Arial" w:eastAsia="Arial" w:hAnsi="Arial" w:cs="Arial"/>
        </w:rPr>
        <w:t>O'Leary-Roseberry, T., Alger, N., &amp; Ghattas, O. (2020). Low rank saddle free Newton: a scalable method. arXiv:2002.02881.</w:t>
      </w:r>
    </w:p>
    <w:p w14:paraId="782AC336" w14:textId="77777777" w:rsidR="001255DB" w:rsidRDefault="00000000">
      <w:pPr>
        <w:bidi w:val="0"/>
        <w:spacing w:after="140" w:line="280" w:lineRule="auto"/>
        <w:ind w:left="360" w:hanging="360"/>
      </w:pPr>
      <w:r w:rsidRPr="009712A8">
        <w:rPr>
          <w:rFonts w:ascii="Arial" w:eastAsia="Arial" w:hAnsi="Arial" w:cs="Arial"/>
          <w:lang w:val="fr-FR"/>
        </w:rPr>
        <w:t xml:space="preserve">Pasechnyuk-Vilensky, D., et al. </w:t>
      </w:r>
      <w:r>
        <w:rPr>
          <w:rFonts w:ascii="Arial" w:eastAsia="Arial" w:hAnsi="Arial" w:cs="Arial"/>
        </w:rPr>
        <w:t>(2025/2026). Cubic Regularized Newton Method with Variance Reduction for Finite-sum Non-convex Problems. arXiv:2510.08714.</w:t>
      </w:r>
    </w:p>
    <w:p w14:paraId="1B8FDA5E" w14:textId="77777777" w:rsidR="001255DB" w:rsidRDefault="00000000">
      <w:pPr>
        <w:bidi w:val="0"/>
        <w:spacing w:after="140" w:line="280" w:lineRule="auto"/>
        <w:ind w:left="360" w:hanging="360"/>
      </w:pPr>
      <w:r>
        <w:rPr>
          <w:rFonts w:ascii="Arial" w:eastAsia="Arial" w:hAnsi="Arial" w:cs="Arial"/>
        </w:rPr>
        <w:t>Safaryan, M., Islamov, R., Qian, X., &amp; Richtárik, P. (2021). FedNL: Making Newton-type methods applicable to federated learning. arXiv:2106.02969.</w:t>
      </w:r>
    </w:p>
    <w:p w14:paraId="78B9036A" w14:textId="77777777" w:rsidR="001255DB" w:rsidRDefault="00000000">
      <w:pPr>
        <w:bidi w:val="0"/>
        <w:spacing w:after="140" w:line="280" w:lineRule="auto"/>
        <w:ind w:left="360" w:hanging="360"/>
      </w:pPr>
      <w:r>
        <w:rPr>
          <w:rFonts w:ascii="Arial" w:eastAsia="Arial" w:hAnsi="Arial" w:cs="Arial"/>
        </w:rPr>
        <w:t>Tripuraneni, N., Stern, M., Jin, C., Regier, J., &amp; Jordan, M. I. (2018). Stochastic cubic regularization for fast nonconvex optimization. Advances in Neural Information Processing Systems, 31.</w:t>
      </w:r>
    </w:p>
    <w:p w14:paraId="6CC4ED58" w14:textId="77777777" w:rsidR="001255DB" w:rsidRDefault="00000000">
      <w:pPr>
        <w:bidi w:val="0"/>
        <w:spacing w:after="140" w:line="280" w:lineRule="auto"/>
        <w:ind w:left="360" w:hanging="360"/>
      </w:pPr>
      <w:r>
        <w:rPr>
          <w:rFonts w:ascii="Arial" w:eastAsia="Arial" w:hAnsi="Arial" w:cs="Arial"/>
        </w:rPr>
        <w:t>Zhao, J., Lucchi, A., &amp; Doikov, N. (2025). Cubic regularized subspace Newton for non-convex optimization. Proceedings of the 28th International Conference on Artificial Intelligence and Statistics (AISTATS), PMLR 258.</w:t>
      </w:r>
    </w:p>
    <w:sectPr w:rsidR="001255DB">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E333A47"/>
    <w:multiLevelType w:val="hybridMultilevel"/>
    <w:tmpl w:val="3F5CFE98"/>
    <w:lvl w:ilvl="0" w:tplc="A58EAA46">
      <w:start w:val="1"/>
      <w:numFmt w:val="bullet"/>
      <w:lvlText w:val="●"/>
      <w:lvlJc w:val="left"/>
      <w:pPr>
        <w:ind w:left="720" w:hanging="360"/>
      </w:pPr>
    </w:lvl>
    <w:lvl w:ilvl="1" w:tplc="F0DA6B3C">
      <w:start w:val="1"/>
      <w:numFmt w:val="bullet"/>
      <w:lvlText w:val="○"/>
      <w:lvlJc w:val="left"/>
      <w:pPr>
        <w:ind w:left="1440" w:hanging="360"/>
      </w:pPr>
    </w:lvl>
    <w:lvl w:ilvl="2" w:tplc="564C0C8E">
      <w:start w:val="1"/>
      <w:numFmt w:val="bullet"/>
      <w:lvlText w:val="■"/>
      <w:lvlJc w:val="left"/>
      <w:pPr>
        <w:ind w:left="2160" w:hanging="360"/>
      </w:pPr>
    </w:lvl>
    <w:lvl w:ilvl="3" w:tplc="275C592E">
      <w:start w:val="1"/>
      <w:numFmt w:val="bullet"/>
      <w:lvlText w:val="●"/>
      <w:lvlJc w:val="left"/>
      <w:pPr>
        <w:ind w:left="2880" w:hanging="360"/>
      </w:pPr>
    </w:lvl>
    <w:lvl w:ilvl="4" w:tplc="CD3CF902">
      <w:start w:val="1"/>
      <w:numFmt w:val="bullet"/>
      <w:lvlText w:val="○"/>
      <w:lvlJc w:val="left"/>
      <w:pPr>
        <w:ind w:left="3600" w:hanging="360"/>
      </w:pPr>
    </w:lvl>
    <w:lvl w:ilvl="5" w:tplc="7A2432FE">
      <w:start w:val="1"/>
      <w:numFmt w:val="bullet"/>
      <w:lvlText w:val="■"/>
      <w:lvlJc w:val="left"/>
      <w:pPr>
        <w:ind w:left="4320" w:hanging="360"/>
      </w:pPr>
    </w:lvl>
    <w:lvl w:ilvl="6" w:tplc="9230B35C">
      <w:start w:val="1"/>
      <w:numFmt w:val="bullet"/>
      <w:lvlText w:val="●"/>
      <w:lvlJc w:val="left"/>
      <w:pPr>
        <w:ind w:left="5040" w:hanging="360"/>
      </w:pPr>
    </w:lvl>
    <w:lvl w:ilvl="7" w:tplc="5EB271C6">
      <w:start w:val="1"/>
      <w:numFmt w:val="bullet"/>
      <w:lvlText w:val="●"/>
      <w:lvlJc w:val="left"/>
      <w:pPr>
        <w:ind w:left="5760" w:hanging="360"/>
      </w:pPr>
    </w:lvl>
    <w:lvl w:ilvl="8" w:tplc="18A6FA66">
      <w:start w:val="1"/>
      <w:numFmt w:val="bullet"/>
      <w:lvlText w:val="●"/>
      <w:lvlJc w:val="left"/>
      <w:pPr>
        <w:ind w:left="6480" w:hanging="360"/>
      </w:pPr>
    </w:lvl>
  </w:abstractNum>
  <w:num w:numId="1" w16cid:durableId="70217184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255DB"/>
    <w:rsid w:val="001255DB"/>
    <w:rsid w:val="009712A8"/>
    <w:rsid w:val="00A3513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7E4E59"/>
  <w15:docId w15:val="{5488ABC0-6B1C-484E-BCFF-98618FE267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uiPriority w:val="9"/>
    <w:qFormat/>
    <w:pPr>
      <w:outlineLvl w:val="0"/>
    </w:pPr>
    <w:rPr>
      <w:color w:val="2E74B5"/>
      <w:sz w:val="32"/>
      <w:szCs w:val="32"/>
    </w:rPr>
  </w:style>
  <w:style w:type="paragraph" w:styleId="2">
    <w:name w:val="heading 2"/>
    <w:uiPriority w:val="9"/>
    <w:unhideWhenUsed/>
    <w:qFormat/>
    <w:pPr>
      <w:outlineLvl w:val="1"/>
    </w:pPr>
    <w:rPr>
      <w:color w:val="2E74B5"/>
      <w:sz w:val="26"/>
      <w:szCs w:val="26"/>
    </w:rPr>
  </w:style>
  <w:style w:type="paragraph" w:styleId="3">
    <w:name w:val="heading 3"/>
    <w:uiPriority w:val="9"/>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تشديد1"/>
    <w:qFormat/>
    <w:rPr>
      <w:b/>
      <w:bCs/>
    </w:rPr>
  </w:style>
  <w:style w:type="paragraph" w:styleId="a4">
    <w:name w:val="List Paragraph"/>
    <w:qFormat/>
  </w:style>
  <w:style w:type="character" w:styleId="Hyperlink">
    <w:name w:val="Hyperlink"/>
    <w:uiPriority w:val="99"/>
    <w:unhideWhenUsed/>
    <w:rPr>
      <w:color w:val="0563C1"/>
      <w:u w:val="single"/>
    </w:rPr>
  </w:style>
  <w:style w:type="character" w:styleId="a5">
    <w:name w:val="footnote reference"/>
    <w:uiPriority w:val="99"/>
    <w:semiHidden/>
    <w:unhideWhenUsed/>
    <w:rPr>
      <w:vertAlign w:val="superscript"/>
    </w:rPr>
  </w:style>
  <w:style w:type="paragraph" w:styleId="a6">
    <w:name w:val="footnote text"/>
    <w:link w:val="Char"/>
    <w:uiPriority w:val="99"/>
    <w:semiHidden/>
    <w:unhideWhenUsed/>
  </w:style>
  <w:style w:type="character" w:customStyle="1" w:styleId="Char">
    <w:name w:val="نص حاشية سفلية Char"/>
    <w:link w:val="a6"/>
    <w:uiPriority w:val="99"/>
    <w:semiHidden/>
    <w:unhideWhenUsed/>
    <w:rPr>
      <w:sz w:val="20"/>
      <w:szCs w:val="20"/>
    </w:rPr>
  </w:style>
  <w:style w:type="character" w:styleId="a7">
    <w:name w:val="endnote reference"/>
    <w:uiPriority w:val="99"/>
    <w:semiHidden/>
    <w:unhideWhenUsed/>
    <w:rPr>
      <w:vertAlign w:val="superscript"/>
    </w:rPr>
  </w:style>
  <w:style w:type="paragraph" w:styleId="a8">
    <w:name w:val="endnote text"/>
    <w:link w:val="Char0"/>
    <w:uiPriority w:val="99"/>
    <w:semiHidden/>
    <w:unhideWhenUsed/>
  </w:style>
  <w:style w:type="character" w:customStyle="1" w:styleId="Char0">
    <w:name w:val="نص تعليق ختامي Char"/>
    <w:link w:val="a8"/>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18</Pages>
  <Words>6165</Words>
  <Characters>35144</Characters>
  <Application>Microsoft Office Word</Application>
  <DocSecurity>0</DocSecurity>
  <Lines>292</Lines>
  <Paragraphs>82</Paragraphs>
  <ScaleCrop>false</ScaleCrop>
  <Company/>
  <LinksUpToDate>false</LinksUpToDate>
  <CharactersWithSpaces>41227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yaser al yaser</cp:lastModifiedBy>
  <cp:revision>2</cp:revision>
  <dcterms:created xsi:type="dcterms:W3CDTF">2026-09-12T19:38:00Z</dcterms:created>
  <dcterms:modified xsi:type="dcterms:W3CDTF">2026-09-12T19:43:00Z</dcterms:modified>
</cp:coreProperties>
</file>