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COMPANION WORKBOOK</w:t>
      </w:r>
    </w:p>
    <w:p>
      <w:pPr>
        <w:spacing w:after="120"/>
      </w:pPr>
      <w:r>
        <w:rPr>
          <w:rFonts w:ascii="Georgia" w:cs="Georgia" w:eastAsia="Georgia" w:hAnsi="Georgia"/>
          <w:b/>
          <w:bCs/>
          <w:color w:val="1B1B1E"/>
          <w:sz w:val="66"/>
          <w:szCs w:val="66"/>
        </w:rPr>
        <w:t xml:space="preserve">The workbook.</w:t>
      </w:r>
    </w:p>
    <w:p>
      <w:pPr>
        <w:spacing w:after="240"/>
      </w:pPr>
      <w:r>
        <w:rPr>
          <w:rFonts w:ascii="Georgia" w:cs="Georgia" w:eastAsia="Georgia" w:hAnsi="Georgia"/>
          <w:color w:val="6B7280"/>
          <w:sz w:val="28"/>
          <w:szCs w:val="28"/>
        </w:rPr>
        <w:t xml:space="preserve">Ninety days of the thinking that does not fit in a text box. One page per lesson that is worth writing by hand.</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Seven modules. About four hours of writing, spread over three months. Nobody reads this but you.</w:t>
      </w:r>
    </w:p>
    <w:p>
      <w:pPr>
        <w:spacing w:after="24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rHeight w:val="820" w:hRule="atLeast"/>
        </w:trPr>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0</w:t>
            </w:r>
          </w:p>
          <w:p>
            <w:pPr>
              <w:spacing w:after="0"/>
              <w:jc w:val="center"/>
            </w:pPr>
            <w:r>
              <w:rPr>
                <w:rFonts w:ascii="Calibri" w:cs="Calibri" w:eastAsia="Calibri" w:hAnsi="Calibri"/>
                <w:color w:val="2D6A4F"/>
                <w:sz w:val="15"/>
                <w:szCs w:val="15"/>
              </w:rPr>
              <w:t xml:space="preserve">Start</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1</w:t>
            </w:r>
          </w:p>
          <w:p>
            <w:pPr>
              <w:spacing w:after="0"/>
              <w:jc w:val="center"/>
            </w:pPr>
            <w:r>
              <w:rPr>
                <w:rFonts w:ascii="Calibri" w:cs="Calibri" w:eastAsia="Calibri" w:hAnsi="Calibri"/>
                <w:color w:val="2D6A4F"/>
                <w:sz w:val="15"/>
                <w:szCs w:val="15"/>
              </w:rPr>
              <w:t xml:space="preserve">Ground</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EFF6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E40AF"/>
                <w:sz w:val="30"/>
                <w:szCs w:val="30"/>
              </w:rPr>
              <w:t xml:space="preserve">2</w:t>
            </w:r>
          </w:p>
          <w:p>
            <w:pPr>
              <w:spacing w:after="0"/>
              <w:jc w:val="center"/>
            </w:pPr>
            <w:r>
              <w:rPr>
                <w:rFonts w:ascii="Calibri" w:cs="Calibri" w:eastAsia="Calibri" w:hAnsi="Calibri"/>
                <w:color w:val="1E40AF"/>
                <w:sz w:val="15"/>
                <w:szCs w:val="15"/>
              </w:rPr>
              <w:t xml:space="preserve">Explore</w:t>
            </w:r>
          </w:p>
          <w:p>
            <w:pPr>
              <w:spacing w:after="0" w:before="60"/>
              <w:jc w:val="center"/>
            </w:pPr>
            <w:r>
              <w:rPr>
                <w:rFonts w:ascii="Segoe UI Symbol" w:cs="Segoe UI Symbol" w:eastAsia="Segoe UI Symbol" w:hAnsi="Segoe UI Symbol"/>
                <w:color w:val="1E40AF"/>
                <w:sz w:val="22"/>
                <w:szCs w:val="22"/>
              </w:rPr>
              <w:t xml:space="preserve">☐</w:t>
            </w:r>
          </w:p>
        </w:tc>
        <w:tc>
          <w:tcPr>
            <w:tcW w:type="dxa" w:w="1170"/>
            <w:tcBorders>
              <w:top w:val="none"/>
              <w:left w:val="none"/>
              <w:bottom w:val="none"/>
              <w:right w:val="none"/>
            </w:tcBorders>
            <w:shd w:fill="ECFE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55E75"/>
                <w:sz w:val="30"/>
                <w:szCs w:val="30"/>
              </w:rPr>
              <w:t xml:space="preserve">3</w:t>
            </w:r>
          </w:p>
          <w:p>
            <w:pPr>
              <w:spacing w:after="0"/>
              <w:jc w:val="center"/>
            </w:pPr>
            <w:r>
              <w:rPr>
                <w:rFonts w:ascii="Calibri" w:cs="Calibri" w:eastAsia="Calibri" w:hAnsi="Calibri"/>
                <w:color w:val="155E75"/>
                <w:sz w:val="15"/>
                <w:szCs w:val="15"/>
              </w:rPr>
              <w:t xml:space="preserve">Connect</w:t>
            </w:r>
          </w:p>
          <w:p>
            <w:pPr>
              <w:spacing w:after="0" w:before="60"/>
              <w:jc w:val="center"/>
            </w:pPr>
            <w:r>
              <w:rPr>
                <w:rFonts w:ascii="Segoe UI Symbol" w:cs="Segoe UI Symbol" w:eastAsia="Segoe UI Symbol" w:hAnsi="Segoe UI Symbol"/>
                <w:color w:val="155E75"/>
                <w:sz w:val="22"/>
                <w:szCs w:val="22"/>
              </w:rPr>
              <w:t xml:space="preserve">☐</w:t>
            </w:r>
          </w:p>
        </w:tc>
        <w:tc>
          <w:tcPr>
            <w:tcW w:type="dxa" w:w="1170"/>
            <w:tcBorders>
              <w:top w:val="none"/>
              <w:left w:val="none"/>
              <w:bottom w:val="none"/>
              <w:right w:val="none"/>
            </w:tcBorders>
            <w:shd w:fill="F5F3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5B21B6"/>
                <w:sz w:val="30"/>
                <w:szCs w:val="30"/>
              </w:rPr>
              <w:t xml:space="preserve">4</w:t>
            </w:r>
          </w:p>
          <w:p>
            <w:pPr>
              <w:spacing w:after="0"/>
              <w:jc w:val="center"/>
            </w:pPr>
            <w:r>
              <w:rPr>
                <w:rFonts w:ascii="Calibri" w:cs="Calibri" w:eastAsia="Calibri" w:hAnsi="Calibri"/>
                <w:color w:val="5B21B6"/>
                <w:sz w:val="15"/>
                <w:szCs w:val="15"/>
              </w:rPr>
              <w:t xml:space="preserve">Translate</w:t>
            </w:r>
          </w:p>
          <w:p>
            <w:pPr>
              <w:spacing w:after="0" w:before="60"/>
              <w:jc w:val="center"/>
            </w:pPr>
            <w:r>
              <w:rPr>
                <w:rFonts w:ascii="Segoe UI Symbol" w:cs="Segoe UI Symbol" w:eastAsia="Segoe UI Symbol" w:hAnsi="Segoe UI Symbol"/>
                <w:color w:val="5B21B6"/>
                <w:sz w:val="22"/>
                <w:szCs w:val="22"/>
              </w:rPr>
              <w:t xml:space="preserve">☐</w:t>
            </w:r>
          </w:p>
        </w:tc>
        <w:tc>
          <w:tcPr>
            <w:tcW w:type="dxa" w:w="1170"/>
            <w:tcBorders>
              <w:top w:val="none"/>
              <w:left w:val="none"/>
              <w:bottom w:val="none"/>
              <w:right w:val="none"/>
            </w:tcBorders>
            <w:shd w:fill="FEF6E7"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2400E"/>
                <w:sz w:val="30"/>
                <w:szCs w:val="30"/>
              </w:rPr>
              <w:t xml:space="preserve">5</w:t>
            </w:r>
          </w:p>
          <w:p>
            <w:pPr>
              <w:spacing w:after="0"/>
              <w:jc w:val="center"/>
            </w:pPr>
            <w:r>
              <w:rPr>
                <w:rFonts w:ascii="Calibri" w:cs="Calibri" w:eastAsia="Calibri" w:hAnsi="Calibri"/>
                <w:color w:val="92400E"/>
                <w:sz w:val="15"/>
                <w:szCs w:val="15"/>
              </w:rPr>
              <w:t xml:space="preserve">Test</w:t>
            </w:r>
          </w:p>
          <w:p>
            <w:pPr>
              <w:spacing w:after="0" w:before="60"/>
              <w:jc w:val="center"/>
            </w:pPr>
            <w:r>
              <w:rPr>
                <w:rFonts w:ascii="Segoe UI Symbol" w:cs="Segoe UI Symbol" w:eastAsia="Segoe UI Symbol" w:hAnsi="Segoe UI Symbol"/>
                <w:color w:val="92400E"/>
                <w:sz w:val="22"/>
                <w:szCs w:val="22"/>
              </w:rPr>
              <w:t xml:space="preserve">☐</w:t>
            </w:r>
          </w:p>
        </w:tc>
        <w:tc>
          <w:tcPr>
            <w:tcW w:type="dxa" w:w="1170"/>
            <w:tcBorders>
              <w:top w:val="none"/>
              <w:left w:val="none"/>
              <w:bottom w:val="none"/>
              <w:right w:val="none"/>
            </w:tcBorders>
            <w:shd w:fill="ECFDF5"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065F46"/>
                <w:sz w:val="30"/>
                <w:szCs w:val="30"/>
              </w:rPr>
              <w:t xml:space="preserve">6</w:t>
            </w:r>
          </w:p>
          <w:p>
            <w:pPr>
              <w:spacing w:after="0"/>
              <w:jc w:val="center"/>
            </w:pPr>
            <w:r>
              <w:rPr>
                <w:rFonts w:ascii="Calibri" w:cs="Calibri" w:eastAsia="Calibri" w:hAnsi="Calibri"/>
                <w:color w:val="065F46"/>
                <w:sz w:val="15"/>
                <w:szCs w:val="15"/>
              </w:rPr>
              <w:t xml:space="preserve">Leap</w:t>
            </w:r>
          </w:p>
          <w:p>
            <w:pPr>
              <w:spacing w:after="0" w:before="60"/>
              <w:jc w:val="center"/>
            </w:pPr>
            <w:r>
              <w:rPr>
                <w:rFonts w:ascii="Segoe UI Symbol" w:cs="Segoe UI Symbol" w:eastAsia="Segoe UI Symbol" w:hAnsi="Segoe UI Symbol"/>
                <w:color w:val="065F46"/>
                <w:sz w:val="22"/>
                <w:szCs w:val="22"/>
              </w:rPr>
              <w:t xml:space="preserve">☐</w:t>
            </w:r>
          </w:p>
        </w:tc>
        <w:tc>
          <w:tcPr>
            <w:tcW w:type="dxa" w:w="1170"/>
            <w:tcBorders>
              <w:top w:val="none"/>
              <w:left w:val="none"/>
              <w:bottom w:val="none"/>
              <w:right w:val="none"/>
            </w:tcBorders>
            <w:shd w:fill="FDF2F8"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D174D"/>
                <w:sz w:val="30"/>
                <w:szCs w:val="30"/>
              </w:rPr>
              <w:t xml:space="preserve">7</w:t>
            </w:r>
          </w:p>
          <w:p>
            <w:pPr>
              <w:spacing w:after="0"/>
              <w:jc w:val="center"/>
            </w:pPr>
            <w:r>
              <w:rPr>
                <w:rFonts w:ascii="Calibri" w:cs="Calibri" w:eastAsia="Calibri" w:hAnsi="Calibri"/>
                <w:color w:val="9D174D"/>
                <w:sz w:val="15"/>
                <w:szCs w:val="15"/>
              </w:rPr>
              <w:t xml:space="preserve">After</w:t>
            </w:r>
          </w:p>
          <w:p>
            <w:pPr>
              <w:spacing w:after="0" w:before="60"/>
              <w:jc w:val="center"/>
            </w:pPr>
            <w:r>
              <w:rPr>
                <w:rFonts w:ascii="Segoe UI Symbol" w:cs="Segoe UI Symbol" w:eastAsia="Segoe UI Symbol" w:hAnsi="Segoe UI Symbol"/>
                <w:color w:val="9D174D"/>
                <w:sz w:val="22"/>
                <w:szCs w:val="22"/>
              </w:rPr>
              <w:t xml:space="preserve">☐</w:t>
            </w:r>
          </w:p>
        </w:tc>
      </w:tr>
    </w:tbl>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version has the calculators and the animations; this is where you say what you actually think.</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The box is for thinking, not for prose. If you find yourself drafting, you've switched into work mode, and this isn't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twenty paths, and the ones you try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Connect: who to find, and what to say to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Test: proof, and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7</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 can't afford to lose</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What you keep when you leave</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2D6A4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1</w:t>
            </w:r>
          </w:p>
        </w:tc>
        <w:tc>
          <w:tcPr>
            <w:tcW w:type="dxa" w:w="7860"/>
            <w:tcBorders>
              <w:top w:val="none"/>
              <w:left w:val="none"/>
              <w:bottom w:val="none"/>
              <w:right w:val="none"/>
            </w:tcBorders>
            <w:shd w:fill="F0FAF3" w:color="auto" w:val="clear"/>
            <w:tcMar>
              <w:top w:type="dxa" w:w="140"/>
              <w:left w:type="dxa" w:w="200"/>
              <w:bottom w:type="dxa" w:w="140"/>
              <w:right w:type="dxa" w:w="200"/>
            </w:tcMar>
            <w:vAlign w:val="center"/>
          </w:tcPr>
          <w:p>
            <w:pPr>
              <w:spacing w:after="60"/>
            </w:pPr>
            <w:r>
              <w:rPr>
                <w:rFonts w:ascii="Calibri" w:cs="Calibri" w:eastAsia="Calibri" w:hAnsi="Calibri"/>
                <w:b/>
                <w:bCs/>
                <w:color w:val="2D6A4F"/>
                <w:spacing w:val="30"/>
                <w:sz w:val="17"/>
                <w:szCs w:val="17"/>
              </w:rPr>
              <w:t xml:space="preserve">MODULE 1 · WEEK 1</w:t>
            </w:r>
          </w:p>
          <w:p>
            <w:pPr>
              <w:spacing w:after="0"/>
            </w:pPr>
            <w:r>
              <w:rPr>
                <w:rFonts w:ascii="Georgia" w:cs="Georgia" w:eastAsia="Georgia" w:hAnsi="Georgia"/>
                <w:b/>
                <w:bCs/>
                <w:color w:val="1B1B1E"/>
                <w:sz w:val="48"/>
                <w:szCs w:val="48"/>
              </w:rPr>
              <w:t xml:space="preserve">Ground</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Before you look at a single job title, work out which problem you actually have. Three people with the same exhaustion need three different fixes, and picking the wrong one costs a year.</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THE PAGES IN THIS MODULE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Your stage, and the belief underneath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Bad workplace, bad fit, or bad season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sunk-cost audit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gave you energy, and what took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Four dials, and what you cannot afford to lose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you keep when you leave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Telling one person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checkpoint: two lists and one sentence</w:t>
      </w:r>
    </w:p>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5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 can't afford to lose</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What you keep when you leave</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Two lists, then one sentence. The sentence only works if you have written the honest version first.</w:t>
      </w:r>
    </w:p>
    <w:p>
      <w:pPr>
        <w:pStyle w:val="Heading2"/>
        <w:spacing w:after="140" w:before="360"/>
      </w:pPr>
      <w:r>
        <w:rPr>
          <w:rFonts w:ascii="Calibri" w:cs="Calibri" w:eastAsia="Calibri" w:hAnsi="Calibri"/>
          <w:b/>
          <w:bCs/>
          <w:color w:val="1B1B1E"/>
          <w:sz w:val="24"/>
          <w:szCs w:val="24"/>
        </w:rPr>
        <w:t xml:space="preserve">01  I want to leave or change my situation because…</w:t>
      </w:r>
    </w:p>
    <w:p>
      <w:pPr>
        <w:spacing w:after="120" w:before="0"/>
      </w:pPr>
      <w:r>
        <w:rPr>
          <w:rFonts w:ascii="Calibri" w:cs="Calibri" w:eastAsia="Calibri" w:hAnsi="Calibri"/>
          <w:color w:val="6B7280"/>
          <w:sz w:val="20"/>
          <w:szCs w:val="20"/>
        </w:rPr>
        <w:t xml:space="preserve">The frictions pushing you. Be exhaustive and unpolished. "My caseload went to 68 in October and nobody mentioned it" is more use than "workload issues".</w:t>
      </w:r>
    </w:p>
    <w:p>
      <w:pPr>
        <w:spacing w:after="80" w:before="280"/>
      </w:pPr>
      <w:r>
        <w:rPr>
          <w:rFonts w:ascii="Calibri" w:cs="Calibri" w:eastAsia="Calibri" w:hAnsi="Calibri"/>
          <w:b/>
          <w:bCs/>
          <w:color w:val="1B1B1E"/>
          <w:sz w:val="22"/>
          <w:szCs w:val="22"/>
        </w:rPr>
        <w:t xml:space="preserve">List them all. Six or eight is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02  I want my next chapter to give me…</w:t>
      </w:r>
    </w:p>
    <w:p>
      <w:pPr>
        <w:spacing w:after="120" w:before="0"/>
      </w:pPr>
      <w:r>
        <w:rPr>
          <w:rFonts w:ascii="Calibri" w:cs="Calibri" w:eastAsia="Calibri" w:hAnsi="Calibri"/>
          <w:color w:val="6B7280"/>
          <w:sz w:val="20"/>
          <w:szCs w:val="20"/>
        </w:rPr>
        <w:t xml:space="preserve">The outcomes pulling you. Concrete again: "control over when I do focused work" beats "flexibility".</w:t>
      </w:r>
    </w:p>
    <w:p>
      <w:pPr>
        <w:spacing w:after="80" w:before="280"/>
      </w:pPr>
      <w:r>
        <w:rPr>
          <w:rFonts w:ascii="Calibri" w:cs="Calibri" w:eastAsia="Calibri" w:hAnsi="Calibri"/>
          <w:b/>
          <w:bCs/>
          <w:color w:val="1B1B1E"/>
          <w:sz w:val="22"/>
          <w:szCs w:val="22"/>
        </w:rPr>
        <w:t xml:space="preserve">List them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w:t>
      </w:r>
    </w:p>
    <w:p>
      <w:pPr>
        <w:pStyle w:val="Heading1"/>
        <w:spacing w:after="60" w:before="0"/>
      </w:pPr>
      <w:r>
        <w:rPr>
          <w:rFonts w:ascii="Georgia" w:cs="Georgia" w:eastAsia="Georgia" w:hAnsi="Georgia"/>
          <w:b/>
          <w:bCs/>
          <w:color w:val="1B1B1E"/>
          <w:sz w:val="40"/>
          <w:szCs w:val="40"/>
        </w:rPr>
        <w:t xml:space="preserve">Your definition of progress</w:t>
      </w:r>
    </w:p>
    <w:p>
      <w:pPr>
        <w:spacing w:after="320" w:before="0"/>
      </w:pPr>
      <w:r>
        <w:rPr>
          <w:rFonts w:ascii="Calibri" w:cs="Calibri" w:eastAsia="Calibri" w:hAnsi="Calibri"/>
          <w:color w:val="6B7280"/>
          <w:sz w:val="22"/>
          <w:szCs w:val="22"/>
        </w:rPr>
        <w:t xml:space="preserve">Circle the two or three on each list that carry the most weight, then write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Two people can write the same push and need opposite things. That is why the sentence below is yours rather than a category. The pushes-and-pulls framing comes from the Jobs to Be Done work of Bob Moesta and Clayton Christensen.</w:t>
      </w:r>
    </w:p>
    <w:p>
      <w:pPr>
        <w:pStyle w:val="Heading2"/>
        <w:spacing w:after="140" w:before="360"/>
      </w:pPr>
      <w:r>
        <w:rPr>
          <w:rFonts w:ascii="Calibri" w:cs="Calibri" w:eastAsia="Calibri" w:hAnsi="Calibri"/>
          <w:b/>
          <w:bCs/>
          <w:color w:val="1B1B1E"/>
          <w:sz w:val="24"/>
          <w:szCs w:val="24"/>
        </w:rPr>
        <w:t xml:space="preserve">Where I landed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gave me energy, in a phrase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In one sentence, the progress I am looking for is… Where you are going, not what you are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 will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 is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E40A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2</w:t>
            </w:r>
          </w:p>
        </w:tc>
        <w:tc>
          <w:tcPr>
            <w:tcW w:type="dxa" w:w="7860"/>
            <w:tcBorders>
              <w:top w:val="none"/>
              <w:left w:val="none"/>
              <w:bottom w:val="none"/>
              <w:right w:val="none"/>
            </w:tcBorders>
            <w:shd w:fill="EFF6FF" w:color="auto" w:val="clear"/>
            <w:tcMar>
              <w:top w:type="dxa" w:w="140"/>
              <w:left w:type="dxa" w:w="200"/>
              <w:bottom w:type="dxa" w:w="140"/>
              <w:right w:type="dxa" w:w="200"/>
            </w:tcMar>
            <w:vAlign w:val="center"/>
          </w:tcPr>
          <w:p>
            <w:pPr>
              <w:spacing w:after="60"/>
            </w:pPr>
            <w:r>
              <w:rPr>
                <w:rFonts w:ascii="Calibri" w:cs="Calibri" w:eastAsia="Calibri" w:hAnsi="Calibri"/>
                <w:b/>
                <w:bCs/>
                <w:color w:val="1E40AF"/>
                <w:spacing w:val="30"/>
                <w:sz w:val="17"/>
                <w:szCs w:val="17"/>
              </w:rPr>
              <w:t xml:space="preserve">MODULE 2 · WEEKS 2 AND 3</w:t>
            </w:r>
          </w:p>
          <w:p>
            <w:pPr>
              <w:spacing w:after="0"/>
            </w:pPr>
            <w:r>
              <w:rPr>
                <w:rFonts w:ascii="Georgia" w:cs="Georgia" w:eastAsia="Georgia" w:hAnsi="Georgia"/>
                <w:b/>
                <w:bCs/>
                <w:color w:val="1B1B1E"/>
                <w:sz w:val="48"/>
                <w:szCs w:val="48"/>
              </w:rPr>
              <w:t xml:space="preserve">Explore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Twenty paths, with what each one pays and how long it took the people who did it. This module is for trying several on, not for choosing.</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THE PAGES IN THIS MODULE</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Twenty paths, tried on</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A Tuesday in the role, in your own words</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The requirement you meet, and the one you do not</w:t>
      </w:r>
    </w:p>
    <w:p>
      <w:r>
        <w:br w:type="page"/>
      </w:r>
    </w:p>
    <w:p>
      <w:pPr>
        <w:spacing w:after="60" w:before="120"/>
      </w:pPr>
      <w:r>
        <w:rPr>
          <w:rFonts w:ascii="Calibri" w:cs="Calibri" w:eastAsia="Calibri" w:hAnsi="Calibri"/>
          <w:b/>
          <w:bCs/>
          <w:color w:val="1E40AF"/>
          <w:spacing w:val="30"/>
          <w:sz w:val="17"/>
          <w:szCs w:val="17"/>
        </w:rPr>
        <w:t xml:space="preserve">MODULE 2 · LESSON 1</w:t>
      </w:r>
    </w:p>
    <w:p>
      <w:pPr>
        <w:pStyle w:val="Heading1"/>
        <w:spacing w:after="60" w:before="0"/>
      </w:pPr>
      <w:r>
        <w:rPr>
          <w:rFonts w:ascii="Georgia" w:cs="Georgia" w:eastAsia="Georgia" w:hAnsi="Georgia"/>
          <w:b/>
          <w:bCs/>
          <w:color w:val="1B1B1E"/>
          <w:sz w:val="40"/>
          <w:szCs w:val="40"/>
        </w:rPr>
        <w:t xml:space="preserve">Twenty paths, tried on</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55E75"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3</w:t>
            </w:r>
          </w:p>
        </w:tc>
        <w:tc>
          <w:tcPr>
            <w:tcW w:type="dxa" w:w="7860"/>
            <w:tcBorders>
              <w:top w:val="none"/>
              <w:left w:val="none"/>
              <w:bottom w:val="none"/>
              <w:right w:val="none"/>
            </w:tcBorders>
            <w:shd w:fill="ECFEFF" w:color="auto" w:val="clear"/>
            <w:tcMar>
              <w:top w:type="dxa" w:w="140"/>
              <w:left w:type="dxa" w:w="200"/>
              <w:bottom w:type="dxa" w:w="140"/>
              <w:right w:type="dxa" w:w="200"/>
            </w:tcMar>
            <w:vAlign w:val="center"/>
          </w:tcPr>
          <w:p>
            <w:pPr>
              <w:spacing w:after="60"/>
            </w:pPr>
            <w:r>
              <w:rPr>
                <w:rFonts w:ascii="Calibri" w:cs="Calibri" w:eastAsia="Calibri" w:hAnsi="Calibri"/>
                <w:b/>
                <w:bCs/>
                <w:color w:val="155E75"/>
                <w:spacing w:val="30"/>
                <w:sz w:val="17"/>
                <w:szCs w:val="17"/>
              </w:rPr>
              <w:t xml:space="preserve">MODULE 3 · WEEKS 3 TO 5</w:t>
            </w:r>
          </w:p>
          <w:p>
            <w:pPr>
              <w:spacing w:after="0"/>
            </w:pPr>
            <w:r>
              <w:rPr>
                <w:rFonts w:ascii="Georgia" w:cs="Georgia" w:eastAsia="Georgia" w:hAnsi="Georgia"/>
                <w:b/>
                <w:bCs/>
                <w:color w:val="1B1B1E"/>
                <w:sz w:val="48"/>
                <w:szCs w:val="48"/>
              </w:rPr>
              <w:t xml:space="preserve">Connect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Your contact list is almost entirely SLPs, which is why nobody in it can refer you. This module is about finding the people who already hold the title you want, and what to say to them.</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THE PAGES IN THIS MODULE</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names, and where you found them</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messages, and what came back</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The follow-up log</w:t>
      </w:r>
    </w:p>
    <w:p>
      <w:r>
        <w:br w:type="page"/>
      </w:r>
    </w:p>
    <w:p>
      <w:pPr>
        <w:spacing w:after="60" w:before="120"/>
      </w:pPr>
      <w:r>
        <w:rPr>
          <w:rFonts w:ascii="Calibri" w:cs="Calibri" w:eastAsia="Calibri" w:hAnsi="Calibri"/>
          <w:b/>
          <w:bCs/>
          <w:color w:val="155E75"/>
          <w:spacing w:val="30"/>
          <w:sz w:val="17"/>
          <w:szCs w:val="17"/>
        </w:rPr>
        <w:t xml:space="preserve">MODULE 3 · LESSON 1</w:t>
      </w:r>
    </w:p>
    <w:p>
      <w:pPr>
        <w:pStyle w:val="Heading1"/>
        <w:spacing w:after="60" w:before="0"/>
      </w:pPr>
      <w:r>
        <w:rPr>
          <w:rFonts w:ascii="Georgia" w:cs="Georgia" w:eastAsia="Georgia" w:hAnsi="Georgia"/>
          <w:b/>
          <w:bCs/>
          <w:color w:val="1B1B1E"/>
          <w:sz w:val="40"/>
          <w:szCs w:val="40"/>
        </w:rPr>
        <w:t xml:space="preserve">Three names</w:t>
      </w:r>
    </w:p>
    <w:p>
      <w:pPr>
        <w:spacing w:after="320" w:before="0"/>
      </w:pPr>
      <w:r>
        <w:rPr>
          <w:rFonts w:ascii="Calibri" w:cs="Calibri" w:eastAsia="Calibri" w:hAnsi="Calibri"/>
          <w:color w:val="6B7280"/>
          <w:sz w:val="22"/>
          <w:szCs w:val="22"/>
        </w:rPr>
        <w:t xml:space="preserve">Before the messages, the names. This page is the search, written down.</w:t>
      </w:r>
    </w:p>
    <w:p>
      <w:pPr>
        <w:pStyle w:val="Heading2"/>
        <w:spacing w:after="140" w:before="360"/>
      </w:pPr>
      <w:r>
        <w:rPr>
          <w:rFonts w:ascii="Calibri" w:cs="Calibri" w:eastAsia="Calibri" w:hAnsi="Calibri"/>
          <w:b/>
          <w:bCs/>
          <w:color w:val="1B1B1E"/>
          <w:sz w:val="24"/>
          <w:szCs w:val="24"/>
        </w:rPr>
        <w:t xml:space="preserve">The two groups you asked to join</w:t>
      </w:r>
    </w:p>
    <w:p>
      <w:pPr>
        <w:spacing w:after="120" w:before="0"/>
      </w:pPr>
      <w:r>
        <w:rPr>
          <w:rFonts w:ascii="Calibri" w:cs="Calibri" w:eastAsia="Calibri" w:hAnsi="Calibri"/>
          <w:color w:val="6B7280"/>
          <w:sz w:val="20"/>
          <w:szCs w:val="20"/>
        </w:rPr>
        <w:t xml:space="preserve">They are closed and unsearchable, which is why you have not found them before. Request today, forget about it, and note the date so you know when to chase.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1</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2</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Where the people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subreddit for your target title</w:t>
            </w:r>
          </w:p>
          <w:p>
            <w:pPr>
              <w:spacing w:after="0" w:before="0"/>
            </w:pPr>
            <w:r>
              <w:rPr>
                <w:rFonts w:ascii="Calibri" w:cs="Calibri" w:eastAsia="Calibri" w:hAnsi="Calibri"/>
                <w:color w:val="6B7280"/>
                <w:sz w:val="18"/>
                <w:szCs w:val="18"/>
              </w:rPr>
              <w:t xml:space="preserve">Not for your profession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community for that field</w:t>
            </w:r>
          </w:p>
          <w:p>
            <w:pPr>
              <w:spacing w:after="0" w:before="0"/>
            </w:pPr>
            <w:r>
              <w:rPr>
                <w:rFonts w:ascii="Calibri" w:cs="Calibri" w:eastAsia="Calibri" w:hAnsi="Calibri"/>
                <w:color w:val="6B7280"/>
                <w:sz w:val="18"/>
                <w:szCs w:val="18"/>
              </w:rPr>
              <w:t xml:space="preserve">Association, Slack, or forum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 company from the 120 list</w:t>
            </w:r>
          </w:p>
          <w:p>
            <w:pPr>
              <w:spacing w:after="0" w:before="0"/>
            </w:pPr>
            <w:r>
              <w:rPr>
                <w:rFonts w:ascii="Calibri" w:cs="Calibri" w:eastAsia="Calibri" w:hAnsi="Calibri"/>
                <w:color w:val="6B7280"/>
                <w:sz w:val="18"/>
                <w:szCs w:val="18"/>
              </w:rPr>
              <w:t xml:space="preserve">Search it with CCC-SLP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The three names</w:t>
      </w:r>
    </w:p>
    <w:p>
      <w:pPr>
        <w:spacing w:after="120" w:before="0"/>
      </w:pPr>
      <w:r>
        <w:rPr>
          <w:rFonts w:ascii="Calibri" w:cs="Calibri" w:eastAsia="Calibri" w:hAnsi="Calibri"/>
          <w:color w:val="6B7280"/>
          <w:sz w:val="20"/>
          <w:szCs w:val="20"/>
        </w:rPr>
        <w:t xml:space="preserve">A former SLP who now holds the title, anyone else with the title, and someone at a company on your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1,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2,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3,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155E75"/>
          <w:spacing w:val="30"/>
          <w:sz w:val="17"/>
          <w:szCs w:val="17"/>
        </w:rPr>
        <w:t xml:space="preserve">MODULE 3 · LESSON 3</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155E75"/>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follow-up log</w:t>
      </w:r>
    </w:p>
    <w:p>
      <w:pPr>
        <w:spacing w:after="320" w:before="0"/>
      </w:pPr>
      <w:r>
        <w:rPr>
          <w:rFonts w:ascii="Calibri" w:cs="Calibri" w:eastAsia="Calibri" w:hAnsi="Calibri"/>
          <w:color w:val="6B7280"/>
          <w:sz w:val="22"/>
          <w:szCs w:val="22"/>
        </w:rPr>
        <w:t xml:space="preserve">One follow-up, eight days later, and it has to add something. There is no second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of these went quiet, and what is the most likely boring reason?</w:t>
      </w:r>
    </w:p>
    <w:p>
      <w:pPr>
        <w:spacing w:after="100" w:before="0"/>
      </w:pPr>
      <w:r>
        <w:rPr>
          <w:rFonts w:ascii="Calibri" w:cs="Calibri" w:eastAsia="Calibri" w:hAnsi="Calibri"/>
          <w:color w:val="6B7280"/>
          <w:sz w:val="20"/>
          <w:szCs w:val="20"/>
        </w:rPr>
        <w:t xml:space="preserve">Frozen reqs, a full pipeline, a holiday. It is almost never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5B21B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4</w:t>
            </w:r>
          </w:p>
        </w:tc>
        <w:tc>
          <w:tcPr>
            <w:tcW w:type="dxa" w:w="7860"/>
            <w:tcBorders>
              <w:top w:val="none"/>
              <w:left w:val="none"/>
              <w:bottom w:val="none"/>
              <w:right w:val="none"/>
            </w:tcBorders>
            <w:shd w:fill="F5F3FF" w:color="auto" w:val="clear"/>
            <w:tcMar>
              <w:top w:type="dxa" w:w="140"/>
              <w:left w:type="dxa" w:w="200"/>
              <w:bottom w:type="dxa" w:w="140"/>
              <w:right w:type="dxa" w:w="200"/>
            </w:tcMar>
            <w:vAlign w:val="center"/>
          </w:tcPr>
          <w:p>
            <w:pPr>
              <w:spacing w:after="60"/>
            </w:pPr>
            <w:r>
              <w:rPr>
                <w:rFonts w:ascii="Calibri" w:cs="Calibri" w:eastAsia="Calibri" w:hAnsi="Calibri"/>
                <w:b/>
                <w:bCs/>
                <w:color w:val="5B21B6"/>
                <w:spacing w:val="30"/>
                <w:sz w:val="17"/>
                <w:szCs w:val="17"/>
              </w:rPr>
              <w:t xml:space="preserve">MODULE 4 · WEEKS 5 TO 7</w:t>
            </w:r>
          </w:p>
          <w:p>
            <w:pPr>
              <w:spacing w:after="0"/>
            </w:pPr>
            <w:r>
              <w:rPr>
                <w:rFonts w:ascii="Georgia" w:cs="Georgia" w:eastAsia="Georgia" w:hAnsi="Georgia"/>
                <w:b/>
                <w:bCs/>
                <w:color w:val="1B1B1E"/>
                <w:sz w:val="48"/>
                <w:szCs w:val="48"/>
              </w:rPr>
              <w:t xml:space="preserve">Translate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The work is already done. What is missing is the sentence that lets a hiring manager see it, which is a vocabulary problem rather than an experience one.</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THE PAGES IN THIS MODULE</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Your numbers, pulled from the calendar you already keep</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Three bullets, rewritten by hand</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The paragraph only you could write</w:t>
      </w:r>
    </w:p>
    <w:p>
      <w:r>
        <w:br w:type="page"/>
      </w:r>
    </w:p>
    <w:p>
      <w:pPr>
        <w:spacing w:after="60" w:before="120"/>
      </w:pPr>
      <w:r>
        <w:rPr>
          <w:rFonts w:ascii="Calibri" w:cs="Calibri" w:eastAsia="Calibri" w:hAnsi="Calibri"/>
          <w:b/>
          <w:bCs/>
          <w:color w:val="5B21B6"/>
          <w:spacing w:val="30"/>
          <w:sz w:val="17"/>
          <w:szCs w:val="17"/>
        </w:rPr>
        <w:t xml:space="preserve">MODULE 4 · LESSON 3</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6</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2400E"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5</w:t>
            </w:r>
          </w:p>
        </w:tc>
        <w:tc>
          <w:tcPr>
            <w:tcW w:type="dxa" w:w="7860"/>
            <w:tcBorders>
              <w:top w:val="none"/>
              <w:left w:val="none"/>
              <w:bottom w:val="none"/>
              <w:right w:val="none"/>
            </w:tcBorders>
            <w:shd w:fill="FEF6E7" w:color="auto" w:val="clear"/>
            <w:tcMar>
              <w:top w:type="dxa" w:w="140"/>
              <w:left w:type="dxa" w:w="200"/>
              <w:bottom w:type="dxa" w:w="140"/>
              <w:right w:type="dxa" w:w="200"/>
            </w:tcMar>
            <w:vAlign w:val="center"/>
          </w:tcPr>
          <w:p>
            <w:pPr>
              <w:spacing w:after="60"/>
            </w:pPr>
            <w:r>
              <w:rPr>
                <w:rFonts w:ascii="Calibri" w:cs="Calibri" w:eastAsia="Calibri" w:hAnsi="Calibri"/>
                <w:b/>
                <w:bCs/>
                <w:color w:val="92400E"/>
                <w:spacing w:val="30"/>
                <w:sz w:val="17"/>
                <w:szCs w:val="17"/>
              </w:rPr>
              <w:t xml:space="preserve">MODULE 5 · WEEKS 7 TO 9</w:t>
            </w:r>
          </w:p>
          <w:p>
            <w:pPr>
              <w:spacing w:after="0"/>
            </w:pPr>
            <w:r>
              <w:rPr>
                <w:rFonts w:ascii="Georgia" w:cs="Georgia" w:eastAsia="Georgia" w:hAnsi="Georgia"/>
                <w:b/>
                <w:bCs/>
                <w:color w:val="1B1B1E"/>
                <w:sz w:val="48"/>
                <w:szCs w:val="48"/>
              </w:rPr>
              <w:t xml:space="preserve">Test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One thing you make, and the three numbers that decide whether you can afford the move. This is the module where the plan meets the bank account.</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THE PAGES IN THIS MODULE</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thing you make, planned so the week does not eat it</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three numbers: loans, coverage, runway</w:t>
      </w:r>
    </w:p>
    <w:p>
      <w:r>
        <w:br w:type="page"/>
      </w:r>
    </w:p>
    <w:p>
      <w:pPr>
        <w:spacing w:after="60" w:before="120"/>
      </w:pPr>
      <w:r>
        <w:rPr>
          <w:rFonts w:ascii="Calibri" w:cs="Calibri" w:eastAsia="Calibri" w:hAnsi="Calibri"/>
          <w:b/>
          <w:bCs/>
          <w:color w:val="92400E"/>
          <w:spacing w:val="30"/>
          <w:sz w:val="17"/>
          <w:szCs w:val="17"/>
        </w:rPr>
        <w:t xml:space="preserve">MODULE 5 · LESSON 2</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92400E"/>
          <w:spacing w:val="30"/>
          <w:sz w:val="17"/>
          <w:szCs w:val="17"/>
        </w:rPr>
        <w:t xml:space="preserve">MODULE 5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065F4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6</w:t>
            </w:r>
          </w:p>
        </w:tc>
        <w:tc>
          <w:tcPr>
            <w:tcW w:type="dxa" w:w="7860"/>
            <w:tcBorders>
              <w:top w:val="none"/>
              <w:left w:val="none"/>
              <w:bottom w:val="none"/>
              <w:right w:val="none"/>
            </w:tcBorders>
            <w:shd w:fill="ECFDF5" w:color="auto" w:val="clear"/>
            <w:tcMar>
              <w:top w:type="dxa" w:w="140"/>
              <w:left w:type="dxa" w:w="200"/>
              <w:bottom w:type="dxa" w:w="140"/>
              <w:right w:type="dxa" w:w="200"/>
            </w:tcMar>
            <w:vAlign w:val="center"/>
          </w:tcPr>
          <w:p>
            <w:pPr>
              <w:spacing w:after="60"/>
            </w:pPr>
            <w:r>
              <w:rPr>
                <w:rFonts w:ascii="Calibri" w:cs="Calibri" w:eastAsia="Calibri" w:hAnsi="Calibri"/>
                <w:b/>
                <w:bCs/>
                <w:color w:val="065F46"/>
                <w:spacing w:val="30"/>
                <w:sz w:val="17"/>
                <w:szCs w:val="17"/>
              </w:rPr>
              <w:t xml:space="preserve">MODULE 6 · WEEKS 9 TO 12</w:t>
            </w:r>
          </w:p>
          <w:p>
            <w:pPr>
              <w:spacing w:after="0"/>
            </w:pPr>
            <w:r>
              <w:rPr>
                <w:rFonts w:ascii="Georgia" w:cs="Georgia" w:eastAsia="Georgia" w:hAnsi="Georgia"/>
                <w:b/>
                <w:bCs/>
                <w:color w:val="1B1B1E"/>
                <w:sz w:val="48"/>
                <w:szCs w:val="48"/>
              </w:rPr>
              <w:t xml:space="preserve">Leap</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Career changers get screened out for three specific reasons, and none of them is that you cannot do the job. This module is the answers, said aloud until they stop sounding rehearsed.</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THE PAGES IN THIS MODULE</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Your bridge statement, in three parts</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The questions, and the number you decided in advance</w:t>
      </w:r>
    </w:p>
    <w:p>
      <w:r>
        <w:br w:type="page"/>
      </w:r>
    </w:p>
    <w:p>
      <w:pPr>
        <w:spacing w:after="60" w:before="120"/>
      </w:pPr>
      <w:r>
        <w:rPr>
          <w:rFonts w:ascii="Calibri" w:cs="Calibri" w:eastAsia="Calibri" w:hAnsi="Calibri"/>
          <w:b/>
          <w:bCs/>
          <w:color w:val="065F46"/>
          <w:spacing w:val="30"/>
          <w:sz w:val="17"/>
          <w:szCs w:val="17"/>
        </w:rPr>
        <w:t xml:space="preserve">MODULE 6 · LESSON 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065F46"/>
          <w:spacing w:val="30"/>
          <w:sz w:val="17"/>
          <w:szCs w:val="17"/>
        </w:rPr>
        <w:t xml:space="preserve">MODULE 6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3 TO 6</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D174D"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7</w:t>
            </w:r>
          </w:p>
        </w:tc>
        <w:tc>
          <w:tcPr>
            <w:tcW w:type="dxa" w:w="7860"/>
            <w:tcBorders>
              <w:top w:val="none"/>
              <w:left w:val="none"/>
              <w:bottom w:val="none"/>
              <w:right w:val="none"/>
            </w:tcBorders>
            <w:shd w:fill="FDF2F8" w:color="auto" w:val="clear"/>
            <w:tcMar>
              <w:top w:type="dxa" w:w="140"/>
              <w:left w:type="dxa" w:w="200"/>
              <w:bottom w:type="dxa" w:w="140"/>
              <w:right w:type="dxa" w:w="200"/>
            </w:tcMar>
            <w:vAlign w:val="center"/>
          </w:tcPr>
          <w:p>
            <w:pPr>
              <w:spacing w:after="60"/>
            </w:pPr>
            <w:r>
              <w:rPr>
                <w:rFonts w:ascii="Calibri" w:cs="Calibri" w:eastAsia="Calibri" w:hAnsi="Calibri"/>
                <w:b/>
                <w:bCs/>
                <w:color w:val="9D174D"/>
                <w:spacing w:val="30"/>
                <w:sz w:val="17"/>
                <w:szCs w:val="17"/>
              </w:rPr>
              <w:t xml:space="preserve">MODULE 7 · ALUMNI</w:t>
            </w:r>
          </w:p>
          <w:p>
            <w:pPr>
              <w:spacing w:after="0"/>
            </w:pPr>
            <w:r>
              <w:rPr>
                <w:rFonts w:ascii="Georgia" w:cs="Georgia" w:eastAsia="Georgia" w:hAnsi="Georgia"/>
                <w:b/>
                <w:bCs/>
                <w:color w:val="1B1B1E"/>
                <w:sz w:val="48"/>
                <w:szCs w:val="48"/>
              </w:rPr>
              <w:t xml:space="preserve">After</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What changes once you are in, and what you owe the person who is where you were a year ago.</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THE PAGES IN THIS MODULE</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Six months in</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The message you answer</w:t>
      </w:r>
    </w:p>
    <w:p>
      <w:r>
        <w:br w:type="page"/>
      </w:r>
    </w:p>
    <w:p>
      <w:pPr>
        <w:spacing w:after="60" w:before="120"/>
      </w:pPr>
      <w:r>
        <w:rPr>
          <w:rFonts w:ascii="Calibri" w:cs="Calibri" w:eastAsia="Calibri" w:hAnsi="Calibri"/>
          <w:b/>
          <w:bCs/>
          <w:color w:val="9D174D"/>
          <w:spacing w:val="30"/>
          <w:sz w:val="17"/>
          <w:szCs w:val="17"/>
        </w:rPr>
        <w:t xml:space="preserve">MODULE 7 · LESSON 2</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2026-09-06T18:53:32.219Z</dcterms:created>
  <dcterms:modified xsi:type="dcterms:W3CDTF">2026-09-06T18:53:32.224Z</dcterms:modified>
</cp:coreProperties>
</file>

<file path=docProps/custom.xml><?xml version="1.0" encoding="utf-8"?>
<Properties xmlns="http://schemas.openxmlformats.org/officeDocument/2006/custom-properties" xmlns:vt="http://schemas.openxmlformats.org/officeDocument/2006/docPropsVTypes"/>
</file>