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8200" w:hRule="atLeast"/>
        </w:trP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D6A4F" w:color="auto" w:val="clear"/>
            <w:tcMar>
              <w:top w:type="dxa" w:w="140"/>
              <w:left w:type="dxa" w:w="260"/>
              <w:bottom w:type="dxa" w:w="140"/>
              <w:right w:type="dxa" w:w="26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D8F3DC"/>
                <w:spacing w:val="30"/>
                <w:sz w:val="17"/>
                <w:szCs w:val="17"/>
              </w:rPr>
              <w:t xml:space="preserve">WORKBOOK</w:t>
            </w:r>
          </w:p>
          <w:p>
            <w:pPr>
              <w:pBdr>
                <w:bottom w:val="single" w:color="40916C" w:sz="4" w:space="6"/>
              </w:pBdr>
              <w:spacing w:after="700"/>
            </w:pPr>
            <w:r>
              <w:rPr>
                <w:rFonts w:ascii="Calibri" w:cs="Calibri" w:eastAsia="Calibri" w:hAnsi="Calibri"/>
                <w:color w:val="A7D3BC"/>
                <w:spacing w:val="24"/>
                <w:sz w:val="17"/>
                <w:szCs w:val="17"/>
              </w:rPr>
              <w:t xml:space="preserve">NINETY DAYS</w:t>
            </w:r>
          </w:p>
          <w:p>
            <w:pPr>
              <w:spacing w:after="200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72"/>
                <w:szCs w:val="72"/>
              </w:rPr>
              <w:t xml:space="preserve">Transition OS</w:t>
            </w:r>
          </w:p>
          <w:p>
            <w:pPr>
              <w:pBdr>
                <w:bottom w:val="single" w:color="D8F3DC" w:sz="18" w:space="2"/>
              </w:pBdr>
              <w:spacing w:after="260"/>
            </w:pPr>
            <w:r>
              <w:rPr>
                <w:rFonts w:ascii="Calibri" w:cs="Calibri" w:eastAsia="Calibri" w:hAnsi="Calibri"/>
                <w:sz w:val="10"/>
                <w:szCs w:val="10"/>
              </w:rPr>
              <w:t xml:space="preserve">     </w:t>
            </w:r>
          </w:p>
          <w:p>
            <w:pPr>
              <w:spacing w:after="0"/>
            </w:pPr>
            <w:r>
              <w:rPr>
                <w:rFonts w:ascii="Georgia" w:cs="Georgia" w:eastAsia="Georgia" w:hAnsi="Georgia"/>
                <w:color w:val="D8F3DC"/>
                <w:sz w:val="28"/>
                <w:szCs w:val="28"/>
              </w:rPr>
              <w:t xml:space="preserve">Ninety days, from wondering whether you’re allowed to leave to interviewing outside the clinic.</w:t>
            </w:r>
          </w:p>
        </w:tc>
      </w:tr>
    </w:tbl>
    <w:p>
      <w:pPr>
        <w:spacing w:after="500"/>
      </w:pPr>
      <w:r>
        <w:rPr>
          <w:rFonts w:ascii="Calibri" w:cs="Calibri" w:eastAsia="Calibri" w:hAnsi="Calibri"/>
          <w:color w:val="1B1B1E"/>
          <w:sz w:val="22"/>
          <w:szCs w:val="22"/>
        </w:rPr>
        <w:t xml:space="preserve"> 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2D6A4F"/>
          <w:spacing w:val="30"/>
          <w:sz w:val="17"/>
          <w:szCs w:val="17"/>
        </w:rPr>
        <w:t xml:space="preserve">THE EIGHT STOPS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trHeight w:val="820" w:hRule="atLeast"/>
        </w:trPr>
        <w:tc>
          <w:tcPr>
            <w:tcW w:type="dxa" w:w="1170"/>
            <w:tcBorders>
              <w:top w:val="none"/>
              <w:left w:val="none"/>
              <w:bottom w:val="none"/>
              <w:right w:val="none"/>
            </w:tcBorders>
            <w:shd w:fill="F0FAF3" w:color="auto" w:val="clear"/>
            <w:tcMar>
              <w:top w:type="dxa" w:w="140"/>
              <w:left w:type="dxa" w:w="60"/>
              <w:bottom w:type="dxa" w:w="140"/>
              <w:right w:type="dxa" w:w="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2D6A4F"/>
                <w:sz w:val="30"/>
                <w:szCs w:val="30"/>
              </w:rPr>
              <w:t xml:space="preserve">0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2D6A4F"/>
                <w:sz w:val="15"/>
                <w:szCs w:val="15"/>
              </w:rPr>
              <w:t xml:space="preserve">Start</w:t>
            </w:r>
          </w:p>
          <w:p>
            <w:pPr>
              <w:spacing w:after="0" w:before="60"/>
              <w:jc w:val="center"/>
            </w:pPr>
            <w:r>
              <w:rPr>
                <w:rFonts w:ascii="Segoe UI Symbol" w:cs="Segoe UI Symbol" w:eastAsia="Segoe UI Symbol" w:hAnsi="Segoe UI Symbol"/>
                <w:color w:val="2D6A4F"/>
                <w:sz w:val="22"/>
                <w:szCs w:val="22"/>
              </w:rPr>
              <w:t xml:space="preserve">☐</w:t>
            </w:r>
          </w:p>
        </w:tc>
        <w:tc>
          <w:tcPr>
            <w:tcW w:type="dxa" w:w="1170"/>
            <w:tcBorders>
              <w:top w:val="none"/>
              <w:left w:val="none"/>
              <w:bottom w:val="none"/>
              <w:right w:val="none"/>
            </w:tcBorders>
            <w:shd w:fill="F0FAF3" w:color="auto" w:val="clear"/>
            <w:tcMar>
              <w:top w:type="dxa" w:w="140"/>
              <w:left w:type="dxa" w:w="60"/>
              <w:bottom w:type="dxa" w:w="140"/>
              <w:right w:type="dxa" w:w="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2D6A4F"/>
                <w:sz w:val="30"/>
                <w:szCs w:val="30"/>
              </w:rPr>
              <w:t xml:space="preserve">1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2D6A4F"/>
                <w:sz w:val="15"/>
                <w:szCs w:val="15"/>
              </w:rPr>
              <w:t xml:space="preserve">Ground</w:t>
            </w:r>
          </w:p>
          <w:p>
            <w:pPr>
              <w:spacing w:after="0" w:before="60"/>
              <w:jc w:val="center"/>
            </w:pPr>
            <w:r>
              <w:rPr>
                <w:rFonts w:ascii="Segoe UI Symbol" w:cs="Segoe UI Symbol" w:eastAsia="Segoe UI Symbol" w:hAnsi="Segoe UI Symbol"/>
                <w:color w:val="2D6A4F"/>
                <w:sz w:val="22"/>
                <w:szCs w:val="22"/>
              </w:rPr>
              <w:t xml:space="preserve">☐</w:t>
            </w:r>
          </w:p>
        </w:tc>
        <w:tc>
          <w:tcPr>
            <w:tcW w:type="dxa" w:w="1170"/>
            <w:tcBorders>
              <w:top w:val="none"/>
              <w:left w:val="none"/>
              <w:bottom w:val="none"/>
              <w:right w:val="none"/>
            </w:tcBorders>
            <w:shd w:fill="EFF6FF" w:color="auto" w:val="clear"/>
            <w:tcMar>
              <w:top w:type="dxa" w:w="140"/>
              <w:left w:type="dxa" w:w="60"/>
              <w:bottom w:type="dxa" w:w="140"/>
              <w:right w:type="dxa" w:w="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E40AF"/>
                <w:sz w:val="30"/>
                <w:szCs w:val="30"/>
              </w:rPr>
              <w:t xml:space="preserve">2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1E40AF"/>
                <w:sz w:val="15"/>
                <w:szCs w:val="15"/>
              </w:rPr>
              <w:t xml:space="preserve">Explore</w:t>
            </w:r>
          </w:p>
          <w:p>
            <w:pPr>
              <w:spacing w:after="0" w:before="60"/>
              <w:jc w:val="center"/>
            </w:pPr>
            <w:r>
              <w:rPr>
                <w:rFonts w:ascii="Segoe UI Symbol" w:cs="Segoe UI Symbol" w:eastAsia="Segoe UI Symbol" w:hAnsi="Segoe UI Symbol"/>
                <w:color w:val="1E40AF"/>
                <w:sz w:val="22"/>
                <w:szCs w:val="22"/>
              </w:rPr>
              <w:t xml:space="preserve">☐</w:t>
            </w:r>
          </w:p>
        </w:tc>
        <w:tc>
          <w:tcPr>
            <w:tcW w:type="dxa" w:w="1170"/>
            <w:tcBorders>
              <w:top w:val="none"/>
              <w:left w:val="none"/>
              <w:bottom w:val="none"/>
              <w:right w:val="none"/>
            </w:tcBorders>
            <w:shd w:fill="ECFEFF" w:color="auto" w:val="clear"/>
            <w:tcMar>
              <w:top w:type="dxa" w:w="140"/>
              <w:left w:type="dxa" w:w="60"/>
              <w:bottom w:type="dxa" w:w="140"/>
              <w:right w:type="dxa" w:w="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55E75"/>
                <w:sz w:val="30"/>
                <w:szCs w:val="30"/>
              </w:rPr>
              <w:t xml:space="preserve">3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155E75"/>
                <w:sz w:val="15"/>
                <w:szCs w:val="15"/>
              </w:rPr>
              <w:t xml:space="preserve">Connect</w:t>
            </w:r>
          </w:p>
          <w:p>
            <w:pPr>
              <w:spacing w:after="0" w:before="60"/>
              <w:jc w:val="center"/>
            </w:pPr>
            <w:r>
              <w:rPr>
                <w:rFonts w:ascii="Segoe UI Symbol" w:cs="Segoe UI Symbol" w:eastAsia="Segoe UI Symbol" w:hAnsi="Segoe UI Symbol"/>
                <w:color w:val="155E75"/>
                <w:sz w:val="22"/>
                <w:szCs w:val="22"/>
              </w:rPr>
              <w:t xml:space="preserve">☐</w:t>
            </w:r>
          </w:p>
        </w:tc>
        <w:tc>
          <w:tcPr>
            <w:tcW w:type="dxa" w:w="1170"/>
            <w:tcBorders>
              <w:top w:val="none"/>
              <w:left w:val="none"/>
              <w:bottom w:val="none"/>
              <w:right w:val="none"/>
            </w:tcBorders>
            <w:shd w:fill="F5F3FF" w:color="auto" w:val="clear"/>
            <w:tcMar>
              <w:top w:type="dxa" w:w="140"/>
              <w:left w:type="dxa" w:w="60"/>
              <w:bottom w:type="dxa" w:w="140"/>
              <w:right w:type="dxa" w:w="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5B21B6"/>
                <w:sz w:val="30"/>
                <w:szCs w:val="30"/>
              </w:rPr>
              <w:t xml:space="preserve">4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B21B6"/>
                <w:sz w:val="15"/>
                <w:szCs w:val="15"/>
              </w:rPr>
              <w:t xml:space="preserve">Translate</w:t>
            </w:r>
          </w:p>
          <w:p>
            <w:pPr>
              <w:spacing w:after="0" w:before="60"/>
              <w:jc w:val="center"/>
            </w:pPr>
            <w:r>
              <w:rPr>
                <w:rFonts w:ascii="Segoe UI Symbol" w:cs="Segoe UI Symbol" w:eastAsia="Segoe UI Symbol" w:hAnsi="Segoe UI Symbol"/>
                <w:color w:val="5B21B6"/>
                <w:sz w:val="22"/>
                <w:szCs w:val="22"/>
              </w:rPr>
              <w:t xml:space="preserve">☐</w:t>
            </w:r>
          </w:p>
        </w:tc>
        <w:tc>
          <w:tcPr>
            <w:tcW w:type="dxa" w:w="1170"/>
            <w:tcBorders>
              <w:top w:val="none"/>
              <w:left w:val="none"/>
              <w:bottom w:val="none"/>
              <w:right w:val="none"/>
            </w:tcBorders>
            <w:shd w:fill="FEF6E7" w:color="auto" w:val="clear"/>
            <w:tcMar>
              <w:top w:type="dxa" w:w="140"/>
              <w:left w:type="dxa" w:w="60"/>
              <w:bottom w:type="dxa" w:w="140"/>
              <w:right w:type="dxa" w:w="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92400E"/>
                <w:sz w:val="30"/>
                <w:szCs w:val="30"/>
              </w:rPr>
              <w:t xml:space="preserve">5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92400E"/>
                <w:sz w:val="15"/>
                <w:szCs w:val="15"/>
              </w:rPr>
              <w:t xml:space="preserve">Test</w:t>
            </w:r>
          </w:p>
          <w:p>
            <w:pPr>
              <w:spacing w:after="0" w:before="60"/>
              <w:jc w:val="center"/>
            </w:pPr>
            <w:r>
              <w:rPr>
                <w:rFonts w:ascii="Segoe UI Symbol" w:cs="Segoe UI Symbol" w:eastAsia="Segoe UI Symbol" w:hAnsi="Segoe UI Symbol"/>
                <w:color w:val="92400E"/>
                <w:sz w:val="22"/>
                <w:szCs w:val="22"/>
              </w:rPr>
              <w:t xml:space="preserve">☐</w:t>
            </w:r>
          </w:p>
        </w:tc>
        <w:tc>
          <w:tcPr>
            <w:tcW w:type="dxa" w:w="1170"/>
            <w:tcBorders>
              <w:top w:val="none"/>
              <w:left w:val="none"/>
              <w:bottom w:val="none"/>
              <w:right w:val="none"/>
            </w:tcBorders>
            <w:shd w:fill="ECFDF5" w:color="auto" w:val="clear"/>
            <w:tcMar>
              <w:top w:type="dxa" w:w="140"/>
              <w:left w:type="dxa" w:w="60"/>
              <w:bottom w:type="dxa" w:w="140"/>
              <w:right w:type="dxa" w:w="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065F46"/>
                <w:sz w:val="30"/>
                <w:szCs w:val="30"/>
              </w:rPr>
              <w:t xml:space="preserve">6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65F46"/>
                <w:sz w:val="15"/>
                <w:szCs w:val="15"/>
              </w:rPr>
              <w:t xml:space="preserve">Leap</w:t>
            </w:r>
          </w:p>
          <w:p>
            <w:pPr>
              <w:spacing w:after="0" w:before="60"/>
              <w:jc w:val="center"/>
            </w:pPr>
            <w:r>
              <w:rPr>
                <w:rFonts w:ascii="Segoe UI Symbol" w:cs="Segoe UI Symbol" w:eastAsia="Segoe UI Symbol" w:hAnsi="Segoe UI Symbol"/>
                <w:color w:val="065F46"/>
                <w:sz w:val="22"/>
                <w:szCs w:val="22"/>
              </w:rPr>
              <w:t xml:space="preserve">☐</w:t>
            </w:r>
          </w:p>
        </w:tc>
        <w:tc>
          <w:tcPr>
            <w:tcW w:type="dxa" w:w="1170"/>
            <w:tcBorders>
              <w:top w:val="none"/>
              <w:left w:val="none"/>
              <w:bottom w:val="none"/>
              <w:right w:val="none"/>
            </w:tcBorders>
            <w:shd w:fill="FDF2F8" w:color="auto" w:val="clear"/>
            <w:tcMar>
              <w:top w:type="dxa" w:w="140"/>
              <w:left w:type="dxa" w:w="60"/>
              <w:bottom w:type="dxa" w:w="140"/>
              <w:right w:type="dxa" w:w="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9D174D"/>
                <w:sz w:val="30"/>
                <w:szCs w:val="30"/>
              </w:rPr>
              <w:t xml:space="preserve">7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9D174D"/>
                <w:sz w:val="15"/>
                <w:szCs w:val="15"/>
              </w:rPr>
              <w:t xml:space="preserve">After</w:t>
            </w:r>
          </w:p>
          <w:p>
            <w:pPr>
              <w:spacing w:after="0" w:before="60"/>
              <w:jc w:val="center"/>
            </w:pPr>
            <w:r>
              <w:rPr>
                <w:rFonts w:ascii="Segoe UI Symbol" w:cs="Segoe UI Symbol" w:eastAsia="Segoe UI Symbol" w:hAnsi="Segoe UI Symbol"/>
                <w:color w:val="9D174D"/>
                <w:sz w:val="22"/>
                <w:szCs w:val="22"/>
              </w:rPr>
              <w:t xml:space="preserve">☐</w:t>
            </w:r>
          </w:p>
        </w:tc>
      </w:tr>
    </w:tbl>
    <w:p>
      <w:pPr>
        <w:spacing w:after="700"/>
      </w:pPr>
      <w:r>
        <w:rPr>
          <w:rFonts w:ascii="Calibri" w:cs="Calibri" w:eastAsia="Calibri" w:hAnsi="Calibri"/>
          <w:color w:val="1B1B1E"/>
          <w:sz w:val="22"/>
          <w:szCs w:val="22"/>
        </w:rPr>
        <w:t xml:space="preserve"> 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color w:val="1B1B1E"/>
          <w:sz w:val="20"/>
          <w:szCs w:val="20"/>
        </w:rPr>
        <w:t xml:space="preserve">Name</w:t>
      </w:r>
    </w:p>
    <w:p>
      <w:pPr>
        <w:spacing w:after="120" w:before="0"/>
      </w:pPr>
      <w:r>
        <w:rPr>
          <w:rFonts w:ascii="Calibri" w:cs="Calibri" w:eastAsia="Calibri" w:hAnsi="Calibri"/>
          <w:color w:val="D1D5DB"/>
          <w:sz w:val="22"/>
          <w:szCs w:val="22"/>
        </w:rPr>
        <w:t xml:space="preserve">________________________________________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1B1B1E"/>
          <w:sz w:val="20"/>
          <w:szCs w:val="20"/>
        </w:rPr>
        <w:t xml:space="preserve">Started on</w:t>
      </w:r>
    </w:p>
    <w:p>
      <w:pPr>
        <w:spacing w:after="120" w:before="0"/>
      </w:pPr>
      <w:r>
        <w:rPr>
          <w:rFonts w:ascii="Calibri" w:cs="Calibri" w:eastAsia="Calibri" w:hAnsi="Calibri"/>
          <w:color w:val="D1D5DB"/>
          <w:sz w:val="22"/>
          <w:szCs w:val="22"/>
        </w:rPr>
        <w:t xml:space="preserve">________________________________________</w:t>
      </w:r>
    </w:p>
    <w:p>
      <w:pPr>
        <w:spacing w:after="400"/>
      </w:pPr>
      <w:r>
        <w:rPr>
          <w:rFonts w:ascii="Calibri" w:cs="Calibri" w:eastAsia="Calibri" w:hAnsi="Calibri"/>
          <w:color w:val="1B1B1E"/>
          <w:sz w:val="22"/>
          <w:szCs w:val="22"/>
        </w:rPr>
        <w:t xml:space="preserve"> </w:t>
      </w:r>
    </w:p>
    <w:p>
      <w:pPr>
        <w:spacing w:after="120" w:before="0"/>
      </w:pPr>
      <w:r>
        <w:rPr>
          <w:rFonts w:ascii="Calibri" w:cs="Calibri" w:eastAsia="Calibri" w:hAnsi="Calibri"/>
          <w:color w:val="6B7280"/>
          <w:sz w:val="21"/>
          <w:szCs w:val="21"/>
        </w:rPr>
        <w:t xml:space="preserve">Print it, or type straight into it.</w:t>
      </w:r>
    </w:p>
    <w:p>
      <w:r>
        <w:br w:type="page"/>
      </w:r>
    </w:p>
    <w:p>
      <w:pPr>
        <w:pStyle w:val="Heading1"/>
        <w:spacing w:after="240" w:before="0"/>
      </w:pPr>
      <w:r>
        <w:rPr>
          <w:rFonts w:ascii="Georgia" w:cs="Georgia" w:eastAsia="Georgia" w:hAnsi="Georgia"/>
          <w:b/>
          <w:bCs/>
          <w:color w:val="1B1B1E"/>
          <w:sz w:val="40"/>
          <w:szCs w:val="40"/>
        </w:rPr>
        <w:t xml:space="preserve">What’s in here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5460"/>
        <w:gridCol w:w="600"/>
      </w:tblGrid>
      <w:tr>
        <w:tc>
          <w:tcPr>
            <w:tcW w:type="dxa" w:w="3300"/>
            <w:tcBorders>
              <w:top w:val="none"/>
              <w:left w:val="none"/>
              <w:bottom w:val="single" w:color="D1D5DB" w:sz="4"/>
              <w:right w:val="none"/>
            </w:tcBorders>
            <w:tcMar>
              <w:top w:type="dxa" w:w="130"/>
              <w:left w:type="dxa" w:w="40"/>
              <w:bottom w:type="dxa" w:w="13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2"/>
                <w:szCs w:val="22"/>
              </w:rPr>
              <w:t xml:space="preserve">Your starting line</w:t>
            </w:r>
          </w:p>
        </w:tc>
        <w:tc>
          <w:tcPr>
            <w:tcW w:type="dxa" w:w="5460"/>
            <w:tcBorders>
              <w:top w:val="none"/>
              <w:left w:val="none"/>
              <w:bottom w:val="single" w:color="D1D5DB" w:sz="4"/>
              <w:right w:val="none"/>
            </w:tcBorders>
            <w:tcMar>
              <w:top w:type="dxa" w:w="130"/>
              <w:left w:type="dxa" w:w="0"/>
              <w:bottom w:type="dxa" w:w="13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22"/>
                <w:szCs w:val="22"/>
              </w:rPr>
              <w:t xml:space="preserve">What an hour of your work pays now, and the number the next job has to clear</w:t>
            </w:r>
          </w:p>
        </w:tc>
        <w:tc>
          <w:tcPr>
            <w:tcW w:type="dxa" w:w="600"/>
            <w:tcBorders>
              <w:top w:val="none"/>
              <w:left w:val="none"/>
              <w:bottom w:val="single" w:color="D1D5DB" w:sz="4"/>
              <w:right w:val="none"/>
            </w:tcBorders>
            <w:tcMar>
              <w:top w:type="dxa" w:w="130"/>
              <w:left w:type="dxa" w:w="0"/>
              <w:bottom w:type="dxa" w:w="130"/>
              <w:right w:type="dxa" w:w="0"/>
            </w:tcMar>
          </w:tcPr>
          <w:p>
            <w:pPr>
              <w:spacing w:after="0"/>
              <w:jc w:val="right"/>
            </w:pPr>
            <w:r>
              <w:rPr>
                <w:rFonts w:ascii="Segoe UI Symbol" w:cs="Segoe UI Symbol" w:eastAsia="Segoe UI Symbol" w:hAnsi="Segoe UI Symbol"/>
                <w:color w:val="40916C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3300"/>
            <w:tcBorders>
              <w:top w:val="none"/>
              <w:left w:val="none"/>
              <w:bottom w:val="single" w:color="D1D5DB" w:sz="4"/>
              <w:right w:val="none"/>
            </w:tcBorders>
            <w:tcMar>
              <w:top w:type="dxa" w:w="130"/>
              <w:left w:type="dxa" w:w="40"/>
              <w:bottom w:type="dxa" w:w="13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2"/>
                <w:szCs w:val="22"/>
              </w:rPr>
              <w:t xml:space="preserve">Bad week, or time to go</w:t>
            </w:r>
          </w:p>
        </w:tc>
        <w:tc>
          <w:tcPr>
            <w:tcW w:type="dxa" w:w="5460"/>
            <w:tcBorders>
              <w:top w:val="none"/>
              <w:left w:val="none"/>
              <w:bottom w:val="single" w:color="D1D5DB" w:sz="4"/>
              <w:right w:val="none"/>
            </w:tcBorders>
            <w:tcMar>
              <w:top w:type="dxa" w:w="130"/>
              <w:left w:type="dxa" w:w="0"/>
              <w:bottom w:type="dxa" w:w="13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22"/>
                <w:szCs w:val="22"/>
              </w:rPr>
              <w:t xml:space="preserve">Answer the same thing in week 1, 6 and 12 so one bad Tuesday does not decide it</w:t>
            </w:r>
          </w:p>
        </w:tc>
        <w:tc>
          <w:tcPr>
            <w:tcW w:type="dxa" w:w="600"/>
            <w:tcBorders>
              <w:top w:val="none"/>
              <w:left w:val="none"/>
              <w:bottom w:val="single" w:color="D1D5DB" w:sz="4"/>
              <w:right w:val="none"/>
            </w:tcBorders>
            <w:tcMar>
              <w:top w:type="dxa" w:w="130"/>
              <w:left w:type="dxa" w:w="0"/>
              <w:bottom w:type="dxa" w:w="130"/>
              <w:right w:type="dxa" w:w="0"/>
            </w:tcMar>
          </w:tcPr>
          <w:p>
            <w:pPr>
              <w:spacing w:after="0"/>
              <w:jc w:val="right"/>
            </w:pPr>
            <w:r>
              <w:rPr>
                <w:rFonts w:ascii="Segoe UI Symbol" w:cs="Segoe UI Symbol" w:eastAsia="Segoe UI Symbol" w:hAnsi="Segoe UI Symbol"/>
                <w:color w:val="40916C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3300"/>
            <w:tcBorders>
              <w:top w:val="none"/>
              <w:left w:val="none"/>
              <w:bottom w:val="single" w:color="D1D5DB" w:sz="4"/>
              <w:right w:val="none"/>
            </w:tcBorders>
            <w:tcMar>
              <w:top w:type="dxa" w:w="130"/>
              <w:left w:type="dxa" w:w="40"/>
              <w:bottom w:type="dxa" w:w="13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2"/>
                <w:szCs w:val="22"/>
              </w:rPr>
              <w:t xml:space="preserve">Why leaving isn’t a wasted degree</w:t>
            </w:r>
          </w:p>
        </w:tc>
        <w:tc>
          <w:tcPr>
            <w:tcW w:type="dxa" w:w="5460"/>
            <w:tcBorders>
              <w:top w:val="none"/>
              <w:left w:val="none"/>
              <w:bottom w:val="single" w:color="D1D5DB" w:sz="4"/>
              <w:right w:val="none"/>
            </w:tcBorders>
            <w:tcMar>
              <w:top w:type="dxa" w:w="130"/>
              <w:left w:type="dxa" w:w="0"/>
              <w:bottom w:type="dxa" w:w="13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22"/>
                <w:szCs w:val="22"/>
              </w:rPr>
              <w:t xml:space="preserve">Why the years and the debt already spent are not a reason to stay</w:t>
            </w:r>
          </w:p>
        </w:tc>
        <w:tc>
          <w:tcPr>
            <w:tcW w:type="dxa" w:w="600"/>
            <w:tcBorders>
              <w:top w:val="none"/>
              <w:left w:val="none"/>
              <w:bottom w:val="single" w:color="D1D5DB" w:sz="4"/>
              <w:right w:val="none"/>
            </w:tcBorders>
            <w:tcMar>
              <w:top w:type="dxa" w:w="130"/>
              <w:left w:type="dxa" w:w="0"/>
              <w:bottom w:type="dxa" w:w="130"/>
              <w:right w:type="dxa" w:w="0"/>
            </w:tcMar>
          </w:tcPr>
          <w:p>
            <w:pPr>
              <w:spacing w:after="0"/>
              <w:jc w:val="right"/>
            </w:pPr>
            <w:r>
              <w:rPr>
                <w:rFonts w:ascii="Segoe UI Symbol" w:cs="Segoe UI Symbol" w:eastAsia="Segoe UI Symbol" w:hAnsi="Segoe UI Symbol"/>
                <w:color w:val="40916C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3300"/>
            <w:tcBorders>
              <w:top w:val="none"/>
              <w:left w:val="none"/>
              <w:bottom w:val="single" w:color="D1D5DB" w:sz="4"/>
              <w:right w:val="none"/>
            </w:tcBorders>
            <w:tcMar>
              <w:top w:type="dxa" w:w="130"/>
              <w:left w:type="dxa" w:w="40"/>
              <w:bottom w:type="dxa" w:w="13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2"/>
                <w:szCs w:val="22"/>
              </w:rPr>
              <w:t xml:space="preserve">Your why, in writing</w:t>
            </w:r>
          </w:p>
        </w:tc>
        <w:tc>
          <w:tcPr>
            <w:tcW w:type="dxa" w:w="5460"/>
            <w:tcBorders>
              <w:top w:val="none"/>
              <w:left w:val="none"/>
              <w:bottom w:val="single" w:color="D1D5DB" w:sz="4"/>
              <w:right w:val="none"/>
            </w:tcBorders>
            <w:tcMar>
              <w:top w:type="dxa" w:w="130"/>
              <w:left w:type="dxa" w:w="0"/>
              <w:bottom w:type="dxa" w:w="13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22"/>
                <w:szCs w:val="22"/>
              </w:rPr>
              <w:t xml:space="preserve">What you actually want to leave, so you know what to look for in the next job</w:t>
            </w:r>
          </w:p>
        </w:tc>
        <w:tc>
          <w:tcPr>
            <w:tcW w:type="dxa" w:w="600"/>
            <w:tcBorders>
              <w:top w:val="none"/>
              <w:left w:val="none"/>
              <w:bottom w:val="single" w:color="D1D5DB" w:sz="4"/>
              <w:right w:val="none"/>
            </w:tcBorders>
            <w:tcMar>
              <w:top w:type="dxa" w:w="130"/>
              <w:left w:type="dxa" w:w="0"/>
              <w:bottom w:type="dxa" w:w="130"/>
              <w:right w:type="dxa" w:w="0"/>
            </w:tcMar>
          </w:tcPr>
          <w:p>
            <w:pPr>
              <w:spacing w:after="0"/>
              <w:jc w:val="right"/>
            </w:pPr>
            <w:r>
              <w:rPr>
                <w:rFonts w:ascii="Segoe UI Symbol" w:cs="Segoe UI Symbol" w:eastAsia="Segoe UI Symbol" w:hAnsi="Segoe UI Symbol"/>
                <w:color w:val="40916C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3300"/>
            <w:tcBorders>
              <w:top w:val="none"/>
              <w:left w:val="none"/>
              <w:bottom w:val="single" w:color="D1D5DB" w:sz="4"/>
              <w:right w:val="none"/>
            </w:tcBorders>
            <w:tcMar>
              <w:top w:type="dxa" w:w="130"/>
              <w:left w:type="dxa" w:w="40"/>
              <w:bottom w:type="dxa" w:w="13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2"/>
                <w:szCs w:val="22"/>
              </w:rPr>
              <w:t xml:space="preserve">What you’ll miss</w:t>
            </w:r>
          </w:p>
        </w:tc>
        <w:tc>
          <w:tcPr>
            <w:tcW w:type="dxa" w:w="5460"/>
            <w:tcBorders>
              <w:top w:val="none"/>
              <w:left w:val="none"/>
              <w:bottom w:val="single" w:color="D1D5DB" w:sz="4"/>
              <w:right w:val="none"/>
            </w:tcBorders>
            <w:tcMar>
              <w:top w:type="dxa" w:w="130"/>
              <w:left w:type="dxa" w:w="0"/>
              <w:bottom w:type="dxa" w:w="13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22"/>
                <w:szCs w:val="22"/>
              </w:rPr>
              <w:t xml:space="preserve">What you give up by leaving, and which parts you can keep anyway</w:t>
            </w:r>
          </w:p>
        </w:tc>
        <w:tc>
          <w:tcPr>
            <w:tcW w:type="dxa" w:w="600"/>
            <w:tcBorders>
              <w:top w:val="none"/>
              <w:left w:val="none"/>
              <w:bottom w:val="single" w:color="D1D5DB" w:sz="4"/>
              <w:right w:val="none"/>
            </w:tcBorders>
            <w:tcMar>
              <w:top w:type="dxa" w:w="130"/>
              <w:left w:type="dxa" w:w="0"/>
              <w:bottom w:type="dxa" w:w="130"/>
              <w:right w:type="dxa" w:w="0"/>
            </w:tcMar>
          </w:tcPr>
          <w:p>
            <w:pPr>
              <w:spacing w:after="0"/>
              <w:jc w:val="right"/>
            </w:pPr>
            <w:r>
              <w:rPr>
                <w:rFonts w:ascii="Segoe UI Symbol" w:cs="Segoe UI Symbol" w:eastAsia="Segoe UI Symbol" w:hAnsi="Segoe UI Symbol"/>
                <w:color w:val="40916C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3300"/>
            <w:tcBorders>
              <w:top w:val="none"/>
              <w:left w:val="none"/>
              <w:bottom w:val="single" w:color="D1D5DB" w:sz="4"/>
              <w:right w:val="none"/>
            </w:tcBorders>
            <w:tcMar>
              <w:top w:type="dxa" w:w="130"/>
              <w:left w:type="dxa" w:w="40"/>
              <w:bottom w:type="dxa" w:w="13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2"/>
                <w:szCs w:val="22"/>
              </w:rPr>
              <w:t xml:space="preserve">Telling the first person</w:t>
            </w:r>
          </w:p>
        </w:tc>
        <w:tc>
          <w:tcPr>
            <w:tcW w:type="dxa" w:w="5460"/>
            <w:tcBorders>
              <w:top w:val="none"/>
              <w:left w:val="none"/>
              <w:bottom w:val="single" w:color="D1D5DB" w:sz="4"/>
              <w:right w:val="none"/>
            </w:tcBorders>
            <w:tcMar>
              <w:top w:type="dxa" w:w="130"/>
              <w:left w:type="dxa" w:w="0"/>
              <w:bottom w:type="dxa" w:w="13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22"/>
                <w:szCs w:val="22"/>
              </w:rPr>
              <w:t xml:space="preserve">Say it out loud to one person, and plan exactly what you’ll say first</w:t>
            </w:r>
          </w:p>
        </w:tc>
        <w:tc>
          <w:tcPr>
            <w:tcW w:type="dxa" w:w="600"/>
            <w:tcBorders>
              <w:top w:val="none"/>
              <w:left w:val="none"/>
              <w:bottom w:val="single" w:color="D1D5DB" w:sz="4"/>
              <w:right w:val="none"/>
            </w:tcBorders>
            <w:tcMar>
              <w:top w:type="dxa" w:w="130"/>
              <w:left w:type="dxa" w:w="0"/>
              <w:bottom w:type="dxa" w:w="130"/>
              <w:right w:type="dxa" w:w="0"/>
            </w:tcMar>
          </w:tcPr>
          <w:p>
            <w:pPr>
              <w:spacing w:after="0"/>
              <w:jc w:val="right"/>
            </w:pPr>
            <w:r>
              <w:rPr>
                <w:rFonts w:ascii="Segoe UI Symbol" w:cs="Segoe UI Symbol" w:eastAsia="Segoe UI Symbol" w:hAnsi="Segoe UI Symbol"/>
                <w:color w:val="40916C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3300"/>
            <w:tcBorders>
              <w:top w:val="none"/>
              <w:left w:val="none"/>
              <w:bottom w:val="single" w:color="D1D5DB" w:sz="4"/>
              <w:right w:val="none"/>
            </w:tcBorders>
            <w:tcMar>
              <w:top w:type="dxa" w:w="130"/>
              <w:left w:type="dxa" w:w="40"/>
              <w:bottom w:type="dxa" w:w="13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2"/>
                <w:szCs w:val="22"/>
              </w:rPr>
              <w:t xml:space="preserve">Kept private</w:t>
            </w:r>
          </w:p>
        </w:tc>
        <w:tc>
          <w:tcPr>
            <w:tcW w:type="dxa" w:w="5460"/>
            <w:tcBorders>
              <w:top w:val="none"/>
              <w:left w:val="none"/>
              <w:bottom w:val="single" w:color="D1D5DB" w:sz="4"/>
              <w:right w:val="none"/>
            </w:tcBorders>
            <w:tcMar>
              <w:top w:type="dxa" w:w="130"/>
              <w:left w:type="dxa" w:w="0"/>
              <w:bottom w:type="dxa" w:w="13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22"/>
                <w:szCs w:val="22"/>
              </w:rPr>
              <w:t xml:space="preserve">Six settings to change before anyone at work can guess, and your staff-room sentence</w:t>
            </w:r>
          </w:p>
        </w:tc>
        <w:tc>
          <w:tcPr>
            <w:tcW w:type="dxa" w:w="600"/>
            <w:tcBorders>
              <w:top w:val="none"/>
              <w:left w:val="none"/>
              <w:bottom w:val="single" w:color="D1D5DB" w:sz="4"/>
              <w:right w:val="none"/>
            </w:tcBorders>
            <w:tcMar>
              <w:top w:type="dxa" w:w="130"/>
              <w:left w:type="dxa" w:w="0"/>
              <w:bottom w:type="dxa" w:w="130"/>
              <w:right w:type="dxa" w:w="0"/>
            </w:tcMar>
          </w:tcPr>
          <w:p>
            <w:pPr>
              <w:spacing w:after="0"/>
              <w:jc w:val="right"/>
            </w:pPr>
            <w:r>
              <w:rPr>
                <w:rFonts w:ascii="Segoe UI Symbol" w:cs="Segoe UI Symbol" w:eastAsia="Segoe UI Symbol" w:hAnsi="Segoe UI Symbol"/>
                <w:color w:val="40916C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3300"/>
            <w:tcBorders>
              <w:top w:val="none"/>
              <w:left w:val="none"/>
              <w:bottom w:val="single" w:color="D1D5DB" w:sz="4"/>
              <w:right w:val="none"/>
            </w:tcBorders>
            <w:tcMar>
              <w:top w:type="dxa" w:w="130"/>
              <w:left w:type="dxa" w:w="40"/>
              <w:bottom w:type="dxa" w:w="13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2"/>
                <w:szCs w:val="22"/>
              </w:rPr>
              <w:t xml:space="preserve">Informational interview sheet</w:t>
            </w:r>
          </w:p>
        </w:tc>
        <w:tc>
          <w:tcPr>
            <w:tcW w:type="dxa" w:w="5460"/>
            <w:tcBorders>
              <w:top w:val="none"/>
              <w:left w:val="none"/>
              <w:bottom w:val="single" w:color="D1D5DB" w:sz="4"/>
              <w:right w:val="none"/>
            </w:tcBorders>
            <w:tcMar>
              <w:top w:type="dxa" w:w="130"/>
              <w:left w:type="dxa" w:w="0"/>
              <w:bottom w:type="dxa" w:w="13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22"/>
                <w:szCs w:val="22"/>
              </w:rPr>
              <w:t xml:space="preserve">What to ask someone who already left, and how to turn one call into two</w:t>
            </w:r>
          </w:p>
        </w:tc>
        <w:tc>
          <w:tcPr>
            <w:tcW w:type="dxa" w:w="600"/>
            <w:tcBorders>
              <w:top w:val="none"/>
              <w:left w:val="none"/>
              <w:bottom w:val="single" w:color="D1D5DB" w:sz="4"/>
              <w:right w:val="none"/>
            </w:tcBorders>
            <w:tcMar>
              <w:top w:type="dxa" w:w="130"/>
              <w:left w:type="dxa" w:w="0"/>
              <w:bottom w:type="dxa" w:w="130"/>
              <w:right w:type="dxa" w:w="0"/>
            </w:tcMar>
          </w:tcPr>
          <w:p>
            <w:pPr>
              <w:spacing w:after="0"/>
              <w:jc w:val="right"/>
            </w:pPr>
            <w:r>
              <w:rPr>
                <w:rFonts w:ascii="Segoe UI Symbol" w:cs="Segoe UI Symbol" w:eastAsia="Segoe UI Symbol" w:hAnsi="Segoe UI Symbol"/>
                <w:color w:val="40916C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3300"/>
            <w:tcBorders>
              <w:top w:val="none"/>
              <w:left w:val="none"/>
              <w:bottom w:val="single" w:color="D1D5DB" w:sz="4"/>
              <w:right w:val="none"/>
            </w:tcBorders>
            <w:tcMar>
              <w:top w:type="dxa" w:w="130"/>
              <w:left w:type="dxa" w:w="40"/>
              <w:bottom w:type="dxa" w:w="13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2"/>
                <w:szCs w:val="22"/>
              </w:rPr>
              <w:t xml:space="preserve">Interview prep on one page</w:t>
            </w:r>
          </w:p>
        </w:tc>
        <w:tc>
          <w:tcPr>
            <w:tcW w:type="dxa" w:w="5460"/>
            <w:tcBorders>
              <w:top w:val="none"/>
              <w:left w:val="none"/>
              <w:bottom w:val="single" w:color="D1D5DB" w:sz="4"/>
              <w:right w:val="none"/>
            </w:tcBorders>
            <w:tcMar>
              <w:top w:type="dxa" w:w="130"/>
              <w:left w:type="dxa" w:w="0"/>
              <w:bottom w:type="dxa" w:w="13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22"/>
                <w:szCs w:val="22"/>
              </w:rPr>
              <w:t xml:space="preserve">Your 45-second intro, and answering ‘why are you leaving’ without saying burnout</w:t>
            </w:r>
          </w:p>
        </w:tc>
        <w:tc>
          <w:tcPr>
            <w:tcW w:type="dxa" w:w="600"/>
            <w:tcBorders>
              <w:top w:val="none"/>
              <w:left w:val="none"/>
              <w:bottom w:val="single" w:color="D1D5DB" w:sz="4"/>
              <w:right w:val="none"/>
            </w:tcBorders>
            <w:tcMar>
              <w:top w:type="dxa" w:w="130"/>
              <w:left w:type="dxa" w:w="0"/>
              <w:bottom w:type="dxa" w:w="130"/>
              <w:right w:type="dxa" w:w="0"/>
            </w:tcMar>
          </w:tcPr>
          <w:p>
            <w:pPr>
              <w:spacing w:after="0"/>
              <w:jc w:val="right"/>
            </w:pPr>
            <w:r>
              <w:rPr>
                <w:rFonts w:ascii="Segoe UI Symbol" w:cs="Segoe UI Symbol" w:eastAsia="Segoe UI Symbol" w:hAnsi="Segoe UI Symbol"/>
                <w:color w:val="40916C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3300"/>
            <w:tcBorders>
              <w:top w:val="none"/>
              <w:left w:val="none"/>
              <w:bottom w:val="single" w:color="D1D5DB" w:sz="4"/>
              <w:right w:val="none"/>
            </w:tcBorders>
            <w:tcMar>
              <w:top w:type="dxa" w:w="130"/>
              <w:left w:type="dxa" w:w="40"/>
              <w:bottom w:type="dxa" w:w="13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2"/>
                <w:szCs w:val="22"/>
              </w:rPr>
              <w:t xml:space="preserve">Negotiating the offer</w:t>
            </w:r>
          </w:p>
        </w:tc>
        <w:tc>
          <w:tcPr>
            <w:tcW w:type="dxa" w:w="5460"/>
            <w:tcBorders>
              <w:top w:val="none"/>
              <w:left w:val="none"/>
              <w:bottom w:val="single" w:color="D1D5DB" w:sz="4"/>
              <w:right w:val="none"/>
            </w:tcBorders>
            <w:tcMar>
              <w:top w:type="dxa" w:w="130"/>
              <w:left w:type="dxa" w:w="0"/>
              <w:bottom w:type="dxa" w:w="13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22"/>
                <w:szCs w:val="22"/>
              </w:rPr>
              <w:t xml:space="preserve">Your opening number and your walk-away floor, decided before the phone rings</w:t>
            </w:r>
          </w:p>
        </w:tc>
        <w:tc>
          <w:tcPr>
            <w:tcW w:type="dxa" w:w="600"/>
            <w:tcBorders>
              <w:top w:val="none"/>
              <w:left w:val="none"/>
              <w:bottom w:val="single" w:color="D1D5DB" w:sz="4"/>
              <w:right w:val="none"/>
            </w:tcBorders>
            <w:tcMar>
              <w:top w:type="dxa" w:w="130"/>
              <w:left w:type="dxa" w:w="0"/>
              <w:bottom w:type="dxa" w:w="130"/>
              <w:right w:type="dxa" w:w="0"/>
            </w:tcMar>
          </w:tcPr>
          <w:p>
            <w:pPr>
              <w:spacing w:after="0"/>
              <w:jc w:val="right"/>
            </w:pPr>
            <w:r>
              <w:rPr>
                <w:rFonts w:ascii="Segoe UI Symbol" w:cs="Segoe UI Symbol" w:eastAsia="Segoe UI Symbol" w:hAnsi="Segoe UI Symbol"/>
                <w:color w:val="40916C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3300"/>
            <w:tcBorders>
              <w:top w:val="none"/>
              <w:left w:val="none"/>
              <w:bottom w:val="single" w:color="D1D5DB" w:sz="4"/>
              <w:right w:val="none"/>
            </w:tcBorders>
            <w:tcMar>
              <w:top w:type="dxa" w:w="130"/>
              <w:left w:type="dxa" w:w="40"/>
              <w:bottom w:type="dxa" w:w="13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2"/>
                <w:szCs w:val="22"/>
              </w:rPr>
              <w:t xml:space="preserve">Six months in</w:t>
            </w:r>
          </w:p>
        </w:tc>
        <w:tc>
          <w:tcPr>
            <w:tcW w:type="dxa" w:w="5460"/>
            <w:tcBorders>
              <w:top w:val="none"/>
              <w:left w:val="none"/>
              <w:bottom w:val="single" w:color="D1D5DB" w:sz="4"/>
              <w:right w:val="none"/>
            </w:tcBorders>
            <w:tcMar>
              <w:top w:type="dxa" w:w="130"/>
              <w:left w:type="dxa" w:w="0"/>
              <w:bottom w:type="dxa" w:w="13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22"/>
                <w:szCs w:val="22"/>
              </w:rPr>
              <w:t xml:space="preserve">What’s different on a Tuesday now, and what you’d tell someone in week one</w:t>
            </w:r>
          </w:p>
        </w:tc>
        <w:tc>
          <w:tcPr>
            <w:tcW w:type="dxa" w:w="600"/>
            <w:tcBorders>
              <w:top w:val="none"/>
              <w:left w:val="none"/>
              <w:bottom w:val="single" w:color="D1D5DB" w:sz="4"/>
              <w:right w:val="none"/>
            </w:tcBorders>
            <w:tcMar>
              <w:top w:type="dxa" w:w="130"/>
              <w:left w:type="dxa" w:w="0"/>
              <w:bottom w:type="dxa" w:w="130"/>
              <w:right w:type="dxa" w:w="0"/>
            </w:tcMar>
          </w:tcPr>
          <w:p>
            <w:pPr>
              <w:spacing w:after="0"/>
              <w:jc w:val="right"/>
            </w:pPr>
            <w:r>
              <w:rPr>
                <w:rFonts w:ascii="Segoe UI Symbol" w:cs="Segoe UI Symbol" w:eastAsia="Segoe UI Symbol" w:hAnsi="Segoe UI Symbol"/>
                <w:color w:val="40916C"/>
                <w:sz w:val="24"/>
                <w:szCs w:val="24"/>
              </w:rPr>
              <w:t xml:space="preserve">☐</w:t>
            </w:r>
          </w:p>
        </w:tc>
      </w:tr>
    </w:tbl>
    <w:p>
      <w:pPr>
        <w:spacing w:after="400"/>
      </w:pPr>
      <w:r>
        <w:rPr>
          <w:rFonts w:ascii="Calibri" w:cs="Calibri" w:eastAsia="Calibri" w:hAnsi="Calibri"/>
          <w:color w:val="1B1B1E"/>
          <w:sz w:val="22"/>
          <w:szCs w:val="22"/>
        </w:rP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D6A4F" w:sz="24"/>
              <w:bottom w:val="none"/>
              <w:right w:val="none"/>
            </w:tcBorders>
            <w:shd w:fill="F0FAF3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Do the lesson on screen first. It does the maths, the sorting and the ranking, and it keeps your answers.</w:t>
            </w:r>
          </w:p>
        </w:tc>
      </w:tr>
    </w:tbl>
    <w:p>
      <w:pPr>
        <w:spacing w:after="12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D6A4F" w:sz="24"/>
              <w:bottom w:val="none"/>
              <w:right w:val="none"/>
            </w:tcBorders>
            <w:shd w:fill="F0FAF3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Write badly. Fragments, half-sentences, a list. If you catch yourself drafting sentences, you have switched into work mode.</w:t>
            </w:r>
          </w:p>
        </w:tc>
      </w:tr>
    </w:tbl>
    <w:p>
      <w:r>
        <w:br w:type="page"/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2D6A4F"/>
          <w:spacing w:val="30"/>
          <w:sz w:val="17"/>
          <w:szCs w:val="17"/>
        </w:rPr>
        <w:t xml:space="preserve">LESSON 0.2 · THE MONEY PAGE</w:t>
      </w:r>
    </w:p>
    <w:p>
      <w:pPr>
        <w:pStyle w:val="Heading1"/>
        <w:spacing w:after="60" w:before="0"/>
      </w:pPr>
      <w:r>
        <w:rPr>
          <w:rFonts w:ascii="Georgia" w:cs="Georgia" w:eastAsia="Georgia" w:hAnsi="Georgia"/>
          <w:b/>
          <w:bCs/>
          <w:color w:val="1B1B1E"/>
          <w:sz w:val="40"/>
          <w:szCs w:val="40"/>
        </w:rPr>
        <w:t xml:space="preserve">Your starting line</w:t>
      </w:r>
    </w:p>
    <w:p>
      <w:pPr>
        <w:spacing w:after="320" w:before="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What an hour of your work pays now, and the number the next job has to clear. The lesson does the arithmetic; write the answers here.</w:t>
      </w:r>
    </w:p>
    <w:p>
      <w:pPr>
        <w:pStyle w:val="Heading2"/>
        <w:spacing w:after="140" w:before="360"/>
      </w:pPr>
      <w:r>
        <w:rPr>
          <w:rFonts w:ascii="Calibri" w:cs="Calibri" w:eastAsia="Calibri" w:hAnsi="Calibri"/>
          <w:b/>
          <w:bCs/>
          <w:color w:val="1B1B1E"/>
          <w:sz w:val="24"/>
          <w:szCs w:val="24"/>
        </w:rPr>
        <w:t xml:space="preserve">What an hour pays now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Salary now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Gross, before tax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Hours in a real week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Including the evenings and the Sunday notes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Weeks worked a year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A school year is about 39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Your real hourly rate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Salary divided by hours times weeks. The lesson shows it, and what the same salary pays at forty hours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pStyle w:val="Heading2"/>
        <w:spacing w:after="140" w:before="360"/>
      </w:pPr>
      <w:r>
        <w:rPr>
          <w:rFonts w:ascii="Calibri" w:cs="Calibri" w:eastAsia="Calibri" w:hAnsi="Calibri"/>
          <w:b/>
          <w:bCs/>
          <w:color w:val="1B1B1E"/>
          <w:sz w:val="24"/>
          <w:szCs w:val="24"/>
        </w:rPr>
        <w:t xml:space="preserve">The number the next job has to clear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Monthly expenses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The real month, not the good one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Tax you assume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Federal, state and the 7.65% payroll share. Your guess, as a percentage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The annual floor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Expenses times twelve, grossed up for the tax. Below this you decline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The date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When you want to be somewhere else. A month and a year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r>
        <w:br w:type="page"/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2D6A4F"/>
          <w:spacing w:val="30"/>
          <w:sz w:val="17"/>
          <w:szCs w:val="17"/>
        </w:rPr>
        <w:t xml:space="preserve">LESSON 0.2 · THE TRADES</w:t>
      </w:r>
    </w:p>
    <w:p>
      <w:pPr>
        <w:pStyle w:val="Heading1"/>
        <w:spacing w:after="60" w:before="0"/>
      </w:pPr>
      <w:r>
        <w:rPr>
          <w:rFonts w:ascii="Georgia" w:cs="Georgia" w:eastAsia="Georgia" w:hAnsi="Georgia"/>
          <w:b/>
          <w:bCs/>
          <w:color w:val="1B1B1E"/>
          <w:sz w:val="40"/>
          <w:szCs w:val="40"/>
        </w:rPr>
        <w:t xml:space="preserve">What you would trade to get there</w:t>
      </w:r>
    </w:p>
    <w:p>
      <w:pPr>
        <w:spacing w:after="320" w:before="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Tick the ones that are genuinely on the table. The lesson uses these to rule paths in and out.</w:t>
      </w:r>
    </w:p>
    <w:p>
      <w:pPr>
        <w:spacing w:after="120"/>
      </w:pPr>
      <w:r>
        <w:rPr>
          <w:rFonts w:ascii="Segoe UI Symbol" w:cs="Segoe UI Symbol" w:eastAsia="Segoe UI Symbol" w:hAnsi="Segoe UI Symbol"/>
          <w:color w:val="2D6A4F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1B1B1E"/>
          <w:sz w:val="22"/>
          <w:szCs w:val="22"/>
        </w:rPr>
        <w:t xml:space="preserve">Move city or state</w:t>
      </w:r>
    </w:p>
    <w:p>
      <w:pPr>
        <w:spacing w:after="120"/>
      </w:pPr>
      <w:r>
        <w:rPr>
          <w:rFonts w:ascii="Segoe UI Symbol" w:cs="Segoe UI Symbol" w:eastAsia="Segoe UI Symbol" w:hAnsi="Segoe UI Symbol"/>
          <w:color w:val="2D6A4F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1B1B1E"/>
          <w:sz w:val="22"/>
          <w:szCs w:val="22"/>
        </w:rPr>
        <w:t xml:space="preserve">Take a pay dip for the first year</w:t>
      </w:r>
    </w:p>
    <w:p>
      <w:pPr>
        <w:spacing w:after="120"/>
      </w:pPr>
      <w:r>
        <w:rPr>
          <w:rFonts w:ascii="Segoe UI Symbol" w:cs="Segoe UI Symbol" w:eastAsia="Segoe UI Symbol" w:hAnsi="Segoe UI Symbol"/>
          <w:color w:val="2D6A4F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1B1B1E"/>
          <w:sz w:val="22"/>
          <w:szCs w:val="22"/>
        </w:rPr>
        <w:t xml:space="preserve">Go without employer benefits for a while</w:t>
      </w:r>
    </w:p>
    <w:p>
      <w:pPr>
        <w:spacing w:after="120"/>
      </w:pPr>
      <w:r>
        <w:rPr>
          <w:rFonts w:ascii="Segoe UI Symbol" w:cs="Segoe UI Symbol" w:eastAsia="Segoe UI Symbol" w:hAnsi="Segoe UI Symbol"/>
          <w:color w:val="2D6A4F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1B1B1E"/>
          <w:sz w:val="22"/>
          <w:szCs w:val="22"/>
        </w:rPr>
        <w:t xml:space="preserve">Commute again</w:t>
      </w:r>
    </w:p>
    <w:p>
      <w:pPr>
        <w:spacing w:after="120"/>
      </w:pPr>
      <w:r>
        <w:rPr>
          <w:rFonts w:ascii="Segoe UI Symbol" w:cs="Segoe UI Symbol" w:eastAsia="Segoe UI Symbol" w:hAnsi="Segoe UI Symbol"/>
          <w:color w:val="2D6A4F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1B1B1E"/>
          <w:sz w:val="22"/>
          <w:szCs w:val="22"/>
        </w:rPr>
        <w:t xml:space="preserve">Give up remote work</w:t>
      </w:r>
    </w:p>
    <w:p>
      <w:pPr>
        <w:spacing w:after="120"/>
      </w:pPr>
      <w:r>
        <w:rPr>
          <w:rFonts w:ascii="Segoe UI Symbol" w:cs="Segoe UI Symbol" w:eastAsia="Segoe UI Symbol" w:hAnsi="Segoe UI Symbol"/>
          <w:color w:val="2D6A4F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1B1B1E"/>
          <w:sz w:val="22"/>
          <w:szCs w:val="22"/>
        </w:rPr>
        <w:t xml:space="preserve">Work in an office with other people every day</w:t>
      </w:r>
    </w:p>
    <w:p>
      <w:pPr>
        <w:spacing w:after="12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The one you ticked that surprised you, and why it is on the table now when it was not a year ago.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3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r>
        <w:br w:type="page"/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2D6A4F"/>
          <w:spacing w:val="30"/>
          <w:sz w:val="17"/>
          <w:szCs w:val="17"/>
        </w:rPr>
        <w:t xml:space="preserve">WEEKS 1, 6 AND 12</w:t>
      </w:r>
    </w:p>
    <w:p>
      <w:pPr>
        <w:pStyle w:val="Heading1"/>
        <w:spacing w:after="60" w:before="0"/>
      </w:pPr>
      <w:r>
        <w:rPr>
          <w:rFonts w:ascii="Georgia" w:cs="Georgia" w:eastAsia="Georgia" w:hAnsi="Georgia"/>
          <w:b/>
          <w:bCs/>
          <w:color w:val="1B1B1E"/>
          <w:sz w:val="40"/>
          <w:szCs w:val="40"/>
        </w:rPr>
        <w:t xml:space="preserve">Bad week, or time to go</w:t>
      </w:r>
    </w:p>
    <w:p>
      <w:pPr>
        <w:spacing w:after="320" w:before="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Answer these in week 1, then again in week 6 and week 12. One bad Tuesday should not be the thing that decides it.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53"/>
        <w:gridCol w:w="2253"/>
        <w:gridCol w:w="2253"/>
      </w:tblGrid>
      <w:tr>
        <w:tc>
          <w:tcPr>
            <w:tcW w:type="dxa" w:w="2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19"/>
                <w:szCs w:val="19"/>
              </w:rPr>
              <w:t xml:space="preserve"/>
            </w:r>
          </w:p>
        </w:tc>
        <w:tc>
          <w:tcPr>
            <w:tcW w:type="dxa" w:w="2253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19"/>
                <w:szCs w:val="19"/>
              </w:rPr>
              <w:t xml:space="preserve">Week 1</w:t>
            </w:r>
          </w:p>
        </w:tc>
        <w:tc>
          <w:tcPr>
            <w:tcW w:type="dxa" w:w="2253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19"/>
                <w:szCs w:val="19"/>
              </w:rPr>
              <w:t xml:space="preserve">Week 6</w:t>
            </w:r>
          </w:p>
        </w:tc>
        <w:tc>
          <w:tcPr>
            <w:tcW w:type="dxa" w:w="2253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19"/>
                <w:szCs w:val="19"/>
              </w:rPr>
              <w:t xml:space="preserve">Week 12</w:t>
            </w:r>
          </w:p>
        </w:tc>
      </w:tr>
      <w:tr>
        <w:trPr>
          <w:trHeight w:val="640" w:hRule="atLeast"/>
        </w:trPr>
        <w:tc>
          <w:tcPr>
            <w:tcW w:type="dxa" w:w="2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0"/>
                <w:szCs w:val="20"/>
              </w:rPr>
              <w:t xml:space="preserve">Date</w:t>
            </w:r>
          </w:p>
        </w:tc>
        <w:tc>
          <w:tcPr>
            <w:tcW w:type="dxa" w:w="2253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  <w:tc>
          <w:tcPr>
            <w:tcW w:type="dxa" w:w="2253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  <w:tc>
          <w:tcPr>
            <w:tcW w:type="dxa" w:w="2253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2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0"/>
                <w:szCs w:val="20"/>
              </w:rPr>
              <w:t xml:space="preserve">The stage you are in</w:t>
            </w:r>
          </w:p>
        </w:tc>
        <w:tc>
          <w:tcPr>
            <w:tcW w:type="dxa" w:w="2253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  <w:tc>
          <w:tcPr>
            <w:tcW w:type="dxa" w:w="2253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  <w:tc>
          <w:tcPr>
            <w:tcW w:type="dxa" w:w="2253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2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0"/>
                <w:szCs w:val="20"/>
              </w:rPr>
              <w:t xml:space="preserve">Bad workplace, bad fit, or bad season</w:t>
            </w:r>
          </w:p>
        </w:tc>
        <w:tc>
          <w:tcPr>
            <w:tcW w:type="dxa" w:w="2253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  <w:tc>
          <w:tcPr>
            <w:tcW w:type="dxa" w:w="2253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  <w:tc>
          <w:tcPr>
            <w:tcW w:type="dxa" w:w="2253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2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0"/>
                <w:szCs w:val="20"/>
              </w:rPr>
              <w:t xml:space="preserve">The path you would name today</w:t>
            </w:r>
          </w:p>
        </w:tc>
        <w:tc>
          <w:tcPr>
            <w:tcW w:type="dxa" w:w="2253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  <w:tc>
          <w:tcPr>
            <w:tcW w:type="dxa" w:w="2253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  <w:tc>
          <w:tcPr>
            <w:tcW w:type="dxa" w:w="2253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2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0"/>
                <w:szCs w:val="20"/>
              </w:rPr>
              <w:t xml:space="preserve">Your pay floor</w:t>
            </w:r>
          </w:p>
        </w:tc>
        <w:tc>
          <w:tcPr>
            <w:tcW w:type="dxa" w:w="2253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  <w:tc>
          <w:tcPr>
            <w:tcW w:type="dxa" w:w="2253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  <w:tc>
          <w:tcPr>
            <w:tcW w:type="dxa" w:w="2253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Where you are going, in one sentence. Write a new one each time rather than editing the old one.</w:t>
      </w:r>
    </w:p>
    <w:p>
      <w:pPr>
        <w:spacing w:after="10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Three sentences by week twelve. The first one is usually about leaving and the last one usually is not.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9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r>
        <w:br w:type="page"/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2D6A4F"/>
          <w:spacing w:val="30"/>
          <w:sz w:val="17"/>
          <w:szCs w:val="17"/>
        </w:rPr>
        <w:t xml:space="preserve">MODULE 1 · SUNK COST</w:t>
      </w:r>
    </w:p>
    <w:p>
      <w:pPr>
        <w:pStyle w:val="Heading1"/>
        <w:spacing w:after="60" w:before="0"/>
      </w:pPr>
      <w:r>
        <w:rPr>
          <w:rFonts w:ascii="Georgia" w:cs="Georgia" w:eastAsia="Georgia" w:hAnsi="Georgia"/>
          <w:b/>
          <w:bCs/>
          <w:color w:val="1B1B1E"/>
          <w:sz w:val="40"/>
          <w:szCs w:val="40"/>
        </w:rPr>
        <w:t xml:space="preserve">Why leaving isn’t a wasted degree</w:t>
      </w:r>
    </w:p>
    <w:p>
      <w:pPr>
        <w:spacing w:after="320" w:before="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The years and the debt are already spent either way. This is where you stop counting them as a reason to stay.</w:t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Write it exactly as it sounds in your head. Not the reasonable version.</w:t>
      </w:r>
    </w:p>
    <w:p>
      <w:pPr>
        <w:spacing w:after="10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It usually starts with “after all that” or “I should be able to”.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3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12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D6A4F" w:sz="24"/>
              <w:bottom w:val="none"/>
              <w:right w:val="none"/>
            </w:tcBorders>
            <w:shd w:fill="F0FAF3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1B1B1E"/>
                <w:sz w:val="22"/>
                <w:szCs w:val="22"/>
              </w:rPr>
              <w:t xml:space="preserve">“I know it's the sunken cost fallacy but it's so hard to quit after putting so much time, money, and effort into this career.”</w:t>
            </w: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   an SLP, r/slp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Who taught you that sentence? A supervisor, a cohort, a parent, yourself at twenty-four.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0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What would you say to a CF who said it to you, word for word?</w:t>
      </w:r>
    </w:p>
    <w:p>
      <w:pPr>
        <w:spacing w:after="10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People are consistently kinder to a hypothetical CF than to themselves. Use the kinder version.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6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r>
        <w:br w:type="page"/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2D6A4F"/>
          <w:spacing w:val="30"/>
          <w:sz w:val="17"/>
          <w:szCs w:val="17"/>
        </w:rPr>
        <w:t xml:space="preserve">MODULE 1 · THE CHECKPOINT</w:t>
      </w:r>
    </w:p>
    <w:p>
      <w:pPr>
        <w:pStyle w:val="Heading1"/>
        <w:spacing w:after="60" w:before="0"/>
      </w:pPr>
      <w:r>
        <w:rPr>
          <w:rFonts w:ascii="Georgia" w:cs="Georgia" w:eastAsia="Georgia" w:hAnsi="Georgia"/>
          <w:b/>
          <w:bCs/>
          <w:color w:val="1B1B1E"/>
          <w:sz w:val="40"/>
          <w:szCs w:val="40"/>
        </w:rPr>
        <w:t xml:space="preserve">Your why, in writing</w:t>
      </w:r>
    </w:p>
    <w:p>
      <w:pPr>
        <w:spacing w:after="320" w:before="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What you want to leave, in your own words, so you know what you are looking for in the next job.</w:t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Everything you want to leave. Names, days, specific meetings, the thing you have never said out loud. Do not soften it.</w:t>
      </w:r>
    </w:p>
    <w:p>
      <w:pPr>
        <w:spacing w:after="10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Nobody reads this.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1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Read it back, and mark the three that would still be true in a different building.</w:t>
      </w:r>
    </w:p>
    <w:p>
      <w:pPr>
        <w:spacing w:after="10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Those three are about the work. Everything else is about this job, and that is a different problem with a faster fix.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3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r>
        <w:br w:type="page"/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2D6A4F"/>
          <w:spacing w:val="30"/>
          <w:sz w:val="17"/>
          <w:szCs w:val="17"/>
        </w:rPr>
        <w:t xml:space="preserve">MODULE 1 · WHAT YOU KEEP</w:t>
      </w:r>
    </w:p>
    <w:p>
      <w:pPr>
        <w:pStyle w:val="Heading1"/>
        <w:spacing w:after="60" w:before="0"/>
      </w:pPr>
      <w:r>
        <w:rPr>
          <w:rFonts w:ascii="Georgia" w:cs="Georgia" w:eastAsia="Georgia" w:hAnsi="Georgia"/>
          <w:b/>
          <w:bCs/>
          <w:color w:val="1B1B1E"/>
          <w:sz w:val="40"/>
          <w:szCs w:val="40"/>
        </w:rPr>
        <w:t xml:space="preserve">What you’ll miss</w:t>
      </w:r>
    </w:p>
    <w:p>
      <w:pPr>
        <w:spacing w:after="320" w:before="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Name it now. The people who skip this are the ones who end up going back.</w:t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Finish the sentence: I will miss being the person who 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3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12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D6A4F" w:sz="24"/>
              <w:bottom w:val="none"/>
              <w:right w:val="none"/>
            </w:tcBorders>
            <w:shd w:fill="F0FAF3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1B1B1E"/>
                <w:sz w:val="22"/>
                <w:szCs w:val="22"/>
              </w:rPr>
              <w:t xml:space="preserve">“I've taken a long time to grieve the loss of who I was in my previous role.”</w:t>
            </w: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   a comment on a former SLP's essay about leaving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Which part of that goes with you into any job? A moment, a person, a session. Be specific.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3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Which part only exists in a clinic, and what will you do about that outside work?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3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r>
        <w:br w:type="page"/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2D6A4F"/>
          <w:spacing w:val="30"/>
          <w:sz w:val="17"/>
          <w:szCs w:val="17"/>
        </w:rPr>
        <w:t xml:space="preserve">MODULE 1 · LESSON 7</w:t>
      </w:r>
    </w:p>
    <w:p>
      <w:pPr>
        <w:pStyle w:val="Heading1"/>
        <w:spacing w:after="60" w:before="0"/>
      </w:pPr>
      <w:r>
        <w:rPr>
          <w:rFonts w:ascii="Georgia" w:cs="Georgia" w:eastAsia="Georgia" w:hAnsi="Georgia"/>
          <w:b/>
          <w:bCs/>
          <w:color w:val="1B1B1E"/>
          <w:sz w:val="40"/>
          <w:szCs w:val="40"/>
        </w:rPr>
        <w:t xml:space="preserve">Telling the first person</w:t>
      </w:r>
    </w:p>
    <w:p>
      <w:pPr>
        <w:spacing w:after="320" w:before="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Say it out loud to one person. Plan who, when, and what you will say.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Who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Not a colleague, if you can avoid it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When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A date, not “soon”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What you plan to say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One sentence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What you actually said, and what they said back.</w:t>
      </w:r>
    </w:p>
    <w:p>
      <w:pPr>
        <w:spacing w:after="10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Fill this in afterwards. People are almost always less surprised than you expect them to be.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9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What changed for you in the hour after.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0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r>
        <w:br w:type="page"/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2D6A4F"/>
          <w:spacing w:val="30"/>
          <w:sz w:val="17"/>
          <w:szCs w:val="17"/>
        </w:rPr>
        <w:t xml:space="preserve">MODULE 1 · LESSON 7, BEFORE YOU SAY IT</w:t>
      </w:r>
    </w:p>
    <w:p>
      <w:pPr>
        <w:pStyle w:val="Heading1"/>
        <w:spacing w:after="60" w:before="0"/>
      </w:pPr>
      <w:r>
        <w:rPr>
          <w:rFonts w:ascii="Georgia" w:cs="Georgia" w:eastAsia="Georgia" w:hAnsi="Georgia"/>
          <w:b/>
          <w:bCs/>
          <w:color w:val="1B1B1E"/>
          <w:sz w:val="40"/>
          <w:szCs w:val="40"/>
        </w:rPr>
        <w:t xml:space="preserve">Kept private</w:t>
      </w:r>
    </w:p>
    <w:p>
      <w:pPr>
        <w:spacing w:after="320" w:before="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Six settings and habits from lesson 1.7, so the search stays yours until you decide otherwise. Tick them as you do them.</w:t>
      </w:r>
    </w:p>
    <w:p>
      <w:pPr>
        <w:spacing w:after="120"/>
      </w:pPr>
      <w:r>
        <w:rPr>
          <w:rFonts w:ascii="Segoe UI Symbol" w:cs="Segoe UI Symbol" w:eastAsia="Segoe UI Symbol" w:hAnsi="Segoe UI Symbol"/>
          <w:color w:val="2D6A4F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1B1B1E"/>
          <w:sz w:val="22"/>
          <w:szCs w:val="22"/>
        </w:rPr>
        <w:t xml:space="preserve">LinkedIn: “Share profile updates with your network” is off</w:t>
      </w:r>
    </w:p>
    <w:p>
      <w:pPr>
        <w:spacing w:after="120"/>
      </w:pPr>
      <w:r>
        <w:rPr>
          <w:rFonts w:ascii="Segoe UI Symbol" w:cs="Segoe UI Symbol" w:eastAsia="Segoe UI Symbol" w:hAnsi="Segoe UI Symbol"/>
          <w:color w:val="2D6A4F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1B1B1E"/>
          <w:sz w:val="22"/>
          <w:szCs w:val="22"/>
        </w:rPr>
        <w:t xml:space="preserve">LinkedIn: Open to Work is set to recruiters only, not the banner</w:t>
      </w:r>
    </w:p>
    <w:p>
      <w:pPr>
        <w:spacing w:after="120"/>
      </w:pPr>
      <w:r>
        <w:rPr>
          <w:rFonts w:ascii="Segoe UI Symbol" w:cs="Segoe UI Symbol" w:eastAsia="Segoe UI Symbol" w:hAnsi="Segoe UI Symbol"/>
          <w:color w:val="2D6A4F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1B1B1E"/>
          <w:sz w:val="22"/>
          <w:szCs w:val="22"/>
        </w:rPr>
        <w:t xml:space="preserve">Applications and job alerts go to a personal email, never the work one</w:t>
      </w:r>
    </w:p>
    <w:p>
      <w:pPr>
        <w:spacing w:after="120"/>
      </w:pPr>
      <w:r>
        <w:rPr>
          <w:rFonts w:ascii="Segoe UI Symbol" w:cs="Segoe UI Symbol" w:eastAsia="Segoe UI Symbol" w:hAnsi="Segoe UI Symbol"/>
          <w:color w:val="2D6A4F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1B1B1E"/>
          <w:sz w:val="22"/>
          <w:szCs w:val="22"/>
        </w:rPr>
        <w:t xml:space="preserve">Nobody at your current job is listed as a reference</w:t>
      </w:r>
    </w:p>
    <w:p>
      <w:pPr>
        <w:spacing w:after="120"/>
      </w:pPr>
      <w:r>
        <w:rPr>
          <w:rFonts w:ascii="Segoe UI Symbol" w:cs="Segoe UI Symbol" w:eastAsia="Segoe UI Symbol" w:hAnsi="Segoe UI Symbol"/>
          <w:color w:val="2D6A4F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1B1B1E"/>
          <w:sz w:val="22"/>
          <w:szCs w:val="22"/>
        </w:rPr>
        <w:t xml:space="preserve">You know your contract window or notice period, and the date it falls on</w:t>
      </w:r>
    </w:p>
    <w:p>
      <w:pPr>
        <w:spacing w:after="120"/>
      </w:pPr>
      <w:r>
        <w:rPr>
          <w:rFonts w:ascii="Segoe UI Symbol" w:cs="Segoe UI Symbol" w:eastAsia="Segoe UI Symbol" w:hAnsi="Segoe UI Symbol"/>
          <w:color w:val="2D6A4F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1B1B1E"/>
          <w:sz w:val="22"/>
          <w:szCs w:val="22"/>
        </w:rPr>
        <w:t xml:space="preserve">The one sentence for the staff room is ready: “I’m looking at what else I could do with my SLP background.”</w:t>
      </w:r>
    </w:p>
    <w:p>
      <w:pPr>
        <w:spacing w:after="12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That sentence in your own words, the way you would actually say it at the copier.</w:t>
      </w:r>
    </w:p>
    <w:p>
      <w:pPr>
        <w:spacing w:after="10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If they ask what: “I don’t know yet. I’m finding out.” True, and it ends the conversation on your terms.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0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r>
        <w:br w:type="page"/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55E75"/>
          <w:spacing w:val="30"/>
          <w:sz w:val="17"/>
          <w:szCs w:val="17"/>
        </w:rPr>
        <w:t xml:space="preserve">MODULE 3 · SHEET 1 OF 2</w:t>
      </w:r>
    </w:p>
    <w:p>
      <w:pPr>
        <w:pStyle w:val="Heading1"/>
        <w:spacing w:after="60" w:before="0"/>
      </w:pPr>
      <w:r>
        <w:rPr>
          <w:rFonts w:ascii="Georgia" w:cs="Georgia" w:eastAsia="Georgia" w:hAnsi="Georgia"/>
          <w:b/>
          <w:bCs/>
          <w:color w:val="1B1B1E"/>
          <w:sz w:val="40"/>
          <w:szCs w:val="40"/>
        </w:rPr>
        <w:t xml:space="preserve">Informational interview sheet</w:t>
      </w:r>
    </w:p>
    <w:p>
      <w:pPr>
        <w:spacing w:after="320" w:before="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Keep this open while you talk. Their answers, in their words.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Who, their title now, and the date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How you found them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How did you get the first one? Walk me through the six months before the offer.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7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What does a Tuesday actually look like?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7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What part of the clinical background turned out to be useful, and what did you drop?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7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Who else should I be talking to?</w:t>
      </w:r>
    </w:p>
    <w:p>
      <w:pPr>
        <w:spacing w:after="10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The question that turns one conversation into two.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7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The sentence you are taking away, and what you do in the next fortnight because of it.</w:t>
      </w:r>
    </w:p>
    <w:p>
      <w:pPr>
        <w:spacing w:after="10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You asked for fifteen minutes. Running over it is the fastest way to not get a second conversation.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7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r>
        <w:br w:type="page"/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55E75"/>
          <w:spacing w:val="30"/>
          <w:sz w:val="17"/>
          <w:szCs w:val="17"/>
        </w:rPr>
        <w:t xml:space="preserve">MODULE 3 · SHEET 2 OF 2</w:t>
      </w:r>
    </w:p>
    <w:p>
      <w:pPr>
        <w:pStyle w:val="Heading1"/>
        <w:spacing w:after="60" w:before="0"/>
      </w:pPr>
      <w:r>
        <w:rPr>
          <w:rFonts w:ascii="Georgia" w:cs="Georgia" w:eastAsia="Georgia" w:hAnsi="Georgia"/>
          <w:b/>
          <w:bCs/>
          <w:color w:val="1B1B1E"/>
          <w:sz w:val="40"/>
          <w:szCs w:val="40"/>
        </w:rPr>
        <w:t xml:space="preserve">Informational interview sheet</w:t>
      </w:r>
    </w:p>
    <w:p>
      <w:pPr>
        <w:spacing w:after="320" w:before="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Keep this open while you talk. Their answers, in their words.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Who, their title now, and the date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How you found them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How did you get the first one? Walk me through the six months before the offer.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7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What does a Tuesday actually look like?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7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What part of the clinical background turned out to be useful, and what did you drop?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7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Who else should I be talking to?</w:t>
      </w:r>
    </w:p>
    <w:p>
      <w:pPr>
        <w:spacing w:after="10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The question that turns one conversation into two.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7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The sentence you are taking away, and what you do in the next fortnight because of it.</w:t>
      </w:r>
    </w:p>
    <w:p>
      <w:pPr>
        <w:spacing w:after="10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You asked for fifteen minutes. Running over it is the fastest way to not get a second conversation.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7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r>
        <w:br w:type="page"/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065F46"/>
          <w:spacing w:val="30"/>
          <w:sz w:val="17"/>
          <w:szCs w:val="17"/>
        </w:rPr>
        <w:t xml:space="preserve">MODULE 6 · INTERVIEW 1 OF 2</w:t>
      </w:r>
    </w:p>
    <w:p>
      <w:pPr>
        <w:pStyle w:val="Heading1"/>
        <w:spacing w:after="60" w:before="0"/>
      </w:pPr>
      <w:r>
        <w:rPr>
          <w:rFonts w:ascii="Georgia" w:cs="Georgia" w:eastAsia="Georgia" w:hAnsi="Georgia"/>
          <w:b/>
          <w:bCs/>
          <w:color w:val="1B1B1E"/>
          <w:sz w:val="40"/>
          <w:szCs w:val="40"/>
        </w:rPr>
        <w:t xml:space="preserve">Interview prep on one page</w:t>
      </w:r>
    </w:p>
    <w:p>
      <w:pPr>
        <w:spacing w:after="320" w:before="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Take this in with you, decided in advance rather than in the room.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Company, role and date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Who you are speaking to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pStyle w:val="Heading2"/>
        <w:spacing w:after="140" w:before="360"/>
      </w:pPr>
      <w:r>
        <w:rPr>
          <w:rFonts w:ascii="Calibri" w:cs="Calibri" w:eastAsia="Calibri" w:hAnsi="Calibri"/>
          <w:b/>
          <w:bCs/>
          <w:color w:val="1B1B1E"/>
          <w:sz w:val="24"/>
          <w:szCs w:val="24"/>
        </w:rPr>
        <w:t xml:space="preserve">Your bridge statement</w:t>
      </w:r>
    </w:p>
    <w:p>
      <w:pPr>
        <w:spacing w:after="12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Where you are going, how you prepared, one accomplishment with a number in it. Forty-five seconds.</w:t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Write it out, then say it aloud five times before you go in.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7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pStyle w:val="Heading2"/>
        <w:spacing w:after="140" w:before="360"/>
      </w:pPr>
      <w:r>
        <w:rPr>
          <w:rFonts w:ascii="Calibri" w:cs="Calibri" w:eastAsia="Calibri" w:hAnsi="Calibri"/>
          <w:b/>
          <w:bCs/>
          <w:color w:val="1B1B1E"/>
          <w:sz w:val="24"/>
          <w:szCs w:val="24"/>
        </w:rPr>
        <w:t xml:space="preserve">Three stories, each with a number in it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Story 1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The number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Story 2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The number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Story 3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The number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Three questions for them: the first ninety days, what the last person found hard, how the work gets measured.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7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12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Burnout is a true reason and a bad answer. Answer with where you are going, not what you are leaving.</w:t>
      </w:r>
    </w:p>
    <w:p>
      <w:r>
        <w:br w:type="page"/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065F46"/>
          <w:spacing w:val="30"/>
          <w:sz w:val="17"/>
          <w:szCs w:val="17"/>
        </w:rPr>
        <w:t xml:space="preserve">MODULE 6 · INTERVIEW 2 OF 2</w:t>
      </w:r>
    </w:p>
    <w:p>
      <w:pPr>
        <w:pStyle w:val="Heading1"/>
        <w:spacing w:after="60" w:before="0"/>
      </w:pPr>
      <w:r>
        <w:rPr>
          <w:rFonts w:ascii="Georgia" w:cs="Georgia" w:eastAsia="Georgia" w:hAnsi="Georgia"/>
          <w:b/>
          <w:bCs/>
          <w:color w:val="1B1B1E"/>
          <w:sz w:val="40"/>
          <w:szCs w:val="40"/>
        </w:rPr>
        <w:t xml:space="preserve">Interview prep on one page</w:t>
      </w:r>
    </w:p>
    <w:p>
      <w:pPr>
        <w:spacing w:after="320" w:before="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Take this in with you, decided in advance rather than in the room.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Company, role and date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Who you are speaking to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pStyle w:val="Heading2"/>
        <w:spacing w:after="140" w:before="360"/>
      </w:pPr>
      <w:r>
        <w:rPr>
          <w:rFonts w:ascii="Calibri" w:cs="Calibri" w:eastAsia="Calibri" w:hAnsi="Calibri"/>
          <w:b/>
          <w:bCs/>
          <w:color w:val="1B1B1E"/>
          <w:sz w:val="24"/>
          <w:szCs w:val="24"/>
        </w:rPr>
        <w:t xml:space="preserve">Your bridge statement</w:t>
      </w:r>
    </w:p>
    <w:p>
      <w:pPr>
        <w:spacing w:after="12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Where you are going, how you prepared, one accomplishment with a number in it. Forty-five seconds.</w:t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Write it out, then say it aloud five times before you go in.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7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pStyle w:val="Heading2"/>
        <w:spacing w:after="140" w:before="360"/>
      </w:pPr>
      <w:r>
        <w:rPr>
          <w:rFonts w:ascii="Calibri" w:cs="Calibri" w:eastAsia="Calibri" w:hAnsi="Calibri"/>
          <w:b/>
          <w:bCs/>
          <w:color w:val="1B1B1E"/>
          <w:sz w:val="24"/>
          <w:szCs w:val="24"/>
        </w:rPr>
        <w:t xml:space="preserve">Three stories, each with a number in it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Story 1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The number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Story 2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The number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Story 3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The number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Three questions for them: the first ninety days, what the last person found hard, how the work gets measured.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7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12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Burnout is a true reason and a bad answer. Answer with where you are going, not what you are leaving.</w:t>
      </w:r>
    </w:p>
    <w:p>
      <w:r>
        <w:br w:type="page"/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065F46"/>
          <w:spacing w:val="30"/>
          <w:sz w:val="17"/>
          <w:szCs w:val="17"/>
        </w:rPr>
        <w:t xml:space="preserve">MODULE 6 · THE OFFER</w:t>
      </w:r>
    </w:p>
    <w:p>
      <w:pPr>
        <w:pStyle w:val="Heading1"/>
        <w:spacing w:after="60" w:before="0"/>
      </w:pPr>
      <w:r>
        <w:rPr>
          <w:rFonts w:ascii="Georgia" w:cs="Georgia" w:eastAsia="Georgia" w:hAnsi="Georgia"/>
          <w:b/>
          <w:bCs/>
          <w:color w:val="1B1B1E"/>
          <w:sz w:val="40"/>
          <w:szCs w:val="40"/>
        </w:rPr>
        <w:t xml:space="preserve">Negotiating the offer</w:t>
      </w:r>
    </w:p>
    <w:p>
      <w:pPr>
        <w:spacing w:after="320" w:before="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Your opening number and your walk-away floor, decided before the phone rings.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The number you say first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The top of the documented range for your path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Your floor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Below this you decline. Write it now, not on the call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The date you will answer by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pStyle w:val="Heading2"/>
        <w:spacing w:after="140" w:before="360"/>
      </w:pPr>
      <w:r>
        <w:rPr>
          <w:rFonts w:ascii="Calibri" w:cs="Calibri" w:eastAsia="Calibri" w:hAnsi="Calibri"/>
          <w:b/>
          <w:bCs/>
          <w:color w:val="1B1B1E"/>
          <w:sz w:val="24"/>
          <w:szCs w:val="24"/>
        </w:rPr>
        <w:t xml:space="preserve">The three things you ask for if the base will not move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Ask 1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Sign-on, PTO, remote days, start date, an early review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Ask 2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Ask 3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pStyle w:val="Heading2"/>
        <w:spacing w:after="140" w:before="360"/>
      </w:pPr>
      <w:r>
        <w:rPr>
          <w:rFonts w:ascii="Calibri" w:cs="Calibri" w:eastAsia="Calibri" w:hAnsi="Calibri"/>
          <w:b/>
          <w:bCs/>
          <w:color w:val="1B1B1E"/>
          <w:sz w:val="24"/>
          <w:szCs w:val="24"/>
        </w:rPr>
        <w:t xml:space="preserve">Say it out loud once before you say it to them</w:t>
      </w:r>
    </w:p>
    <w:p>
      <w:pPr>
        <w:spacing w:after="12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The sentence that feels outrageous in your head almost always sounds reasonable in the air.</w:t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The exact words you will use.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0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12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About thirty percent of people negotiate, and two thirds or more of those who ask get something. Hiring managers report fewer than two withdrawn offers across roughly twenty-seven they have made.</w:t>
      </w:r>
    </w:p>
    <w:p>
      <w:r>
        <w:br w:type="page"/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9D174D"/>
          <w:spacing w:val="30"/>
          <w:sz w:val="17"/>
          <w:szCs w:val="17"/>
        </w:rPr>
        <w:t xml:space="preserve">MODULE 7 · AFTER</w:t>
      </w:r>
    </w:p>
    <w:p>
      <w:pPr>
        <w:pStyle w:val="Heading1"/>
        <w:spacing w:after="60" w:before="0"/>
      </w:pPr>
      <w:r>
        <w:rPr>
          <w:rFonts w:ascii="Georgia" w:cs="Georgia" w:eastAsia="Georgia" w:hAnsi="Georgia"/>
          <w:b/>
          <w:bCs/>
          <w:color w:val="1B1B1E"/>
          <w:sz w:val="40"/>
          <w:szCs w:val="40"/>
        </w:rPr>
        <w:t xml:space="preserve">Six months in</w:t>
      </w:r>
    </w:p>
    <w:p>
      <w:pPr>
        <w:spacing w:after="320" w:before="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Fill this in when you are on the other side.</w:t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What is different on a Tuesday now? Compare it with the first pass on the three-passes page.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6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What did you worry about that turned out not to matter?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3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What would you tell the person who is where you were in week one?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6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12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That last answer is your story. The form is at slptransitions.com/about.</w:t>
      </w:r>
    </w:p>
    <w:p>
      <w:pPr>
        <w:spacing w:after="300"/>
      </w:pPr>
      <w:r>
        <w:rPr>
          <w:rFonts w:ascii="Calibri" w:cs="Calibri" w:eastAsia="Calibri" w:hAnsi="Calibri"/>
          <w:color w:val="1B1B1E"/>
          <w:sz w:val="22"/>
          <w:szCs w:val="22"/>
        </w:rPr>
        <w:t xml:space="preserve"> </w:t>
      </w:r>
    </w:p>
    <w:p>
      <w:pPr>
        <w:pBdr>
          <w:bottom w:val="single" w:color="2D6A4F" w:sz="6" w:space="1"/>
        </w:pBdr>
        <w:spacing w:after="160"/>
      </w:pPr>
      <w:r>
        <w:rPr>
          <w:rFonts w:ascii="Calibri" w:cs="Calibri" w:eastAsia="Calibri" w:hAnsi="Calibri"/>
          <w:color w:val="1B1B1E"/>
          <w:sz w:val="22"/>
          <w:szCs w:val="22"/>
        </w:rPr>
        <w:t xml:space="preserve"> </w:t>
      </w:r>
    </w:p>
    <w:p>
      <w:pPr>
        <w:spacing w:after="120" w:before="0"/>
      </w:pPr>
      <w:r>
        <w:rPr>
          <w:rFonts w:ascii="Georgia" w:cs="Georgia" w:eastAsia="Georgia" w:hAnsi="Georgia"/>
          <w:b/>
          <w:bCs/>
          <w:color w:val="1B1B1E"/>
          <w:sz w:val="30"/>
          <w:szCs w:val="30"/>
        </w:rPr>
        <w:t xml:space="preserve">You did the whole thing.</w:t>
      </w:r>
    </w:p>
    <w:p>
      <w:pPr>
        <w:spacing w:after="12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Whatever the title says now, you are still the person who can explain hard things simply, hold a room to a plan, and read a page of data and know what to do next. That was never the job. That was you.</w:t>
      </w:r>
    </w:p>
    <w:sectPr>
      <w:headerReference w:type="default" r:id="rId7"/>
      <w:footerReference w:type="default" r:id="rId8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rFonts w:ascii="Calibri" w:cs="Calibri" w:eastAsia="Calibri" w:hAnsi="Calibri"/>
        <w:color w:val="6B7280"/>
        <w:sz w:val="16"/>
        <w:szCs w:val="16"/>
      </w:rPr>
      <w:t xml:space="preserve">slptransitions.com</w:t>
    </w:r>
    <w:r>
      <w:rPr>
        <w:rFonts w:ascii="Calibri" w:cs="Calibri" w:eastAsia="Calibri" w:hAnsi="Calibri"/>
        <w:color w:val="6B7280"/>
        <w:sz w:val="16"/>
        <w:szCs w:val="16"/>
      </w:rPr>
      <w:t xml:space="preserve">	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</w:pPr>
    <w:r>
      <w:rPr>
        <w:rFonts w:ascii="Calibri" w:cs="Calibri" w:eastAsia="Calibri" w:hAnsi="Calibri"/>
        <w:b/>
        <w:bCs/>
        <w:color w:val="2D6A4F"/>
        <w:spacing w:val="30"/>
        <w:sz w:val="16"/>
        <w:szCs w:val="16"/>
      </w:rPr>
      <w:t xml:space="preserve">TRANSITION OS</w:t>
    </w:r>
    <w:r>
      <w:rPr>
        <w:rFonts w:ascii="Calibri" w:cs="Calibri" w:eastAsia="Calibri" w:hAnsi="Calibri"/>
        <w:color w:val="6B7280"/>
        <w:sz w:val="16"/>
        <w:szCs w:val="16"/>
      </w:rPr>
      <w:t xml:space="preserve">	Companion workbook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  <w:rPr>
        <w:color w:val="2D6A4F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1B1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2026-09-18T17:32:09.938Z</dcterms:created>
  <dcterms:modified xsi:type="dcterms:W3CDTF">2026-09-18T17:32:09.939Z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