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 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TRANSITION OS · MODULE 1</w:t>
      </w:r>
    </w:p>
    <w:p>
      <w:pPr>
        <w:spacing w:after="120"/>
      </w:pPr>
      <w:r>
        <w:rPr>
          <w:rFonts w:ascii="Georgia" w:cs="Georgia" w:eastAsia="Georgia" w:hAnsi="Georgia"/>
          <w:b/>
          <w:bCs/>
          <w:color w:val="1B1B1E"/>
          <w:sz w:val="66"/>
          <w:szCs w:val="66"/>
        </w:rPr>
        <w:t xml:space="preserve">Workbook</w:t>
      </w:r>
    </w:p>
    <w:p>
      <w:pPr>
        <w:spacing w:after="240"/>
      </w:pPr>
      <w:r>
        <w:rPr>
          <w:rFonts w:ascii="Georgia" w:cs="Georgia" w:eastAsia="Georgia" w:hAnsi="Georgia"/>
          <w:color w:val="6B7280"/>
          <w:sz w:val="28"/>
          <w:szCs w:val="28"/>
        </w:rPr>
        <w:t xml:space="preserve">Print it, or type straight into it. Five pages holding the things the program on screen deliberately does not.</w:t>
      </w:r>
    </w:p>
    <w:p>
      <w:pPr>
        <w:pBdr>
          <w:bottom w:val="single" w:color="2D6A4F" w:sz="6" w:space="1"/>
        </w:pBdr>
        <w:spacing w:after="16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 </w:t>
      </w:r>
    </w:p>
    <w:p>
      <w:pPr>
        <w:spacing w:after="1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What you would not type into software, and what you answer more than once. Nobody reads this but you.</w:t>
      </w:r>
    </w:p>
    <w:p>
      <w:pPr>
        <w:spacing w:after="24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trHeight w:val="820" w:hRule="atLeast"/>
        </w:trPr>
        <w:tc>
          <w:tcPr>
            <w:tcW w:type="dxa" w:w="1170"/>
            <w:tcBorders>
              <w:top w:val="none"/>
              <w:left w:val="none"/>
              <w:bottom w:val="none"/>
              <w:right w:val="none"/>
            </w:tcBorders>
            <w:shd w:fill="F0FAF3" w:color="auto" w:val="clear"/>
            <w:tcMar>
              <w:top w:type="dxa" w:w="140"/>
              <w:left w:type="dxa" w:w="60"/>
              <w:bottom w:type="dxa" w:w="140"/>
              <w:right w:type="dxa" w:w="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2D6A4F"/>
                <w:sz w:val="30"/>
                <w:szCs w:val="30"/>
              </w:rPr>
              <w:t xml:space="preserve">0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2D6A4F"/>
                <w:sz w:val="15"/>
                <w:szCs w:val="15"/>
              </w:rPr>
              <w:t xml:space="preserve">Start</w:t>
            </w:r>
          </w:p>
          <w:p>
            <w:pPr>
              <w:spacing w:after="0" w:before="60"/>
              <w:jc w:val="center"/>
            </w:pPr>
            <w:r>
              <w:rPr>
                <w:rFonts w:ascii="Segoe UI Symbol" w:cs="Segoe UI Symbol" w:eastAsia="Segoe UI Symbol" w:hAnsi="Segoe UI Symbol"/>
                <w:color w:val="2D6A4F"/>
                <w:sz w:val="22"/>
                <w:szCs w:val="22"/>
              </w:rPr>
              <w:t xml:space="preserve">☐</w:t>
            </w:r>
          </w:p>
        </w:tc>
        <w:tc>
          <w:tcPr>
            <w:tcW w:type="dxa" w:w="1170"/>
            <w:tcBorders>
              <w:top w:val="none"/>
              <w:left w:val="none"/>
              <w:bottom w:val="none"/>
              <w:right w:val="none"/>
            </w:tcBorders>
            <w:shd w:fill="F0FAF3" w:color="auto" w:val="clear"/>
            <w:tcMar>
              <w:top w:type="dxa" w:w="140"/>
              <w:left w:type="dxa" w:w="60"/>
              <w:bottom w:type="dxa" w:w="140"/>
              <w:right w:type="dxa" w:w="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2D6A4F"/>
                <w:sz w:val="30"/>
                <w:szCs w:val="30"/>
              </w:rPr>
              <w:t xml:space="preserve">1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2D6A4F"/>
                <w:sz w:val="15"/>
                <w:szCs w:val="15"/>
              </w:rPr>
              <w:t xml:space="preserve">Ground</w:t>
            </w:r>
          </w:p>
          <w:p>
            <w:pPr>
              <w:spacing w:after="0" w:before="60"/>
              <w:jc w:val="center"/>
            </w:pPr>
            <w:r>
              <w:rPr>
                <w:rFonts w:ascii="Segoe UI Symbol" w:cs="Segoe UI Symbol" w:eastAsia="Segoe UI Symbol" w:hAnsi="Segoe UI Symbol"/>
                <w:color w:val="2D6A4F"/>
                <w:sz w:val="22"/>
                <w:szCs w:val="22"/>
              </w:rPr>
              <w:t xml:space="preserve">☐</w:t>
            </w:r>
          </w:p>
        </w:tc>
        <w:tc>
          <w:tcPr>
            <w:tcW w:type="dxa" w:w="1170"/>
            <w:tcBorders>
              <w:top w:val="none"/>
              <w:left w:val="none"/>
              <w:bottom w:val="none"/>
              <w:right w:val="none"/>
            </w:tcBorders>
            <w:shd w:fill="EFF6FF" w:color="auto" w:val="clear"/>
            <w:tcMar>
              <w:top w:type="dxa" w:w="140"/>
              <w:left w:type="dxa" w:w="60"/>
              <w:bottom w:type="dxa" w:w="140"/>
              <w:right w:type="dxa" w:w="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E40AF"/>
                <w:sz w:val="30"/>
                <w:szCs w:val="30"/>
              </w:rPr>
              <w:t xml:space="preserve">2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1E40AF"/>
                <w:sz w:val="15"/>
                <w:szCs w:val="15"/>
              </w:rPr>
              <w:t xml:space="preserve">Explore</w:t>
            </w:r>
          </w:p>
          <w:p>
            <w:pPr>
              <w:spacing w:after="0" w:before="60"/>
              <w:jc w:val="center"/>
            </w:pPr>
            <w:r>
              <w:rPr>
                <w:rFonts w:ascii="Segoe UI Symbol" w:cs="Segoe UI Symbol" w:eastAsia="Segoe UI Symbol" w:hAnsi="Segoe UI Symbol"/>
                <w:color w:val="1E40AF"/>
                <w:sz w:val="22"/>
                <w:szCs w:val="22"/>
              </w:rPr>
              <w:t xml:space="preserve">☐</w:t>
            </w:r>
          </w:p>
        </w:tc>
        <w:tc>
          <w:tcPr>
            <w:tcW w:type="dxa" w:w="1170"/>
            <w:tcBorders>
              <w:top w:val="none"/>
              <w:left w:val="none"/>
              <w:bottom w:val="none"/>
              <w:right w:val="none"/>
            </w:tcBorders>
            <w:shd w:fill="ECFEFF" w:color="auto" w:val="clear"/>
            <w:tcMar>
              <w:top w:type="dxa" w:w="140"/>
              <w:left w:type="dxa" w:w="60"/>
              <w:bottom w:type="dxa" w:w="140"/>
              <w:right w:type="dxa" w:w="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55E75"/>
                <w:sz w:val="30"/>
                <w:szCs w:val="30"/>
              </w:rPr>
              <w:t xml:space="preserve">3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155E75"/>
                <w:sz w:val="15"/>
                <w:szCs w:val="15"/>
              </w:rPr>
              <w:t xml:space="preserve">Connect</w:t>
            </w:r>
          </w:p>
          <w:p>
            <w:pPr>
              <w:spacing w:after="0" w:before="60"/>
              <w:jc w:val="center"/>
            </w:pPr>
            <w:r>
              <w:rPr>
                <w:rFonts w:ascii="Segoe UI Symbol" w:cs="Segoe UI Symbol" w:eastAsia="Segoe UI Symbol" w:hAnsi="Segoe UI Symbol"/>
                <w:color w:val="155E75"/>
                <w:sz w:val="22"/>
                <w:szCs w:val="22"/>
              </w:rPr>
              <w:t xml:space="preserve">☐</w:t>
            </w:r>
          </w:p>
        </w:tc>
        <w:tc>
          <w:tcPr>
            <w:tcW w:type="dxa" w:w="1170"/>
            <w:tcBorders>
              <w:top w:val="none"/>
              <w:left w:val="none"/>
              <w:bottom w:val="none"/>
              <w:right w:val="none"/>
            </w:tcBorders>
            <w:shd w:fill="F5F3FF" w:color="auto" w:val="clear"/>
            <w:tcMar>
              <w:top w:type="dxa" w:w="140"/>
              <w:left w:type="dxa" w:w="60"/>
              <w:bottom w:type="dxa" w:w="140"/>
              <w:right w:type="dxa" w:w="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5B21B6"/>
                <w:sz w:val="30"/>
                <w:szCs w:val="30"/>
              </w:rPr>
              <w:t xml:space="preserve">4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B21B6"/>
                <w:sz w:val="15"/>
                <w:szCs w:val="15"/>
              </w:rPr>
              <w:t xml:space="preserve">Translate</w:t>
            </w:r>
          </w:p>
          <w:p>
            <w:pPr>
              <w:spacing w:after="0" w:before="60"/>
              <w:jc w:val="center"/>
            </w:pPr>
            <w:r>
              <w:rPr>
                <w:rFonts w:ascii="Segoe UI Symbol" w:cs="Segoe UI Symbol" w:eastAsia="Segoe UI Symbol" w:hAnsi="Segoe UI Symbol"/>
                <w:color w:val="5B21B6"/>
                <w:sz w:val="22"/>
                <w:szCs w:val="22"/>
              </w:rPr>
              <w:t xml:space="preserve">☐</w:t>
            </w:r>
          </w:p>
        </w:tc>
        <w:tc>
          <w:tcPr>
            <w:tcW w:type="dxa" w:w="1170"/>
            <w:tcBorders>
              <w:top w:val="none"/>
              <w:left w:val="none"/>
              <w:bottom w:val="none"/>
              <w:right w:val="none"/>
            </w:tcBorders>
            <w:shd w:fill="FEF6E7" w:color="auto" w:val="clear"/>
            <w:tcMar>
              <w:top w:type="dxa" w:w="140"/>
              <w:left w:type="dxa" w:w="60"/>
              <w:bottom w:type="dxa" w:w="140"/>
              <w:right w:type="dxa" w:w="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92400E"/>
                <w:sz w:val="30"/>
                <w:szCs w:val="30"/>
              </w:rPr>
              <w:t xml:space="preserve">5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92400E"/>
                <w:sz w:val="15"/>
                <w:szCs w:val="15"/>
              </w:rPr>
              <w:t xml:space="preserve">Test</w:t>
            </w:r>
          </w:p>
          <w:p>
            <w:pPr>
              <w:spacing w:after="0" w:before="60"/>
              <w:jc w:val="center"/>
            </w:pPr>
            <w:r>
              <w:rPr>
                <w:rFonts w:ascii="Segoe UI Symbol" w:cs="Segoe UI Symbol" w:eastAsia="Segoe UI Symbol" w:hAnsi="Segoe UI Symbol"/>
                <w:color w:val="92400E"/>
                <w:sz w:val="22"/>
                <w:szCs w:val="22"/>
              </w:rPr>
              <w:t xml:space="preserve">☐</w:t>
            </w:r>
          </w:p>
        </w:tc>
        <w:tc>
          <w:tcPr>
            <w:tcW w:type="dxa" w:w="1170"/>
            <w:tcBorders>
              <w:top w:val="none"/>
              <w:left w:val="none"/>
              <w:bottom w:val="none"/>
              <w:right w:val="none"/>
            </w:tcBorders>
            <w:shd w:fill="ECFDF5" w:color="auto" w:val="clear"/>
            <w:tcMar>
              <w:top w:type="dxa" w:w="140"/>
              <w:left w:type="dxa" w:w="60"/>
              <w:bottom w:type="dxa" w:w="140"/>
              <w:right w:type="dxa" w:w="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065F46"/>
                <w:sz w:val="30"/>
                <w:szCs w:val="30"/>
              </w:rPr>
              <w:t xml:space="preserve">6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065F46"/>
                <w:sz w:val="15"/>
                <w:szCs w:val="15"/>
              </w:rPr>
              <w:t xml:space="preserve">Leap</w:t>
            </w:r>
          </w:p>
          <w:p>
            <w:pPr>
              <w:spacing w:after="0" w:before="60"/>
              <w:jc w:val="center"/>
            </w:pPr>
            <w:r>
              <w:rPr>
                <w:rFonts w:ascii="Segoe UI Symbol" w:cs="Segoe UI Symbol" w:eastAsia="Segoe UI Symbol" w:hAnsi="Segoe UI Symbol"/>
                <w:color w:val="065F46"/>
                <w:sz w:val="22"/>
                <w:szCs w:val="22"/>
              </w:rPr>
              <w:t xml:space="preserve">☐</w:t>
            </w:r>
          </w:p>
        </w:tc>
        <w:tc>
          <w:tcPr>
            <w:tcW w:type="dxa" w:w="1170"/>
            <w:tcBorders>
              <w:top w:val="none"/>
              <w:left w:val="none"/>
              <w:bottom w:val="none"/>
              <w:right w:val="none"/>
            </w:tcBorders>
            <w:shd w:fill="FDF2F8" w:color="auto" w:val="clear"/>
            <w:tcMar>
              <w:top w:type="dxa" w:w="140"/>
              <w:left w:type="dxa" w:w="60"/>
              <w:bottom w:type="dxa" w:w="140"/>
              <w:right w:type="dxa" w:w="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9D174D"/>
                <w:sz w:val="30"/>
                <w:szCs w:val="30"/>
              </w:rPr>
              <w:t xml:space="preserve">7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9D174D"/>
                <w:sz w:val="15"/>
                <w:szCs w:val="15"/>
              </w:rPr>
              <w:t xml:space="preserve">After</w:t>
            </w:r>
          </w:p>
          <w:p>
            <w:pPr>
              <w:spacing w:after="0" w:before="60"/>
              <w:jc w:val="center"/>
            </w:pPr>
            <w:r>
              <w:rPr>
                <w:rFonts w:ascii="Segoe UI Symbol" w:cs="Segoe UI Symbol" w:eastAsia="Segoe UI Symbol" w:hAnsi="Segoe UI Symbol"/>
                <w:color w:val="9D174D"/>
                <w:sz w:val="22"/>
                <w:szCs w:val="22"/>
              </w:rPr>
              <w:t xml:space="preserve">☐</w:t>
            </w:r>
          </w:p>
        </w:tc>
      </w:tr>
    </w:tbl>
    <w:p>
      <w:pPr>
        <w:spacing w:after="140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 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1B1B1E"/>
          <w:sz w:val="20"/>
          <w:szCs w:val="20"/>
        </w:rPr>
        <w:t xml:space="preserve">Name</w:t>
      </w:r>
    </w:p>
    <w:p>
      <w:pPr>
        <w:spacing w:after="120" w:before="0"/>
      </w:pPr>
      <w:r>
        <w:rPr>
          <w:rFonts w:ascii="Calibri" w:cs="Calibri" w:eastAsia="Calibri" w:hAnsi="Calibri"/>
          <w:color w:val="D1D5DB"/>
          <w:sz w:val="22"/>
          <w:szCs w:val="22"/>
        </w:rPr>
        <w:t xml:space="preserve">________________________________________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B1B1E"/>
          <w:sz w:val="20"/>
          <w:szCs w:val="20"/>
        </w:rPr>
        <w:t xml:space="preserve">Started on</w:t>
      </w:r>
    </w:p>
    <w:p>
      <w:pPr>
        <w:spacing w:after="120" w:before="0"/>
      </w:pPr>
      <w:r>
        <w:rPr>
          <w:rFonts w:ascii="Calibri" w:cs="Calibri" w:eastAsia="Calibri" w:hAnsi="Calibri"/>
          <w:color w:val="D1D5DB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pStyle w:val="Heading1"/>
        <w:spacing w:after="6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How to use this</w:t>
      </w:r>
    </w:p>
    <w:p>
      <w:pPr>
        <w:spacing w:after="3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Three rules.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Do the lesson on screen first. The screen does the arithmetic, the sorting and the ranking, and it keeps your answers. Nothing in here repeats 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These pages hold what a program should not. What you would not type into software, and what you answer again at weeks 6 and 12.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Write badly. Fragments, half-sentences, a list. If you catch yourself drafting sentences, you have switched into work mode, and this is not work.</w:t>
      </w:r>
    </w:p>
    <w:p>
      <w:pPr>
        <w:spacing w:after="200"/>
      </w:pPr>
      <w:r>
        <w:rPr>
          <w:rFonts w:ascii="Calibri" w:cs="Calibri" w:eastAsia="Calibri" w:hAnsi="Calibri"/>
          <w:color w:val="1B1B1E"/>
          <w:sz w:val="22"/>
          <w:szCs w:val="22"/>
        </w:rPr>
        <w:t xml:space="preserve"> 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WHAT'S IN HERE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Weeks 1, 6 and 12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The same five questions, three times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The sentence you tell yourself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The one underneath the sunk-cost maths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The list you would not type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Everything you want to leave, unsoftened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What you will miss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The part every exit story has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Tell one person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Who, when, and what they said back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12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The sheets you take into a room with another person, the twenty-minute conversation, the interview page and the offer page, come with the full program.</w:t>
      </w:r>
    </w:p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WEEKS 1, 6 AND 12</w:t>
      </w:r>
    </w:p>
    <w:p>
      <w:pPr>
        <w:pStyle w:val="Heading1"/>
        <w:spacing w:after="6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The same five questions, three times</w:t>
      </w:r>
    </w:p>
    <w:p>
      <w:pPr>
        <w:spacing w:after="3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The screen keeps your current answer. This page keeps all three, and the distance between them is the part worth seeing.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53"/>
        <w:gridCol w:w="2253"/>
        <w:gridCol w:w="2253"/>
      </w:tblGrid>
      <w:tr>
        <w:tc>
          <w:tcPr>
            <w:tcW w:type="dxa" w:w="2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19"/>
                <w:szCs w:val="19"/>
              </w:rPr>
              <w:t xml:space="preserve"/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19"/>
                <w:szCs w:val="19"/>
              </w:rPr>
              <w:t xml:space="preserve">Week 1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19"/>
                <w:szCs w:val="19"/>
              </w:rPr>
              <w:t xml:space="preserve">Week 6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19"/>
                <w:szCs w:val="19"/>
              </w:rPr>
              <w:t xml:space="preserve">Week 12</w:t>
            </w:r>
          </w:p>
        </w:tc>
      </w:tr>
      <w:tr>
        <w:trPr>
          <w:trHeight w:val="640" w:hRule="atLeast"/>
        </w:trPr>
        <w:tc>
          <w:tcPr>
            <w:tcW w:type="dxa" w:w="2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0"/>
                <w:szCs w:val="20"/>
              </w:rPr>
              <w:t xml:space="preserve">Date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2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0"/>
                <w:szCs w:val="20"/>
              </w:rPr>
              <w:t xml:space="preserve">The stage you are in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2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0"/>
                <w:szCs w:val="20"/>
              </w:rPr>
              <w:t xml:space="preserve">Bad workplace, bad fit, or bad season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2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0"/>
                <w:szCs w:val="20"/>
              </w:rPr>
              <w:t xml:space="preserve">The path you would name today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2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0"/>
                <w:szCs w:val="20"/>
              </w:rPr>
              <w:t xml:space="preserve">Your pay floor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  <w:tc>
          <w:tcPr>
            <w:tcW w:type="dxa" w:w="2253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Where you are going, in one sentence. Write a new one each time rather than editing the old one.</w:t>
      </w:r>
    </w:p>
    <w:p>
      <w:pPr>
        <w:spacing w:after="10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Three sentences by week twelve. The first one is usually about leaving and the last one usually is not.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9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MODULE 1 · THE SUNK COST</w:t>
      </w:r>
    </w:p>
    <w:p>
      <w:pPr>
        <w:pStyle w:val="Heading1"/>
        <w:spacing w:after="6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The sentence you tell yourself</w:t>
      </w:r>
    </w:p>
    <w:p>
      <w:pPr>
        <w:spacing w:after="3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The calculator on screen handles the years and the money. This is for the sentence underneath, which is the part that actually keeps people in the building.</w:t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Write it exactly as it sounds in your head. Not the reasonable version.</w:t>
      </w:r>
    </w:p>
    <w:p>
      <w:pPr>
        <w:spacing w:after="10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It usually starts with “after all that” or “I should be able to”.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12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D6A4F" w:sz="24"/>
              <w:bottom w:val="none"/>
              <w:right w:val="none"/>
            </w:tcBorders>
            <w:shd w:fill="F0FAF3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1B1B1E"/>
                <w:sz w:val="22"/>
                <w:szCs w:val="22"/>
              </w:rPr>
              <w:t xml:space="preserve">“I know it's the sunken cost fallacy but it's so hard to quit after putting so much time, money, and effort into this career.”</w:t>
            </w: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   an SLP, r/slp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Who taught you that sentence? A supervisor, a cohort, a parent, yourself at twenty-four.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0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What would you say to a CF who said it to you, word for word?</w:t>
      </w:r>
    </w:p>
    <w:p>
      <w:pPr>
        <w:spacing w:after="10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People are consistently kinder to a hypothetical CF than to themselves. Use the kinder version.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6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MODULE 1 · THE CHECKPOINT</w:t>
      </w:r>
    </w:p>
    <w:p>
      <w:pPr>
        <w:pStyle w:val="Heading1"/>
        <w:spacing w:after="6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The list you would not type into a program</w:t>
      </w:r>
    </w:p>
    <w:p>
      <w:pPr>
        <w:spacing w:after="3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The screen asks for the tidy version. Write the untidy one here, because the untidy one is the accurate one.</w:t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Everything you want to leave. Names, days, specific meetings, the thing you have never said out loud. Do not soften it.</w:t>
      </w:r>
    </w:p>
    <w:p>
      <w:pPr>
        <w:spacing w:after="10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Nobody reads this. That is the entire reason it is on paper and not in the app.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1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Read it back, and mark the three that would still be true in a different building.</w:t>
      </w:r>
    </w:p>
    <w:p>
      <w:pPr>
        <w:spacing w:after="10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Those three are about the work. Everything else is about this job, and that is a different problem with a faster fix.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MODULE 1 · WHAT YOU KEEP</w:t>
      </w:r>
    </w:p>
    <w:p>
      <w:pPr>
        <w:pStyle w:val="Heading1"/>
        <w:spacing w:after="6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What you will miss</w:t>
      </w:r>
    </w:p>
    <w:p>
      <w:pPr>
        <w:spacing w:after="3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Every exit story has a version of this page, and skipping it is what sends people back.</w:t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Finish the sentence: I will miss being the person who 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12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D6A4F" w:sz="24"/>
              <w:bottom w:val="none"/>
              <w:right w:val="none"/>
            </w:tcBorders>
            <w:shd w:fill="F0FAF3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1B1B1E"/>
                <w:sz w:val="22"/>
                <w:szCs w:val="22"/>
              </w:rPr>
              <w:t xml:space="preserve">“I've taken a long time to grieve the loss of who I was in my previous role.”</w:t>
            </w: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   a comment on a former SLP's essay about leaving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Which part of that goes with you into any job? A moment, a person, a session. Be specific.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Which part only exists in a clinic, and what will you do about that outside work?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3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r>
        <w:br w:type="page"/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2D6A4F"/>
          <w:spacing w:val="30"/>
          <w:sz w:val="17"/>
          <w:szCs w:val="17"/>
        </w:rPr>
        <w:t xml:space="preserve">MODULE 1 · LESSON 7</w:t>
      </w:r>
    </w:p>
    <w:p>
      <w:pPr>
        <w:pStyle w:val="Heading1"/>
        <w:spacing w:after="60" w:before="0"/>
      </w:pPr>
      <w:r>
        <w:rPr>
          <w:rFonts w:ascii="Georgia" w:cs="Georgia" w:eastAsia="Georgia" w:hAnsi="Georgia"/>
          <w:b/>
          <w:bCs/>
          <w:color w:val="1B1B1E"/>
          <w:sz w:val="40"/>
          <w:szCs w:val="40"/>
        </w:rPr>
        <w:t xml:space="preserve">Tell one person</w:t>
      </w:r>
    </w:p>
    <w:p>
      <w:pPr>
        <w:spacing w:after="320" w:before="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The smallest possible disclosure, and the first page here that involves somebody else.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Who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Not a colleague, if you can avoid it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When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A date, not “soon”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  <w:tr>
        <w:trPr>
          <w:trHeight w:val="640" w:hRule="atLeast"/>
        </w:trPr>
        <w:tc>
          <w:tcPr>
            <w:tcW w:type="dxa" w:w="3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0FA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B1B1E"/>
                <w:sz w:val="21"/>
                <w:szCs w:val="21"/>
              </w:rPr>
              <w:t xml:space="preserve">What you plan to say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8"/>
                <w:szCs w:val="18"/>
              </w:rPr>
              <w:t xml:space="preserve">One sentence</w:t>
            </w:r>
          </w:p>
        </w:tc>
        <w:tc>
          <w:tcPr>
            <w:tcW w:type="dxa" w:w="57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What you actually said, and what they said back.</w:t>
      </w:r>
    </w:p>
    <w:p>
      <w:pPr>
        <w:spacing w:after="100" w:before="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Fill this in afterwards. People are almost always less surprised than you expect them to be.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9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1B1B1E"/>
          <w:sz w:val="22"/>
          <w:szCs w:val="22"/>
        </w:rPr>
        <w:t xml:space="preserve">What changed for you in the hour after.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060" w:hRule="atLeast"/>
        </w:trPr>
        <w:tc>
          <w:tcPr>
            <w:tcW w:type="dxa" w:w="936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FFFFFF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1B1B1E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 w:line="120"/>
      </w:pPr>
      <w:r>
        <w:rPr>
          <w:rFonts w:ascii="Calibri" w:cs="Calibri" w:eastAsia="Calibri" w:hAnsi="Calibri"/>
          <w:sz w:val="8"/>
          <w:szCs w:val="8"/>
        </w:rPr>
        <w:t xml:space="preserve"/>
      </w:r>
    </w:p>
    <w:p>
      <w:r>
        <w:br w:type="page"/>
      </w:r>
    </w:p>
    <w:sectPr>
      <w:headerReference w:type="default" r:id="rId7"/>
      <w:footerReference w:type="default" r:id="rId8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Calibri" w:cs="Calibri" w:eastAsia="Calibri" w:hAnsi="Calibri"/>
        <w:color w:val="6B7280"/>
        <w:sz w:val="16"/>
        <w:szCs w:val="16"/>
      </w:rPr>
      <w:t xml:space="preserve">slptransitions.com · Nobody reads this but you.</w:t>
    </w:r>
    <w:r>
      <w:rPr>
        <w:rFonts w:ascii="Calibri" w:cs="Calibri" w:eastAsia="Calibri" w:hAnsi="Calibri"/>
        <w:color w:val="6B7280"/>
        <w:sz w:val="16"/>
        <w:szCs w:val="16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rPr>
        <w:rFonts w:ascii="Calibri" w:cs="Calibri" w:eastAsia="Calibri" w:hAnsi="Calibri"/>
        <w:b/>
        <w:bCs/>
        <w:color w:val="2D6A4F"/>
        <w:spacing w:val="30"/>
        <w:sz w:val="16"/>
        <w:szCs w:val="16"/>
      </w:rPr>
      <w:t xml:space="preserve">TRANSITION OS</w:t>
    </w:r>
    <w:r>
      <w:rPr>
        <w:rFonts w:ascii="Calibri" w:cs="Calibri" w:eastAsia="Calibri" w:hAnsi="Calibri"/>
        <w:color w:val="6B7280"/>
        <w:sz w:val="16"/>
        <w:szCs w:val="16"/>
      </w:rPr>
      <w:t xml:space="preserve">	Companion workbook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  <w:rPr>
        <w:color w:val="2D6A4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1B1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2026-09-12T14:01:28.146Z</dcterms:created>
  <dcterms:modified xsi:type="dcterms:W3CDTF">2026-09-12T14:01:28.148Z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